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附件2  </w:t>
      </w:r>
      <w:r>
        <w:rPr>
          <w:rFonts w:hint="eastAsia" w:ascii="华文宋体" w:hAnsi="华文宋体" w:eastAsia="华文宋体" w:cs="华文宋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商务要求</w:t>
      </w:r>
    </w:p>
    <w:tbl>
      <w:tblPr>
        <w:tblStyle w:val="4"/>
        <w:tblpPr w:leftFromText="180" w:rightFromText="180" w:vertAnchor="text" w:horzAnchor="page" w:tblpX="1041" w:tblpY="119"/>
        <w:tblOverlap w:val="never"/>
        <w:tblW w:w="48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53"/>
        <w:gridCol w:w="8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项目商务及售后服务要求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投标供应商须按采购需求清单所列耗材、试剂及标准物质报价，报价包含具体的货物名称、数量、规格型号、技术要求、品牌、单价及总价等，报价内容必须与需求表的要求相一致且报价不得超出项目预算,否则按无效报价文件处理。报价只能一次报出不得更改，未按项目需求清单报价的将视为无效报价。报价至少包括：商品购置费、包装费、运输费、装卸费、保险费、技术服务费、税费等。采购人不再支付成交价格以外的任何费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成交供应商提供的货物必须满足产品参数要求和采购人提出的要求。当提供货物不适用于采购人需求时，成交供应商无条件免费退换货；对不能满足参数要求虚假响应或者无法正常交货影响采购人使用的，采购人可不予验收，有权单方面解除合同，所造成的损失由成交供应商自行承担。</w:t>
            </w:r>
          </w:p>
          <w:p>
            <w:pPr>
              <w:pStyle w:val="3"/>
              <w:ind w:left="0" w:leftChars="0" w:firstLine="480" w:firstLineChars="200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3.供应商需保证所供产品为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原厂原装、全新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。</w:t>
            </w:r>
          </w:p>
          <w:p>
            <w:pPr>
              <w:pStyle w:val="3"/>
              <w:ind w:left="0" w:leftChars="0" w:firstLine="480" w:firstLineChars="200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4.成交供应商负责填写《试剂耗材库存导入模板》（附表），转换成Excel电子填写表格内相关信息（该表格模板由采购方提供）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相关资质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应提供能销售耗材的有效营业执照(投标时必须提供复印件且加盖公章，原件备查)。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供货期：签订合同后30个工作日内完成交付。特殊情况除外，如延迟供货应提前书面告知并征得我中心同意后，方可再按双方协商约定时间进行供货。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交货地点：广西梧州市长洲区菊湖路8号梧州生态环境监测中心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我中心根据实际供货情况对货物分批次验收或统一验收，供应商根据我中心已验收货物价值开具等额发票，我中心在验收合格及收到供应商开具的合格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发票之日起15个工作日内向供应商支付已验收合格货物的货款。最终结算款以实际购买及验收合格货物价值为准。</w:t>
            </w: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4"/>
        <w:tblW w:w="10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82"/>
        <w:gridCol w:w="750"/>
        <w:gridCol w:w="873"/>
        <w:gridCol w:w="736"/>
        <w:gridCol w:w="1009"/>
        <w:gridCol w:w="887"/>
        <w:gridCol w:w="845"/>
        <w:gridCol w:w="1187"/>
        <w:gridCol w:w="1322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51" w:type="dxa"/>
            <w:gridSpan w:val="11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试剂耗材库存导入模板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生产日期（yyyy/MM/dd）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有效期（yyyy/MM/dd）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873" w:right="839" w:bottom="873" w:left="83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5112D4D"/>
    <w:rsid w:val="0A5E5382"/>
    <w:rsid w:val="114C0D00"/>
    <w:rsid w:val="13F12B7A"/>
    <w:rsid w:val="1F0E4C85"/>
    <w:rsid w:val="20FB6E2C"/>
    <w:rsid w:val="46312654"/>
    <w:rsid w:val="4DE2659A"/>
    <w:rsid w:val="56836CF0"/>
    <w:rsid w:val="72B61604"/>
    <w:rsid w:val="73906506"/>
    <w:rsid w:val="757F75D2"/>
    <w:rsid w:val="7B4F7CCF"/>
    <w:rsid w:val="CF3FE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7"/>
    </w:pPr>
    <w:rPr>
      <w:sz w:val="20"/>
      <w:szCs w:val="20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766</Characters>
  <Lines>0</Lines>
  <Paragraphs>0</Paragraphs>
  <TotalTime>8</TotalTime>
  <ScaleCrop>false</ScaleCrop>
  <LinksUpToDate>false</LinksUpToDate>
  <CharactersWithSpaces>793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2025-02-27T11:48:00Z</dcterms:created>
  <dc:creator>HUAWEI</dc:creator>
  <cp:lastModifiedBy>欧铭</cp:lastModifiedBy>
  <dcterms:modified xsi:type="dcterms:W3CDTF">2025-11-17T08:38:03Z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548DF8F746DC42108F66CD53F985F6BC_12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