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碳监测评估人才培养及能力提升项目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一、项目需求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eastAsia="zh-CN"/>
        </w:rPr>
        <w:t>（</w:t>
      </w:r>
      <w:r>
        <w:rPr>
          <w:rFonts w:hint="eastAsia" w:cs="仿宋"/>
          <w:sz w:val="32"/>
          <w:szCs w:val="32"/>
          <w:lang w:val="en-US" w:eastAsia="zh-CN"/>
        </w:rPr>
        <w:t>一</w:t>
      </w:r>
      <w:r>
        <w:rPr>
          <w:rFonts w:hint="eastAsia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服务内容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基于国家减污降碳工作新要求，协助甲方开展碳达峰碳中和工作中监测支撑关键技术研究，提供相关碳核算管理数智化平台开展培训，培养碳核算、碳管理人才若干，指导广西重点产业产品碳足迹申报规划工作</w:t>
      </w: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项目需</w:t>
      </w: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为甲方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提供技术指导</w:t>
      </w: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技术咨询服务，</w:t>
      </w: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参考以下内容：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提供基于碳监测</w:t>
      </w:r>
      <w:r>
        <w:rPr>
          <w:rFonts w:hint="eastAsia" w:ascii="仿宋" w:hAnsi="仿宋" w:eastAsia="仿宋" w:cs="仿宋"/>
          <w:sz w:val="32"/>
          <w:szCs w:val="32"/>
          <w:u w:val="none"/>
        </w:rPr>
        <w:t>评估关键技术应用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案例，能力建设规划指导，技术要求包括：①构建控排企业碳排放大数据底座：整合电力、钢铁、水泥、化工及铝业、糖业、冶金等重点支柱产业企业的能源、生产、工艺、排放数据，结合动态电网因子、行业基准值等宏观数据，形成统一的控排企业碳排放监测与数据分析网络，为后续工作奠定数据基础。②建设行业专用碳排放关键因素识别模型：针对重点支柱产业，开发适配行业特性的关键因素识别算法，重点分析单位产品能耗、原料燃料类型、工艺水平、设备运行效率等与企业碳排放强度直接相关的核心变量，提升碳排放关键因素识别的精准性与针对性。③实现生成式大模型驱动的个性化节碳决策支持：为企业生成深度洞察报告，涵盖对标分析（对比企业与行业基准、先进水平差距）、根因分析（用自然语言明确碳排放超标主因）、可操作建议（提供具体生产调整方案及节碳预期），为企业节碳提供精准指导。④形成工业领域 “碳数智大脑” 标准解决方案：总结项目经验，打造适用于工业控排企业的标准化技术产品，向同类型工业园区和工业行政管理单位推广，引领行业碳管理数字化发展。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u w:val="none"/>
        </w:rPr>
        <w:t>参与甲方人才培养项目工作，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联合</w:t>
      </w:r>
      <w:r>
        <w:rPr>
          <w:rFonts w:hint="eastAsia" w:ascii="仿宋" w:hAnsi="仿宋" w:eastAsia="仿宋" w:cs="仿宋"/>
          <w:sz w:val="32"/>
          <w:szCs w:val="32"/>
          <w:u w:val="none"/>
        </w:rPr>
        <w:t>甲方人才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团队不少于3人</w:t>
      </w:r>
      <w:r>
        <w:rPr>
          <w:rFonts w:hint="eastAsia" w:ascii="仿宋" w:hAnsi="仿宋" w:eastAsia="仿宋" w:cs="仿宋"/>
          <w:sz w:val="32"/>
          <w:szCs w:val="32"/>
          <w:u w:val="none"/>
        </w:rPr>
        <w:t>进行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省部级及以上</w:t>
      </w:r>
      <w:r>
        <w:rPr>
          <w:rFonts w:hint="eastAsia" w:ascii="仿宋" w:hAnsi="仿宋" w:eastAsia="仿宋" w:cs="仿宋"/>
          <w:sz w:val="32"/>
          <w:szCs w:val="32"/>
          <w:u w:val="none"/>
        </w:rPr>
        <w:t>科技项目申报及实施，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指导甲方申报至少1项省部级</w:t>
      </w:r>
      <w:r>
        <w:rPr>
          <w:rFonts w:hint="eastAsia" w:cs="仿宋"/>
          <w:sz w:val="32"/>
          <w:szCs w:val="32"/>
          <w:u w:val="none"/>
          <w:lang w:val="en-US" w:eastAsia="zh-CN"/>
        </w:rPr>
        <w:t>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以上科研项目，指导甲方人才团队完成广西重点产品碳足迹申报材料1份，指导甲方人才团队不少于3人参与编制碳监测、碳计量方向团体</w:t>
      </w:r>
      <w:r>
        <w:rPr>
          <w:rFonts w:hint="eastAsia" w:cs="仿宋"/>
          <w:sz w:val="32"/>
          <w:szCs w:val="32"/>
          <w:u w:val="none"/>
          <w:lang w:val="en-US" w:eastAsia="zh-CN"/>
        </w:rPr>
        <w:t>标准及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以上级别标准至少1项，指导甲方完成碳监测评估能力建设及资金申报方案1份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提供碳监测评估关键技术及应用培养服务，提供碳监测评估技术咨询服务，指导培养甲方人才获取碳计量或碳管理从业资格证证书，完成职称提升，指导甲方人才团队开展学历提升工作，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提供线上/线下培训，指导甲方人才团队组织或参与碳监测、碳计量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学术交流及会议等。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其他要求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供应商具有所提供服务独立知识产权。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供应商项目负责人需要具备碳计量、碳监测或碳管理相关专业背景。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供应商技术负责人（不含项目负责人）需要具备碳管理或计算机相关专业背景。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供应商需提供团队技术人员（不含项目负责人和技术负责人）至少2人，可提供培训、技术指导、技术咨询、技术方案编写等技术支撑。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（一）采购标的的时间、地点和服务要求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合同签订后，项目服务期满1年整。服务地点为广西壮族自治区范围。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（二）付款条件：签订合同后，待甲方收到乙方提供相应金额的合法发票，10个工作日内向乙方支付合同总金额100%的款项。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（三）项目实施期间，乙方需及时提供技术培训和指导。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（四）服务期间，乙方</w:t>
      </w:r>
      <w:r>
        <w:rPr>
          <w:rFonts w:hint="eastAsia" w:ascii="仿宋" w:hAnsi="仿宋" w:eastAsia="仿宋" w:cs="仿宋"/>
          <w:sz w:val="32"/>
          <w:szCs w:val="32"/>
          <w:u w:val="none"/>
        </w:rPr>
        <w:t>提供必要的技术指导、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培训产生的费用由乙方支付。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（五）乙方需保障甲方数据安全。依托项目使用及产生的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</w:rPr>
        <w:t>数据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lang w:val="en-US" w:eastAsia="zh-CN"/>
        </w:rPr>
        <w:t>算法未经甲方同意，不能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</w:rPr>
        <w:t>给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lang w:val="en-US" w:eastAsia="zh-CN"/>
        </w:rPr>
        <w:t>其他任何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</w:rPr>
        <w:t>第三方使用。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CF2DEA-F43E-425F-9135-5C8BC662A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8383FF-4443-414E-9126-17DFBE829C9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72104D-4A8E-4467-9884-56185B79E0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5NzY1ZWMyZWQzM2Y2YWI2ZjJiYjRlMGU0MWJmYzYifQ=="/>
  </w:docVars>
  <w:rsids>
    <w:rsidRoot w:val="0084459E"/>
    <w:rsid w:val="000F58F2"/>
    <w:rsid w:val="0011399D"/>
    <w:rsid w:val="00140712"/>
    <w:rsid w:val="002320C0"/>
    <w:rsid w:val="00266885"/>
    <w:rsid w:val="002A46DF"/>
    <w:rsid w:val="004E7226"/>
    <w:rsid w:val="0084459E"/>
    <w:rsid w:val="00AA3BA1"/>
    <w:rsid w:val="00C72E99"/>
    <w:rsid w:val="00CF4E5D"/>
    <w:rsid w:val="00E03764"/>
    <w:rsid w:val="00EA7CDC"/>
    <w:rsid w:val="00FC54C7"/>
    <w:rsid w:val="015E4ACC"/>
    <w:rsid w:val="07AE35A7"/>
    <w:rsid w:val="08AA0601"/>
    <w:rsid w:val="09B052F6"/>
    <w:rsid w:val="0A79424C"/>
    <w:rsid w:val="0DCD7C36"/>
    <w:rsid w:val="0DFC330D"/>
    <w:rsid w:val="0F0D1F91"/>
    <w:rsid w:val="0F52785C"/>
    <w:rsid w:val="11321BC4"/>
    <w:rsid w:val="155F7720"/>
    <w:rsid w:val="15F70B98"/>
    <w:rsid w:val="16F91A40"/>
    <w:rsid w:val="173A24A9"/>
    <w:rsid w:val="1D5B5EB7"/>
    <w:rsid w:val="1F2951AD"/>
    <w:rsid w:val="1FE52AEF"/>
    <w:rsid w:val="281401DD"/>
    <w:rsid w:val="28602815"/>
    <w:rsid w:val="29B77500"/>
    <w:rsid w:val="2BEA0719"/>
    <w:rsid w:val="2C4E043E"/>
    <w:rsid w:val="2CF611AC"/>
    <w:rsid w:val="2FCD04FA"/>
    <w:rsid w:val="30626FC7"/>
    <w:rsid w:val="30983075"/>
    <w:rsid w:val="32103750"/>
    <w:rsid w:val="342746FC"/>
    <w:rsid w:val="36DA75BB"/>
    <w:rsid w:val="37E926F3"/>
    <w:rsid w:val="38313E6B"/>
    <w:rsid w:val="3A9E037E"/>
    <w:rsid w:val="3B6E4E12"/>
    <w:rsid w:val="3BF62297"/>
    <w:rsid w:val="3EA62CD7"/>
    <w:rsid w:val="3EFC3961"/>
    <w:rsid w:val="3FD633C9"/>
    <w:rsid w:val="432A59BE"/>
    <w:rsid w:val="43EC54FA"/>
    <w:rsid w:val="45D4339E"/>
    <w:rsid w:val="47775FCD"/>
    <w:rsid w:val="4A691BA3"/>
    <w:rsid w:val="4B4B6913"/>
    <w:rsid w:val="4BE946D8"/>
    <w:rsid w:val="4BEF7421"/>
    <w:rsid w:val="4E2841FD"/>
    <w:rsid w:val="4E605066"/>
    <w:rsid w:val="4F9714A0"/>
    <w:rsid w:val="4FCE1B25"/>
    <w:rsid w:val="53894649"/>
    <w:rsid w:val="53D2506A"/>
    <w:rsid w:val="53DE5139"/>
    <w:rsid w:val="55C67A47"/>
    <w:rsid w:val="57425C42"/>
    <w:rsid w:val="57784D6D"/>
    <w:rsid w:val="592E0CDD"/>
    <w:rsid w:val="5B282703"/>
    <w:rsid w:val="5CE826FB"/>
    <w:rsid w:val="5D7C12EC"/>
    <w:rsid w:val="65503446"/>
    <w:rsid w:val="69837FB6"/>
    <w:rsid w:val="69AA1A66"/>
    <w:rsid w:val="6A652199"/>
    <w:rsid w:val="6EFD3E03"/>
    <w:rsid w:val="70D71323"/>
    <w:rsid w:val="72F904C2"/>
    <w:rsid w:val="73166DBA"/>
    <w:rsid w:val="757F40D0"/>
    <w:rsid w:val="76091AB6"/>
    <w:rsid w:val="778B5CCA"/>
    <w:rsid w:val="787303DE"/>
    <w:rsid w:val="79436D5F"/>
    <w:rsid w:val="7A096743"/>
    <w:rsid w:val="7BC875F7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First Indent"/>
    <w:basedOn w:val="5"/>
    <w:next w:val="5"/>
    <w:qFormat/>
    <w:uiPriority w:val="0"/>
    <w:pPr>
      <w:ind w:firstLine="420"/>
    </w:pPr>
    <w:rPr>
      <w:szCs w:val="20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公文标题"/>
    <w:basedOn w:val="1"/>
    <w:link w:val="13"/>
    <w:qFormat/>
    <w:uiPriority w:val="0"/>
    <w:pPr>
      <w:autoSpaceDE w:val="0"/>
      <w:autoSpaceDN w:val="0"/>
      <w:ind w:firstLine="640"/>
      <w:jc w:val="center"/>
    </w:pPr>
    <w:rPr>
      <w:rFonts w:eastAsia="方正小标宋_GBK"/>
      <w:sz w:val="44"/>
      <w:szCs w:val="32"/>
    </w:rPr>
  </w:style>
  <w:style w:type="character" w:customStyle="1" w:styleId="13">
    <w:name w:val="公文标题 字符"/>
    <w:basedOn w:val="11"/>
    <w:link w:val="12"/>
    <w:qFormat/>
    <w:uiPriority w:val="0"/>
    <w:rPr>
      <w:rFonts w:ascii="仿宋" w:hAnsi="仿宋" w:eastAsia="方正小标宋_GBK" w:cs="Times New Roman"/>
      <w:sz w:val="44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1269</Words>
  <Characters>1279</Characters>
  <Lines>10</Lines>
  <Paragraphs>2</Paragraphs>
  <TotalTime>3</TotalTime>
  <ScaleCrop>false</ScaleCrop>
  <LinksUpToDate>false</LinksUpToDate>
  <CharactersWithSpaces>1281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2023-02-02T10:30:00Z</dcterms:created>
  <dc:creator>'阮姗姗'</dc:creator>
  <cp:lastModifiedBy>'undefined'</cp:lastModifiedBy>
  <dcterms:modified xsi:type="dcterms:W3CDTF">2025-12-14T08:08:52Z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EDCF2958A747460586DEFE52A75FD32C_13</vt:lpwstr>
  </property>
</Properties>
</file>