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EE66">
      <w:pPr>
        <w:overflowPunct w:val="0"/>
        <w:spacing w:line="600" w:lineRule="exact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6FD944E1">
      <w:pPr>
        <w:autoSpaceDE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highlight w:val="none"/>
        </w:rPr>
        <w:t>比选评审标准</w:t>
      </w:r>
    </w:p>
    <w:p w14:paraId="6F185904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tbl>
      <w:tblPr>
        <w:tblStyle w:val="7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608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277B491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348BD3A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 w14:paraId="083F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20CD69A0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A5695B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22844D02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分。</w:t>
            </w:r>
          </w:p>
        </w:tc>
      </w:tr>
      <w:tr w14:paraId="573C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7A09E00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项目实施方案</w:t>
            </w:r>
            <w:r>
              <w:rPr>
                <w:rFonts w:hint="eastAsia" w:ascii="Times New Roman" w:hAnsi="Times New Roman" w:eastAsia="仿宋" w:cs="宋体"/>
                <w:sz w:val="24"/>
              </w:rPr>
              <w:t>分</w:t>
            </w:r>
          </w:p>
          <w:p w14:paraId="69AE0C9B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052DB85D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由评委根据供应商提供的项目实施方案的优异程度独立评分。未提供项目实施方案的或不入档的不得分。</w:t>
            </w:r>
          </w:p>
          <w:p w14:paraId="3266FDCE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一档（15分）：提供项目执行组织措施、项目执行保障措施，有针对本项目情况合理投入销售经理，提供的方案基本合理，但不全面。方案实施配送效率基本满足采购人需求、运输工具基本满足项目需求；接到采购人临时需求或突发紧急状况提供有限的解决方案，组织措施及安排有序，能达到采购方的目的。</w:t>
            </w:r>
          </w:p>
          <w:p w14:paraId="1BB1FB2C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二档（20分）：提供的项目执行组织措施、项目执行保障措施详细可行，针对本项目情况提供有投入销售经理的经验履历说明及相关证书（包括但不限于与化学品相关的培训证书，环境、化学等相关专业毕业证书等证明材料）；方案实施配送效率较高、运输工具配置齐全，满足项目需求；接到采购人临时需求或突发紧急状况提供可行的解决方案，项目组织管理措施有具体的时间、质量、进度控制，有针对性且具有可行性。</w:t>
            </w:r>
          </w:p>
          <w:p w14:paraId="48A628D2">
            <w:pPr>
              <w:pStyle w:val="3"/>
              <w:rPr>
                <w:rFonts w:ascii="Times New Roman" w:hAnsi="Times New Roman" w:eastAsia="仿宋" w:cs="宋体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三档（25分）：提供的项目执行组织措施、项目执行保障措施详细可行，对本项目情况提供有投入销售经理的经验履历说明及相关证书（包括但不限于与化学品相关的培训证书，环境、化学等相关专业毕业证书等证明材料）；对认识准确透彻，方案表述清晰、严瑾、完整，方案实施配送效率高、运输工具配置先进，充分满足项目需求；接到采购人临时需求或突发紧急状况可提供有效的解决方案，有细化的项目进度计划流程，项目组织管理措施有具体的时间、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质量、进度控制，科学合理且有针对性。</w:t>
            </w:r>
          </w:p>
        </w:tc>
      </w:tr>
      <w:tr w14:paraId="09D5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  <w:jc w:val="center"/>
        </w:trPr>
        <w:tc>
          <w:tcPr>
            <w:tcW w:w="2542" w:type="dxa"/>
            <w:noWrap w:val="0"/>
            <w:vAlign w:val="center"/>
          </w:tcPr>
          <w:p w14:paraId="6986E21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三、售后服务承诺分（满分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434FBA4D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评委从售后服务承诺方案内容的完整性、可行性、免费调换期限、到达现场时间、如包装破损出现解决方案、免费技术培训方案、其他应急措施及方案等方面优异程度进行独立评分。未提供售后服务承诺的或不入档的不得分。</w:t>
            </w:r>
          </w:p>
          <w:p w14:paraId="68EB2F82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一档（17分）：供应商提供售后服务方案简单，包含有产品免费保修期限、产品出现问题到达现场时间、产品出现问题解决方案等3项内容，但不详细，基本满足项目要求。</w:t>
            </w:r>
          </w:p>
          <w:p w14:paraId="059AD3CF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二档（22分）：供应商提供较详细的售后服务方案，包含有产品免费保修期限、产品出现问题到达现场时间、产品出现问题解决方案、产品免费技术培训方案等4项内容，货物发生质量问题时接到通知后12小时内响应，24小时内到达现场处理，基本满足项目要求。</w:t>
            </w:r>
          </w:p>
          <w:p w14:paraId="2F0F96F1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三档（27分）：供应商提供详细的售后服务方案，包含有产品免费保修期限、产品出现问题到达现场时间、产品出现问题解决方案、产品免费技术培训方案、其他应急措施等5项内容，内容详细且具有可操作性，货物发生质量问题时接到通知后8小时内响应，12小时内到达现场处理，满足项目要求。</w:t>
            </w:r>
          </w:p>
          <w:p w14:paraId="26CF3A5F">
            <w:pPr>
              <w:pStyle w:val="3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四档（32分）：供应商提供详细的售后服务方案，包含有产品免费保修期限、产品出现问题到达现场时间、产品出现问题解决方案、产品免费技术培训方案、其他应急措施、供货要求及方案等6项内容，内容详细且具有可操作性，货物发生质量问题时接到通知后4小时内响应，8小时内到达现场处理，完全满足项目要求。</w:t>
            </w:r>
          </w:p>
        </w:tc>
      </w:tr>
      <w:tr w14:paraId="778C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542" w:type="dxa"/>
            <w:noWrap w:val="0"/>
            <w:vAlign w:val="center"/>
          </w:tcPr>
          <w:p w14:paraId="43690C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四、荣誉分（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5CA31DD9">
            <w:pPr>
              <w:pStyle w:val="3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①磋商供应商通过 ISO9001 质量管理体系认证、环境管理体系认证证书、职业健康安全管理体系认证，每项得1分；此项满分3分。（以提供认证证书复印件为准并加盖供应商公章，否则不计分）。</w:t>
            </w:r>
          </w:p>
          <w:p w14:paraId="0E311303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②磋商供应商2022年1月以来获得与生产经营相关的荣誉证书的，每项得1分，满分2分。（需提供证书复印件并加盖供应商公章，否则不计分）</w:t>
            </w:r>
          </w:p>
        </w:tc>
      </w:tr>
      <w:tr w14:paraId="04BB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034FF8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五、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信誉</w:t>
            </w:r>
            <w:r>
              <w:rPr>
                <w:rFonts w:hint="eastAsia" w:ascii="Times New Roman" w:hAnsi="Times New Roman" w:eastAsia="仿宋" w:cs="宋体"/>
                <w:sz w:val="24"/>
              </w:rPr>
              <w:t>业绩分（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7CC8A488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供应商自2022年1月至今具有同类项目业绩，以合同或中标（成交）通知书复印件为准并加盖供应商公章，每有一个同类项目业绩得2分，此项满分8分。</w:t>
            </w:r>
          </w:p>
        </w:tc>
      </w:tr>
    </w:tbl>
    <w:p w14:paraId="38443D6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0DF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DAF8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DAF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6B58"/>
    <w:rsid w:val="481438CD"/>
    <w:rsid w:val="4E2D6541"/>
    <w:rsid w:val="609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1498</Words>
  <Characters>1525</Characters>
  <Lines>0</Lines>
  <Paragraphs>0</Paragraphs>
  <TotalTime>0</TotalTime>
  <ScaleCrop>false</ScaleCrop>
  <LinksUpToDate>false</LinksUpToDate>
  <CharactersWithSpaces>1529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2026-01-14T09:55:00Z</dcterms:created>
  <dc:creator>箐箐</dc:creator>
  <cp:lastModifiedBy>箐箐</cp:lastModifiedBy>
  <dcterms:modified xsi:type="dcterms:W3CDTF">2026-01-14T10:00:42Z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395AD0C3E52A4442A05A2D59DA3961CD_13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