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附件6</w:t>
      </w:r>
    </w:p>
    <w:p>
      <w:pPr>
        <w:snapToGrid w:val="0"/>
        <w:spacing w:after="157" w:afterLines="50" w:line="540" w:lineRule="exact"/>
        <w:jc w:val="center"/>
        <w:rPr>
          <w:rFonts w:ascii="方正小标宋_GBK" w:eastAsia="方正小标宋_GBK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报价人参加本项目无串通行为的承诺函</w:t>
      </w:r>
      <w:bookmarkEnd w:id="0"/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一、我方承诺无下列相互串通报价的情形（包括但不限于）：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方</w:t>
      </w:r>
      <w:r>
        <w:rPr>
          <w:rFonts w:ascii="Times New Roman" w:hAnsi="Times New Roman" w:eastAsia="仿宋"/>
          <w:sz w:val="28"/>
          <w:szCs w:val="28"/>
          <w:highlight w:val="none"/>
        </w:rPr>
        <w:t>或者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某</w:t>
      </w:r>
      <w:r>
        <w:rPr>
          <w:rFonts w:ascii="Times New Roman" w:hAnsi="Times New Roman" w:eastAsia="仿宋"/>
          <w:sz w:val="28"/>
          <w:szCs w:val="28"/>
          <w:highlight w:val="none"/>
        </w:rPr>
        <w:t>个人编制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或授意编制</w:t>
      </w:r>
      <w:r>
        <w:rPr>
          <w:rFonts w:ascii="Times New Roman" w:hAnsi="Times New Roman" w:eastAsia="仿宋"/>
          <w:sz w:val="28"/>
          <w:szCs w:val="28"/>
          <w:highlight w:val="none"/>
        </w:rPr>
        <w:t>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2.不同报价人委托同一单位或者个人办理报价事宜；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3.不同的报价人的报价文件载明的项目管理员为同一个人；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4.不同报价人的报价文件异常一致或者报价呈规律性差异；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5.不同报价人的报价文件相互混装。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二、我方承诺无下列恶意串通的情形（包括但不限于）：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相关方</w:t>
      </w:r>
      <w:r>
        <w:rPr>
          <w:rFonts w:ascii="Times New Roman" w:hAnsi="Times New Roman" w:eastAsia="仿宋"/>
          <w:sz w:val="28"/>
          <w:szCs w:val="28"/>
          <w:highlight w:val="none"/>
        </w:rPr>
        <w:t>获得其他报价人的相关信息并修改其报价文件；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2.报价人按照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某个</w:t>
      </w:r>
      <w:r>
        <w:rPr>
          <w:rFonts w:ascii="Times New Roman" w:hAnsi="Times New Roman" w:eastAsia="仿宋"/>
          <w:sz w:val="28"/>
          <w:szCs w:val="28"/>
          <w:highlight w:val="none"/>
        </w:rPr>
        <w:t>采购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相关方</w:t>
      </w:r>
      <w:r>
        <w:rPr>
          <w:rFonts w:ascii="Times New Roman" w:hAnsi="Times New Roman" w:eastAsia="仿宋"/>
          <w:sz w:val="28"/>
          <w:szCs w:val="28"/>
          <w:highlight w:val="none"/>
        </w:rPr>
        <w:t>的授意撤换、修改报价文件；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3.报价人之间协商报价；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4.属于同一集团、协会、商会等组织成员的报价人按照该组织要求协同参加采购活动；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5.报价人之间事先约定一致抬高或者压低</w:t>
      </w:r>
      <w:r>
        <w:rPr>
          <w:rFonts w:hint="eastAsia" w:eastAsia="仿宋"/>
          <w:sz w:val="28"/>
          <w:szCs w:val="28"/>
          <w:highlight w:val="none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  <w:highlight w:val="none"/>
        </w:rPr>
        <w:t>，或者在采购项目中事先约定轮流以高价位或者低价位成交，或者事先约定由某一特定报价人成交，然后再参加报价；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6.报价人之间商定部分报价人放弃参加采购活动或者放弃成交；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7.报价人与采购人之间、报价人相互之间，为谋求特定报价人中标或者排斥其他报价人的其他串通行为。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以上情形一经核查属实，我方愿意承担一切后果，并不再寻求任何旨在减轻或者免除法律责任的辩解。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3360" w:firstLineChars="12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报价人名称（公章）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540" w:lineRule="exact"/>
        <w:ind w:firstLine="560" w:firstLineChars="200"/>
        <w:contextualSpacing/>
      </w:pP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51A5"/>
    <w:rsid w:val="5FE251A5"/>
    <w:rsid w:val="63DE266D"/>
    <w:rsid w:val="6A1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3"/>
    </w:pPr>
    <w:rPr>
      <w:rFonts w:ascii="Times New Roman" w:hAnsi="Times New Roman" w:eastAsia="黑体" w:cs="Times New Roman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20" w:lineRule="exact"/>
      <w:ind w:firstLine="409" w:firstLineChars="195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样式"/>
    <w:basedOn w:val="1"/>
    <w:qFormat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2026-02-09T02:16:00Z</dcterms:created>
  <dc:creator>卢燕梅</dc:creator>
  <cp:lastModifiedBy>卢燕梅</cp:lastModifiedBy>
  <dcterms:modified xsi:type="dcterms:W3CDTF">2026-02-09T02:16:42Z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