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33891">
      <w:pPr>
        <w:tabs>
          <w:tab w:val="left" w:pos="0"/>
        </w:tabs>
        <w:spacing w:line="600" w:lineRule="exact"/>
        <w:jc w:val="lef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w:t>
      </w:r>
    </w:p>
    <w:p w14:paraId="3F72ECD4">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广西壮族自治区柳州生态环境监测中心</w:t>
      </w:r>
    </w:p>
    <w:p w14:paraId="2DA8E128">
      <w:pPr>
        <w:keepNext w:val="0"/>
        <w:keepLines w:val="0"/>
        <w:pageBreakBefore w:val="0"/>
        <w:widowControl w:val="0"/>
        <w:tabs>
          <w:tab w:val="left" w:pos="0"/>
        </w:tabs>
        <w:kinsoku/>
        <w:wordWrap/>
        <w:overflowPunct/>
        <w:topLinePunct w:val="0"/>
        <w:autoSpaceDE/>
        <w:autoSpaceDN/>
        <w:bidi w:val="0"/>
        <w:adjustRightInd/>
        <w:snapToGrid/>
        <w:spacing w:after="157" w:afterLines="50" w:line="240" w:lineRule="auto"/>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2021年－2025年柳州市生态环境质量报告书数据分析服务评分标准</w:t>
      </w:r>
    </w:p>
    <w:p w14:paraId="43359FE5">
      <w:pPr>
        <w:keepNext w:val="0"/>
        <w:keepLines w:val="0"/>
        <w:pageBreakBefore w:val="0"/>
        <w:widowControl w:val="0"/>
        <w:kinsoku/>
        <w:wordWrap/>
        <w:overflowPunct/>
        <w:topLinePunct w:val="0"/>
        <w:autoSpaceDE/>
        <w:autoSpaceDN/>
        <w:bidi w:val="0"/>
        <w:adjustRightInd/>
        <w:snapToGrid/>
        <w:spacing w:after="313" w:afterLines="100" w:line="500" w:lineRule="exact"/>
        <w:ind w:firstLine="480" w:firstLineChars="200"/>
        <w:textAlignment w:val="auto"/>
        <w:rPr>
          <w:rFonts w:hint="eastAsia" w:ascii="Times New Roman" w:hAnsi="Times New Roman" w:eastAsia="仿宋" w:cs="宋体"/>
          <w:bCs/>
          <w:kern w:val="0"/>
          <w:sz w:val="24"/>
          <w:szCs w:val="24"/>
          <w:lang w:val="en-US" w:eastAsia="zh-CN" w:bidi="ar-SA"/>
        </w:rPr>
      </w:pPr>
      <w:r>
        <w:rPr>
          <w:rFonts w:hint="eastAsia" w:ascii="Times New Roman" w:hAnsi="Times New Roman" w:eastAsia="仿宋" w:cs="宋体"/>
          <w:bCs/>
          <w:kern w:val="0"/>
          <w:sz w:val="24"/>
          <w:szCs w:val="24"/>
          <w:lang w:val="en-US" w:eastAsia="zh-CN" w:bidi="ar-SA"/>
        </w:rPr>
        <w:t>本次2021年－2025年柳州市生态环境质量报告书数据分析服务评分体系共分为四个部分，分别是价格部分、技术部分、商务部分和服务部分，总分值为100 分。各部分具体权重如下：</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334"/>
        <w:gridCol w:w="5665"/>
        <w:gridCol w:w="642"/>
      </w:tblGrid>
      <w:tr w14:paraId="095B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15" w:type="pct"/>
            <w:vAlign w:val="center"/>
          </w:tcPr>
          <w:p w14:paraId="3B2F8662">
            <w:pPr>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782" w:type="pct"/>
            <w:vAlign w:val="center"/>
          </w:tcPr>
          <w:p w14:paraId="0516C76D">
            <w:pPr>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评审内容</w:t>
            </w:r>
          </w:p>
        </w:tc>
        <w:tc>
          <w:tcPr>
            <w:tcW w:w="3324" w:type="pct"/>
            <w:vAlign w:val="center"/>
          </w:tcPr>
          <w:p w14:paraId="5F2BB930">
            <w:pPr>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评审标准得分</w:t>
            </w:r>
          </w:p>
        </w:tc>
        <w:tc>
          <w:tcPr>
            <w:tcW w:w="376" w:type="pct"/>
            <w:vAlign w:val="center"/>
          </w:tcPr>
          <w:p w14:paraId="52380493">
            <w:pPr>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得分</w:t>
            </w:r>
          </w:p>
        </w:tc>
      </w:tr>
      <w:tr w14:paraId="754C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15" w:type="pct"/>
            <w:vAlign w:val="center"/>
          </w:tcPr>
          <w:p w14:paraId="17BB6448">
            <w:pPr>
              <w:snapToGrid w:val="0"/>
              <w:jc w:val="center"/>
              <w:rPr>
                <w:rFonts w:hint="eastAsia" w:asciiTheme="majorEastAsia" w:hAnsiTheme="majorEastAsia" w:eastAsiaTheme="majorEastAsia" w:cstheme="majorEastAsia"/>
                <w:b/>
                <w:bCs/>
              </w:rPr>
            </w:pPr>
          </w:p>
        </w:tc>
        <w:tc>
          <w:tcPr>
            <w:tcW w:w="4107" w:type="pct"/>
            <w:gridSpan w:val="2"/>
            <w:vAlign w:val="center"/>
          </w:tcPr>
          <w:p w14:paraId="01A888A4">
            <w:pPr>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一、价格部分（30分）</w:t>
            </w:r>
          </w:p>
        </w:tc>
        <w:tc>
          <w:tcPr>
            <w:tcW w:w="376" w:type="pct"/>
            <w:vAlign w:val="center"/>
          </w:tcPr>
          <w:p w14:paraId="13ECE6EF">
            <w:pPr>
              <w:snapToGrid w:val="0"/>
              <w:jc w:val="center"/>
              <w:rPr>
                <w:rFonts w:hint="eastAsia" w:asciiTheme="majorEastAsia" w:hAnsiTheme="majorEastAsia" w:eastAsiaTheme="majorEastAsia" w:cstheme="majorEastAsia"/>
                <w:b/>
                <w:bCs/>
              </w:rPr>
            </w:pPr>
          </w:p>
        </w:tc>
      </w:tr>
      <w:tr w14:paraId="5B42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 w:type="pct"/>
            <w:vAlign w:val="center"/>
          </w:tcPr>
          <w:p w14:paraId="4F63A26E">
            <w:pPr>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782" w:type="pct"/>
            <w:vAlign w:val="center"/>
          </w:tcPr>
          <w:p w14:paraId="4270C08E">
            <w:pPr>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b/>
                <w:bCs/>
                <w:sz w:val="21"/>
                <w:szCs w:val="21"/>
              </w:rPr>
              <w:t>投标报价（30分）</w:t>
            </w:r>
          </w:p>
        </w:tc>
        <w:tc>
          <w:tcPr>
            <w:tcW w:w="3324" w:type="pct"/>
          </w:tcPr>
          <w:p w14:paraId="0397B18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eastAsia="zh-CN"/>
              </w:rPr>
              <w:t>（</w:t>
            </w:r>
            <w:r>
              <w:rPr>
                <w:rFonts w:hint="eastAsia" w:ascii="Times New Roman" w:hAnsi="Times New Roman" w:eastAsia="仿宋" w:cs="Times New Roman"/>
                <w:sz w:val="21"/>
                <w:szCs w:val="21"/>
                <w:lang w:val="en-US" w:eastAsia="zh-CN"/>
              </w:rPr>
              <w:t>1）</w:t>
            </w:r>
            <w:r>
              <w:rPr>
                <w:rFonts w:hint="default" w:ascii="Times New Roman" w:hAnsi="Times New Roman" w:eastAsia="仿宋" w:cs="Times New Roman"/>
                <w:sz w:val="21"/>
                <w:szCs w:val="21"/>
              </w:rPr>
              <w:t>确定评标基准价</w:t>
            </w:r>
            <w:r>
              <w:rPr>
                <w:rFonts w:hint="eastAsia" w:ascii="Times New Roman" w:hAnsi="Times New Roman" w:eastAsia="仿宋" w:cs="Times New Roman"/>
                <w:sz w:val="21"/>
                <w:szCs w:val="21"/>
                <w:lang w:eastAsia="zh-CN"/>
              </w:rPr>
              <w:t>：</w:t>
            </w:r>
            <w:r>
              <w:rPr>
                <w:rFonts w:hint="default" w:ascii="Times New Roman" w:hAnsi="Times New Roman" w:eastAsia="仿宋" w:cs="Times New Roman"/>
                <w:sz w:val="21"/>
                <w:szCs w:val="21"/>
              </w:rPr>
              <w:t>以所有通过资格审查和初步评审的有效投标报价中的最低报价作为评标基准价。若出现多家供应商报价相同且均为最低报价的情况，则该最低报价即为评标基准价。​</w:t>
            </w:r>
          </w:p>
          <w:p w14:paraId="439AAB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eastAsia="zh-CN"/>
              </w:rPr>
              <w:t>（</w:t>
            </w:r>
            <w:r>
              <w:rPr>
                <w:rFonts w:hint="eastAsia" w:ascii="Times New Roman" w:hAnsi="Times New Roman" w:eastAsia="仿宋" w:cs="Times New Roman"/>
                <w:sz w:val="21"/>
                <w:szCs w:val="21"/>
                <w:lang w:val="en-US" w:eastAsia="zh-CN"/>
              </w:rPr>
              <w:t>2）</w:t>
            </w:r>
            <w:r>
              <w:rPr>
                <w:rFonts w:hint="default" w:ascii="Times New Roman" w:hAnsi="Times New Roman" w:eastAsia="仿宋" w:cs="Times New Roman"/>
                <w:sz w:val="21"/>
                <w:szCs w:val="21"/>
              </w:rPr>
              <w:t>计算投标报价分</w:t>
            </w:r>
            <w:r>
              <w:rPr>
                <w:rFonts w:hint="eastAsia" w:ascii="Times New Roman" w:hAnsi="Times New Roman" w:eastAsia="仿宋" w:cs="Times New Roman"/>
                <w:sz w:val="21"/>
                <w:szCs w:val="21"/>
                <w:lang w:val="en-US" w:eastAsia="zh-CN"/>
              </w:rPr>
              <w:t>计算公式：</w:t>
            </w:r>
            <w:r>
              <w:rPr>
                <w:rFonts w:hint="eastAsia" w:ascii="Times New Roman" w:hAnsi="Times New Roman" w:eastAsia="仿宋" w:cs="Times New Roman"/>
                <w:sz w:val="21"/>
                <w:szCs w:val="21"/>
              </w:rPr>
              <w:t>某供应商价格分 = 供应商最低评审报价（金额）/某供应商评审报价（金额）×</w:t>
            </w:r>
            <w:r>
              <w:rPr>
                <w:rFonts w:hint="eastAsia" w:ascii="Times New Roman" w:hAnsi="Times New Roman" w:eastAsia="仿宋" w:cs="Times New Roman"/>
                <w:sz w:val="21"/>
                <w:szCs w:val="21"/>
                <w:lang w:val="en-US" w:eastAsia="zh-CN"/>
              </w:rPr>
              <w:t>30</w:t>
            </w:r>
            <w:r>
              <w:rPr>
                <w:rFonts w:hint="eastAsia" w:ascii="Times New Roman" w:hAnsi="Times New Roman" w:eastAsia="仿宋" w:cs="Times New Roman"/>
                <w:sz w:val="21"/>
                <w:szCs w:val="21"/>
              </w:rPr>
              <w:t>分。</w:t>
            </w:r>
          </w:p>
          <w:p w14:paraId="6F18A42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eastAsia="zh-CN"/>
              </w:rPr>
              <w:t>（</w:t>
            </w:r>
            <w:r>
              <w:rPr>
                <w:rFonts w:hint="eastAsia" w:ascii="Times New Roman" w:hAnsi="Times New Roman" w:eastAsia="仿宋" w:cs="Times New Roman"/>
                <w:sz w:val="21"/>
                <w:szCs w:val="21"/>
                <w:lang w:val="en-US" w:eastAsia="zh-CN"/>
              </w:rPr>
              <w:t>3）</w:t>
            </w:r>
            <w:r>
              <w:rPr>
                <w:rFonts w:hint="default" w:ascii="Times New Roman" w:hAnsi="Times New Roman" w:eastAsia="仿宋" w:cs="Times New Roman"/>
                <w:sz w:val="21"/>
                <w:szCs w:val="21"/>
              </w:rPr>
              <w:t>特殊情况处理</w:t>
            </w:r>
            <w:r>
              <w:rPr>
                <w:rFonts w:hint="eastAsia" w:ascii="Times New Roman" w:hAnsi="Times New Roman" w:eastAsia="仿宋" w:cs="Times New Roman"/>
                <w:sz w:val="21"/>
                <w:szCs w:val="21"/>
                <w:lang w:eastAsia="zh-CN"/>
              </w:rPr>
              <w:t>：</w:t>
            </w:r>
            <w:r>
              <w:rPr>
                <w:rFonts w:hint="default" w:ascii="Times New Roman" w:hAnsi="Times New Roman" w:eastAsia="仿宋" w:cs="Times New Roman"/>
                <w:sz w:val="21"/>
                <w:szCs w:val="21"/>
              </w:rPr>
              <w:t>若投标报价低于成本价（由评标委员会根据市场行情、生产成本等因素综合判断），该投标文件将被视为无效投标，不参与价格部分评分。</w:t>
            </w:r>
          </w:p>
        </w:tc>
        <w:tc>
          <w:tcPr>
            <w:tcW w:w="376" w:type="pct"/>
          </w:tcPr>
          <w:p w14:paraId="24EFB1A1">
            <w:pPr>
              <w:snapToGrid w:val="0"/>
              <w:ind w:firstLine="420" w:firstLineChars="200"/>
              <w:rPr>
                <w:rFonts w:hint="eastAsia" w:asciiTheme="minorEastAsia" w:hAnsiTheme="minorEastAsia" w:cstheme="minorEastAsia"/>
              </w:rPr>
            </w:pPr>
          </w:p>
        </w:tc>
      </w:tr>
      <w:tr w14:paraId="235C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000" w:type="pct"/>
            <w:gridSpan w:val="4"/>
            <w:vAlign w:val="center"/>
          </w:tcPr>
          <w:p w14:paraId="542E32AA">
            <w:pPr>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二、技术部分（</w:t>
            </w:r>
            <w:r>
              <w:rPr>
                <w:rFonts w:hint="eastAsia" w:asciiTheme="majorEastAsia" w:hAnsiTheme="majorEastAsia" w:eastAsiaTheme="majorEastAsia" w:cstheme="majorEastAsia"/>
                <w:b/>
                <w:bCs/>
                <w:lang w:val="en-US" w:eastAsia="zh-CN"/>
              </w:rPr>
              <w:t>4</w:t>
            </w:r>
            <w:r>
              <w:rPr>
                <w:rFonts w:hint="eastAsia" w:asciiTheme="majorEastAsia" w:hAnsiTheme="majorEastAsia" w:eastAsiaTheme="majorEastAsia" w:cstheme="majorEastAsia"/>
                <w:b/>
                <w:bCs/>
              </w:rPr>
              <w:t>0分）</w:t>
            </w:r>
          </w:p>
        </w:tc>
      </w:tr>
      <w:tr w14:paraId="53D4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15" w:type="pct"/>
            <w:vAlign w:val="center"/>
          </w:tcPr>
          <w:p w14:paraId="135D0C3F">
            <w:pPr>
              <w:snapToGrid w:val="0"/>
              <w:jc w:val="center"/>
              <w:rPr>
                <w:rFonts w:hint="eastAsia" w:ascii="Times New Roman" w:hAnsi="Times New Roman" w:eastAsia="仿宋" w:cs="Times New Roman"/>
                <w:b/>
                <w:bCs/>
                <w:sz w:val="21"/>
                <w:szCs w:val="21"/>
              </w:rPr>
            </w:pPr>
            <w:r>
              <w:rPr>
                <w:rFonts w:hint="eastAsia" w:ascii="Times New Roman" w:hAnsi="Times New Roman" w:eastAsia="仿宋" w:cs="Times New Roman"/>
                <w:b/>
                <w:bCs/>
                <w:sz w:val="21"/>
                <w:szCs w:val="21"/>
              </w:rPr>
              <w:t>1</w:t>
            </w:r>
          </w:p>
        </w:tc>
        <w:tc>
          <w:tcPr>
            <w:tcW w:w="782" w:type="pct"/>
            <w:vAlign w:val="center"/>
          </w:tcPr>
          <w:p w14:paraId="5B26E91A">
            <w:pPr>
              <w:snapToGrid w:val="0"/>
              <w:jc w:val="center"/>
              <w:rPr>
                <w:rFonts w:hint="eastAsia" w:ascii="Times New Roman" w:hAnsi="Times New Roman" w:eastAsia="仿宋" w:cs="Times New Roman"/>
                <w:b/>
                <w:bCs/>
                <w:sz w:val="21"/>
                <w:szCs w:val="21"/>
              </w:rPr>
            </w:pPr>
          </w:p>
          <w:p w14:paraId="6A6EE0E7">
            <w:pPr>
              <w:snapToGrid w:val="0"/>
              <w:jc w:val="center"/>
              <w:rPr>
                <w:rFonts w:hint="eastAsia" w:ascii="Times New Roman" w:hAnsi="Times New Roman" w:eastAsia="仿宋" w:cs="Times New Roman"/>
                <w:b/>
                <w:bCs/>
                <w:sz w:val="21"/>
                <w:szCs w:val="21"/>
              </w:rPr>
            </w:pPr>
            <w:r>
              <w:rPr>
                <w:rFonts w:hint="eastAsia" w:ascii="Times New Roman" w:hAnsi="Times New Roman" w:eastAsia="仿宋" w:cs="Times New Roman"/>
                <w:b/>
                <w:bCs/>
                <w:sz w:val="21"/>
                <w:szCs w:val="21"/>
                <w:lang w:val="en-US" w:eastAsia="zh-CN"/>
              </w:rPr>
              <w:t>服务方案</w:t>
            </w:r>
            <w:r>
              <w:rPr>
                <w:rFonts w:hint="eastAsia" w:ascii="Times New Roman" w:hAnsi="Times New Roman" w:eastAsia="仿宋" w:cs="Times New Roman"/>
                <w:b/>
                <w:bCs/>
                <w:sz w:val="21"/>
                <w:szCs w:val="21"/>
              </w:rPr>
              <w:t>分（</w:t>
            </w:r>
            <w:r>
              <w:rPr>
                <w:rFonts w:hint="eastAsia" w:ascii="Times New Roman" w:hAnsi="Times New Roman" w:eastAsia="仿宋" w:cs="Times New Roman"/>
                <w:b/>
                <w:bCs/>
                <w:sz w:val="21"/>
                <w:szCs w:val="21"/>
                <w:lang w:val="en-US" w:eastAsia="zh-CN"/>
              </w:rPr>
              <w:t>4</w:t>
            </w:r>
            <w:r>
              <w:rPr>
                <w:rFonts w:hint="eastAsia" w:ascii="Times New Roman" w:hAnsi="Times New Roman" w:eastAsia="仿宋" w:cs="Times New Roman"/>
                <w:b/>
                <w:bCs/>
                <w:sz w:val="21"/>
                <w:szCs w:val="21"/>
              </w:rPr>
              <w:t>0分）</w:t>
            </w:r>
          </w:p>
        </w:tc>
        <w:tc>
          <w:tcPr>
            <w:tcW w:w="3324" w:type="pct"/>
            <w:vAlign w:val="center"/>
          </w:tcPr>
          <w:p w14:paraId="68110F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w:t>
            </w:r>
            <w:r>
              <w:rPr>
                <w:rFonts w:hint="eastAsia" w:ascii="Times New Roman" w:hAnsi="Times New Roman" w:eastAsia="仿宋" w:cs="Times New Roman"/>
                <w:sz w:val="21"/>
                <w:szCs w:val="21"/>
                <w:lang w:val="en-US" w:eastAsia="zh-CN"/>
              </w:rPr>
              <w:t>1</w:t>
            </w:r>
            <w:r>
              <w:rPr>
                <w:rFonts w:hint="eastAsia" w:ascii="Times New Roman" w:hAnsi="Times New Roman" w:eastAsia="仿宋" w:cs="Times New Roman"/>
                <w:sz w:val="21"/>
                <w:szCs w:val="21"/>
                <w:lang w:eastAsia="zh-CN"/>
              </w:rPr>
              <w:t>）项目理解分（满分</w:t>
            </w:r>
            <w:r>
              <w:rPr>
                <w:rFonts w:hint="eastAsia" w:ascii="Times New Roman" w:hAnsi="Times New Roman" w:eastAsia="仿宋" w:cs="Times New Roman"/>
                <w:sz w:val="21"/>
                <w:szCs w:val="21"/>
                <w:lang w:val="en-US" w:eastAsia="zh-CN"/>
              </w:rPr>
              <w:t>15</w:t>
            </w:r>
            <w:r>
              <w:rPr>
                <w:rFonts w:hint="eastAsia" w:ascii="Times New Roman" w:hAnsi="Times New Roman" w:eastAsia="仿宋" w:cs="Times New Roman"/>
                <w:sz w:val="21"/>
                <w:szCs w:val="21"/>
                <w:lang w:eastAsia="zh-CN"/>
              </w:rPr>
              <w:t>分）</w:t>
            </w:r>
          </w:p>
          <w:p w14:paraId="6EAD34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一档（</w:t>
            </w:r>
            <w:r>
              <w:rPr>
                <w:rFonts w:hint="eastAsia" w:ascii="Times New Roman" w:hAnsi="Times New Roman" w:eastAsia="仿宋" w:cs="Times New Roman"/>
                <w:sz w:val="21"/>
                <w:szCs w:val="21"/>
                <w:lang w:val="en-US" w:eastAsia="zh-CN"/>
              </w:rPr>
              <w:t>15</w:t>
            </w:r>
            <w:r>
              <w:rPr>
                <w:rFonts w:hint="eastAsia" w:ascii="Times New Roman" w:hAnsi="Times New Roman" w:eastAsia="仿宋" w:cs="Times New Roman"/>
                <w:sz w:val="21"/>
                <w:szCs w:val="21"/>
                <w:lang w:eastAsia="zh-CN"/>
              </w:rPr>
              <w:t>分）：项目理解内容具体详尽、切合本项目特点实际，分析到位，对项目的组织实施具有指导性的。</w:t>
            </w:r>
          </w:p>
          <w:p w14:paraId="7D26D0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二档（</w:t>
            </w:r>
            <w:r>
              <w:rPr>
                <w:rFonts w:hint="eastAsia" w:ascii="Times New Roman" w:hAnsi="Times New Roman" w:eastAsia="仿宋" w:cs="Times New Roman"/>
                <w:sz w:val="21"/>
                <w:szCs w:val="21"/>
                <w:lang w:val="en-US" w:eastAsia="zh-CN"/>
              </w:rPr>
              <w:t>12</w:t>
            </w:r>
            <w:r>
              <w:rPr>
                <w:rFonts w:hint="eastAsia" w:ascii="Times New Roman" w:hAnsi="Times New Roman" w:eastAsia="仿宋" w:cs="Times New Roman"/>
                <w:sz w:val="21"/>
                <w:szCs w:val="21"/>
                <w:lang w:eastAsia="zh-CN"/>
              </w:rPr>
              <w:t>分）：项目理解内容无针对性的。</w:t>
            </w:r>
          </w:p>
          <w:p w14:paraId="0F1113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三档（</w:t>
            </w:r>
            <w:r>
              <w:rPr>
                <w:rFonts w:hint="eastAsia" w:ascii="Times New Roman" w:hAnsi="Times New Roman" w:eastAsia="仿宋" w:cs="Times New Roman"/>
                <w:sz w:val="21"/>
                <w:szCs w:val="21"/>
                <w:lang w:val="en-US" w:eastAsia="zh-CN"/>
              </w:rPr>
              <w:t>8</w:t>
            </w:r>
            <w:r>
              <w:rPr>
                <w:rFonts w:hint="eastAsia" w:ascii="Times New Roman" w:hAnsi="Times New Roman" w:eastAsia="仿宋" w:cs="Times New Roman"/>
                <w:sz w:val="21"/>
                <w:szCs w:val="21"/>
                <w:lang w:eastAsia="zh-CN"/>
              </w:rPr>
              <w:t>分）：未提供相关内容材料或者存在明显偏差不符实际的。</w:t>
            </w:r>
          </w:p>
          <w:p w14:paraId="687CDB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w:t>
            </w:r>
            <w:r>
              <w:rPr>
                <w:rFonts w:hint="eastAsia" w:ascii="Times New Roman" w:hAnsi="Times New Roman" w:eastAsia="仿宋" w:cs="Times New Roman"/>
                <w:sz w:val="21"/>
                <w:szCs w:val="21"/>
                <w:lang w:val="en-US" w:eastAsia="zh-CN"/>
              </w:rPr>
              <w:t>2</w:t>
            </w:r>
            <w:r>
              <w:rPr>
                <w:rFonts w:hint="eastAsia" w:ascii="Times New Roman" w:hAnsi="Times New Roman" w:eastAsia="仿宋" w:cs="Times New Roman"/>
                <w:sz w:val="21"/>
                <w:szCs w:val="21"/>
                <w:lang w:eastAsia="zh-CN"/>
              </w:rPr>
              <w:t>）服务计划分（满分</w:t>
            </w:r>
            <w:r>
              <w:rPr>
                <w:rFonts w:hint="eastAsia" w:ascii="Times New Roman" w:hAnsi="Times New Roman" w:eastAsia="仿宋" w:cs="Times New Roman"/>
                <w:sz w:val="21"/>
                <w:szCs w:val="21"/>
                <w:lang w:val="en-US" w:eastAsia="zh-CN"/>
              </w:rPr>
              <w:t>15</w:t>
            </w:r>
            <w:r>
              <w:rPr>
                <w:rFonts w:hint="eastAsia" w:ascii="Times New Roman" w:hAnsi="Times New Roman" w:eastAsia="仿宋" w:cs="Times New Roman"/>
                <w:sz w:val="21"/>
                <w:szCs w:val="21"/>
                <w:lang w:eastAsia="zh-CN"/>
              </w:rPr>
              <w:t>分）</w:t>
            </w:r>
          </w:p>
          <w:p w14:paraId="7A2F19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一档（</w:t>
            </w:r>
            <w:r>
              <w:rPr>
                <w:rFonts w:hint="eastAsia" w:ascii="Times New Roman" w:hAnsi="Times New Roman" w:eastAsia="仿宋" w:cs="Times New Roman"/>
                <w:sz w:val="21"/>
                <w:szCs w:val="21"/>
                <w:lang w:val="en-US" w:eastAsia="zh-CN"/>
              </w:rPr>
              <w:t>15</w:t>
            </w:r>
            <w:r>
              <w:rPr>
                <w:rFonts w:hint="eastAsia" w:ascii="Times New Roman" w:hAnsi="Times New Roman" w:eastAsia="仿宋" w:cs="Times New Roman"/>
                <w:sz w:val="21"/>
                <w:szCs w:val="21"/>
                <w:lang w:eastAsia="zh-CN"/>
              </w:rPr>
              <w:t>分）：服务计划内容具体详尽、切合项目特点实际，计划有亮点，对项目的组织实施具有指导性的。</w:t>
            </w:r>
          </w:p>
          <w:p w14:paraId="1A81E2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二档（</w:t>
            </w:r>
            <w:r>
              <w:rPr>
                <w:rFonts w:hint="eastAsia" w:ascii="Times New Roman" w:hAnsi="Times New Roman" w:eastAsia="仿宋" w:cs="Times New Roman"/>
                <w:sz w:val="21"/>
                <w:szCs w:val="21"/>
                <w:lang w:val="en-US" w:eastAsia="zh-CN"/>
              </w:rPr>
              <w:t>12</w:t>
            </w:r>
            <w:r>
              <w:rPr>
                <w:rFonts w:hint="eastAsia" w:ascii="Times New Roman" w:hAnsi="Times New Roman" w:eastAsia="仿宋" w:cs="Times New Roman"/>
                <w:sz w:val="21"/>
                <w:szCs w:val="21"/>
                <w:lang w:eastAsia="zh-CN"/>
              </w:rPr>
              <w:t>分）：服务计划内容无针对性的。</w:t>
            </w:r>
          </w:p>
          <w:p w14:paraId="49734D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三档（</w:t>
            </w:r>
            <w:r>
              <w:rPr>
                <w:rFonts w:hint="eastAsia" w:ascii="Times New Roman" w:hAnsi="Times New Roman" w:eastAsia="仿宋" w:cs="Times New Roman"/>
                <w:sz w:val="21"/>
                <w:szCs w:val="21"/>
                <w:lang w:val="en-US" w:eastAsia="zh-CN"/>
              </w:rPr>
              <w:t>8</w:t>
            </w:r>
            <w:r>
              <w:rPr>
                <w:rFonts w:hint="eastAsia" w:ascii="Times New Roman" w:hAnsi="Times New Roman" w:eastAsia="仿宋" w:cs="Times New Roman"/>
                <w:sz w:val="21"/>
                <w:szCs w:val="21"/>
                <w:lang w:eastAsia="zh-CN"/>
              </w:rPr>
              <w:t>分）：未提供相关内容材料或者存在明显偏差不符实际的。</w:t>
            </w:r>
          </w:p>
          <w:p w14:paraId="3826DB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w:t>
            </w:r>
            <w:r>
              <w:rPr>
                <w:rFonts w:hint="eastAsia" w:ascii="Times New Roman" w:hAnsi="Times New Roman" w:eastAsia="仿宋" w:cs="Times New Roman"/>
                <w:sz w:val="21"/>
                <w:szCs w:val="21"/>
                <w:lang w:val="en-US" w:eastAsia="zh-CN"/>
              </w:rPr>
              <w:t>3</w:t>
            </w:r>
            <w:r>
              <w:rPr>
                <w:rFonts w:hint="eastAsia" w:ascii="Times New Roman" w:hAnsi="Times New Roman" w:eastAsia="仿宋" w:cs="Times New Roman"/>
                <w:sz w:val="21"/>
                <w:szCs w:val="21"/>
                <w:lang w:eastAsia="zh-CN"/>
              </w:rPr>
              <w:t>）组织与实施分（满分</w:t>
            </w:r>
            <w:r>
              <w:rPr>
                <w:rFonts w:hint="eastAsia" w:ascii="Times New Roman" w:hAnsi="Times New Roman" w:eastAsia="仿宋" w:cs="Times New Roman"/>
                <w:sz w:val="21"/>
                <w:szCs w:val="21"/>
                <w:lang w:val="en-US" w:eastAsia="zh-CN"/>
              </w:rPr>
              <w:t>10</w:t>
            </w:r>
            <w:r>
              <w:rPr>
                <w:rFonts w:hint="eastAsia" w:ascii="Times New Roman" w:hAnsi="Times New Roman" w:eastAsia="仿宋" w:cs="Times New Roman"/>
                <w:sz w:val="21"/>
                <w:szCs w:val="21"/>
                <w:lang w:eastAsia="zh-CN"/>
              </w:rPr>
              <w:t>分）</w:t>
            </w:r>
          </w:p>
          <w:p w14:paraId="7BB23C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一档（</w:t>
            </w:r>
            <w:r>
              <w:rPr>
                <w:rFonts w:hint="eastAsia" w:ascii="Times New Roman" w:hAnsi="Times New Roman" w:eastAsia="仿宋" w:cs="Times New Roman"/>
                <w:sz w:val="21"/>
                <w:szCs w:val="21"/>
                <w:lang w:val="en-US" w:eastAsia="zh-CN"/>
              </w:rPr>
              <w:t>10</w:t>
            </w:r>
            <w:r>
              <w:rPr>
                <w:rFonts w:hint="eastAsia" w:ascii="Times New Roman" w:hAnsi="Times New Roman" w:eastAsia="仿宋" w:cs="Times New Roman"/>
                <w:sz w:val="21"/>
                <w:szCs w:val="21"/>
                <w:lang w:eastAsia="zh-CN"/>
              </w:rPr>
              <w:t>分）：项目组织与实施内容具体详尽、切合项目特点实际，组织合理，对项目的组织实施具有指导性的。</w:t>
            </w:r>
          </w:p>
          <w:p w14:paraId="2E3288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二档（</w:t>
            </w:r>
            <w:r>
              <w:rPr>
                <w:rFonts w:hint="eastAsia" w:ascii="Times New Roman" w:hAnsi="Times New Roman" w:eastAsia="仿宋" w:cs="Times New Roman"/>
                <w:sz w:val="21"/>
                <w:szCs w:val="21"/>
                <w:lang w:val="en-US" w:eastAsia="zh-CN"/>
              </w:rPr>
              <w:t>8</w:t>
            </w:r>
            <w:r>
              <w:rPr>
                <w:rFonts w:hint="eastAsia" w:ascii="Times New Roman" w:hAnsi="Times New Roman" w:eastAsia="仿宋" w:cs="Times New Roman"/>
                <w:sz w:val="21"/>
                <w:szCs w:val="21"/>
                <w:lang w:eastAsia="zh-CN"/>
              </w:rPr>
              <w:t>分）：招标组织与实施内容无针对性的。</w:t>
            </w:r>
          </w:p>
          <w:p w14:paraId="545E86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
                <w:bCs/>
              </w:rPr>
            </w:pPr>
            <w:r>
              <w:rPr>
                <w:rFonts w:hint="eastAsia" w:ascii="Times New Roman" w:hAnsi="Times New Roman" w:eastAsia="仿宋" w:cs="Times New Roman"/>
                <w:sz w:val="21"/>
                <w:szCs w:val="21"/>
                <w:lang w:eastAsia="zh-CN"/>
              </w:rPr>
              <w:t>三档（</w:t>
            </w:r>
            <w:r>
              <w:rPr>
                <w:rFonts w:hint="eastAsia" w:ascii="Times New Roman" w:hAnsi="Times New Roman" w:eastAsia="仿宋" w:cs="Times New Roman"/>
                <w:sz w:val="21"/>
                <w:szCs w:val="21"/>
                <w:lang w:val="en-US" w:eastAsia="zh-CN"/>
              </w:rPr>
              <w:t>5</w:t>
            </w:r>
            <w:r>
              <w:rPr>
                <w:rFonts w:hint="eastAsia" w:ascii="Times New Roman" w:hAnsi="Times New Roman" w:eastAsia="仿宋" w:cs="Times New Roman"/>
                <w:sz w:val="21"/>
                <w:szCs w:val="21"/>
                <w:lang w:eastAsia="zh-CN"/>
              </w:rPr>
              <w:t>分）：未提供相关内容材料或者存在明显偏差不符实际的。</w:t>
            </w:r>
          </w:p>
        </w:tc>
        <w:tc>
          <w:tcPr>
            <w:tcW w:w="376" w:type="pct"/>
          </w:tcPr>
          <w:p w14:paraId="06A4E12A">
            <w:pPr>
              <w:snapToGrid w:val="0"/>
              <w:jc w:val="center"/>
              <w:rPr>
                <w:rFonts w:hint="eastAsia" w:asciiTheme="majorEastAsia" w:hAnsiTheme="majorEastAsia" w:eastAsiaTheme="majorEastAsia" w:cstheme="majorEastAsia"/>
                <w:b/>
                <w:bCs/>
              </w:rPr>
            </w:pPr>
          </w:p>
        </w:tc>
      </w:tr>
      <w:tr w14:paraId="6DF4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00" w:type="pct"/>
            <w:gridSpan w:val="4"/>
            <w:vAlign w:val="center"/>
          </w:tcPr>
          <w:p w14:paraId="446B2353">
            <w:pPr>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三、</w:t>
            </w:r>
            <w:r>
              <w:rPr>
                <w:rFonts w:hint="eastAsia" w:asciiTheme="majorEastAsia" w:hAnsiTheme="majorEastAsia" w:eastAsiaTheme="majorEastAsia" w:cstheme="majorEastAsia"/>
                <w:b/>
                <w:bCs/>
                <w:szCs w:val="21"/>
              </w:rPr>
              <w:t>商务部分（</w:t>
            </w:r>
            <w:r>
              <w:rPr>
                <w:rFonts w:hint="eastAsia" w:asciiTheme="majorEastAsia" w:hAnsiTheme="majorEastAsia" w:eastAsiaTheme="majorEastAsia" w:cstheme="majorEastAsia"/>
                <w:b/>
                <w:bCs/>
                <w:szCs w:val="21"/>
                <w:lang w:val="en-US" w:eastAsia="zh-CN"/>
              </w:rPr>
              <w:t>10</w:t>
            </w:r>
            <w:r>
              <w:rPr>
                <w:rFonts w:hint="eastAsia" w:asciiTheme="majorEastAsia" w:hAnsiTheme="majorEastAsia" w:eastAsiaTheme="majorEastAsia" w:cstheme="majorEastAsia"/>
                <w:b/>
                <w:bCs/>
                <w:szCs w:val="21"/>
              </w:rPr>
              <w:t>分）</w:t>
            </w:r>
          </w:p>
        </w:tc>
      </w:tr>
      <w:tr w14:paraId="76EF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515" w:type="pct"/>
            <w:vAlign w:val="center"/>
          </w:tcPr>
          <w:p w14:paraId="1AF2024B">
            <w:pPr>
              <w:snapToGrid w:val="0"/>
              <w:jc w:val="center"/>
              <w:rPr>
                <w:rFonts w:hint="eastAsia" w:ascii="Times New Roman" w:hAnsi="Times New Roman" w:eastAsia="仿宋" w:cs="Times New Roman"/>
                <w:b/>
                <w:bCs/>
                <w:sz w:val="21"/>
                <w:szCs w:val="21"/>
              </w:rPr>
            </w:pPr>
            <w:r>
              <w:rPr>
                <w:rFonts w:hint="eastAsia" w:ascii="Times New Roman" w:hAnsi="Times New Roman" w:eastAsia="仿宋" w:cs="Times New Roman"/>
                <w:b/>
                <w:bCs/>
                <w:sz w:val="21"/>
                <w:szCs w:val="21"/>
              </w:rPr>
              <w:t>1</w:t>
            </w:r>
          </w:p>
        </w:tc>
        <w:tc>
          <w:tcPr>
            <w:tcW w:w="782" w:type="pct"/>
            <w:vAlign w:val="center"/>
          </w:tcPr>
          <w:p w14:paraId="256AD56A">
            <w:pPr>
              <w:snapToGrid w:val="0"/>
              <w:jc w:val="center"/>
              <w:rPr>
                <w:rFonts w:hint="eastAsia" w:ascii="Times New Roman" w:hAnsi="Times New Roman" w:eastAsia="仿宋" w:cs="Times New Roman"/>
                <w:b/>
                <w:bCs/>
                <w:sz w:val="21"/>
                <w:szCs w:val="21"/>
              </w:rPr>
            </w:pPr>
            <w:r>
              <w:rPr>
                <w:rFonts w:hint="eastAsia" w:ascii="Times New Roman" w:hAnsi="Times New Roman" w:eastAsia="仿宋" w:cs="Times New Roman"/>
                <w:b/>
                <w:bCs/>
                <w:sz w:val="21"/>
                <w:szCs w:val="21"/>
              </w:rPr>
              <w:t>业绩分</w:t>
            </w:r>
          </w:p>
          <w:p w14:paraId="4E911FFF">
            <w:pPr>
              <w:snapToGrid w:val="0"/>
              <w:jc w:val="center"/>
              <w:rPr>
                <w:rFonts w:hint="eastAsia" w:ascii="Times New Roman" w:hAnsi="Times New Roman" w:eastAsia="仿宋" w:cs="Times New Roman"/>
                <w:b/>
                <w:bCs/>
                <w:sz w:val="21"/>
                <w:szCs w:val="21"/>
              </w:rPr>
            </w:pPr>
            <w:r>
              <w:rPr>
                <w:rFonts w:hint="eastAsia" w:ascii="Times New Roman" w:hAnsi="Times New Roman" w:eastAsia="仿宋" w:cs="Times New Roman"/>
                <w:b/>
                <w:bCs/>
                <w:sz w:val="21"/>
                <w:szCs w:val="21"/>
              </w:rPr>
              <w:t>（</w:t>
            </w:r>
            <w:r>
              <w:rPr>
                <w:rFonts w:hint="eastAsia" w:ascii="Times New Roman" w:hAnsi="Times New Roman" w:eastAsia="仿宋" w:cs="Times New Roman"/>
                <w:b/>
                <w:bCs/>
                <w:sz w:val="21"/>
                <w:szCs w:val="21"/>
                <w:lang w:val="en-US" w:eastAsia="zh-CN"/>
              </w:rPr>
              <w:t>10</w:t>
            </w:r>
            <w:r>
              <w:rPr>
                <w:rFonts w:hint="eastAsia" w:ascii="Times New Roman" w:hAnsi="Times New Roman" w:eastAsia="仿宋" w:cs="Times New Roman"/>
                <w:b/>
                <w:bCs/>
                <w:sz w:val="21"/>
                <w:szCs w:val="21"/>
              </w:rPr>
              <w:t>分）</w:t>
            </w:r>
          </w:p>
          <w:p w14:paraId="59F74743">
            <w:pPr>
              <w:snapToGrid w:val="0"/>
              <w:jc w:val="center"/>
              <w:rPr>
                <w:rFonts w:hint="eastAsia" w:ascii="Times New Roman" w:hAnsi="Times New Roman" w:eastAsia="仿宋" w:cs="Times New Roman"/>
                <w:b/>
                <w:bCs/>
                <w:sz w:val="21"/>
                <w:szCs w:val="21"/>
              </w:rPr>
            </w:pPr>
          </w:p>
        </w:tc>
        <w:tc>
          <w:tcPr>
            <w:tcW w:w="3324" w:type="pct"/>
          </w:tcPr>
          <w:p w14:paraId="46442E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自</w:t>
            </w:r>
            <w:r>
              <w:rPr>
                <w:rFonts w:hint="eastAsia" w:ascii="Times New Roman" w:hAnsi="Times New Roman" w:eastAsia="仿宋" w:cs="Times New Roman"/>
                <w:sz w:val="21"/>
                <w:szCs w:val="21"/>
                <w:lang w:eastAsia="zh-CN"/>
              </w:rPr>
              <w:t>20</w:t>
            </w:r>
            <w:r>
              <w:rPr>
                <w:rFonts w:hint="eastAsia" w:ascii="Times New Roman" w:hAnsi="Times New Roman" w:eastAsia="仿宋" w:cs="Times New Roman"/>
                <w:sz w:val="21"/>
                <w:szCs w:val="21"/>
                <w:lang w:val="en-US" w:eastAsia="zh-CN"/>
              </w:rPr>
              <w:t>23</w:t>
            </w:r>
            <w:r>
              <w:rPr>
                <w:rFonts w:hint="eastAsia" w:ascii="Times New Roman" w:hAnsi="Times New Roman" w:eastAsia="仿宋" w:cs="Times New Roman"/>
                <w:sz w:val="21"/>
                <w:szCs w:val="21"/>
                <w:lang w:eastAsia="zh-CN"/>
              </w:rPr>
              <w:t>年1月1日起算，具有与本次采购内容相类似的服务项目业绩的，每项业绩得5分（</w:t>
            </w:r>
            <w:r>
              <w:rPr>
                <w:rFonts w:hint="eastAsia" w:ascii="Times New Roman" w:hAnsi="Times New Roman" w:eastAsia="仿宋" w:cs="Times New Roman"/>
                <w:sz w:val="21"/>
                <w:szCs w:val="21"/>
                <w:lang w:val="en-US" w:eastAsia="zh-CN"/>
              </w:rPr>
              <w:t>满分10分</w:t>
            </w:r>
            <w:r>
              <w:rPr>
                <w:rFonts w:hint="eastAsia" w:ascii="Times New Roman" w:hAnsi="Times New Roman" w:eastAsia="仿宋" w:cs="Times New Roman"/>
                <w:sz w:val="21"/>
                <w:szCs w:val="21"/>
                <w:lang w:eastAsia="zh-CN"/>
              </w:rPr>
              <w:t>）。</w:t>
            </w:r>
          </w:p>
          <w:p w14:paraId="580D49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18"/>
                <w:szCs w:val="18"/>
              </w:rPr>
            </w:pPr>
            <w:r>
              <w:rPr>
                <w:rFonts w:hint="eastAsia" w:ascii="Times New Roman" w:hAnsi="Times New Roman" w:eastAsia="仿宋" w:cs="Times New Roman"/>
                <w:sz w:val="21"/>
                <w:szCs w:val="21"/>
                <w:lang w:eastAsia="zh-CN"/>
              </w:rPr>
              <w:t>备注：须提供项目清单（清单应包含委托人名称、项目名称、合同时间、合同金额等信息）及合同关键页复印件（封面、标的、盖章页等），否则不计分。</w:t>
            </w:r>
          </w:p>
        </w:tc>
        <w:tc>
          <w:tcPr>
            <w:tcW w:w="376" w:type="pct"/>
          </w:tcPr>
          <w:p w14:paraId="16942026">
            <w:pPr>
              <w:snapToGrid w:val="0"/>
              <w:jc w:val="center"/>
              <w:rPr>
                <w:rFonts w:hint="eastAsia" w:asciiTheme="majorEastAsia" w:hAnsiTheme="majorEastAsia" w:eastAsiaTheme="majorEastAsia" w:cstheme="majorEastAsia"/>
                <w:b/>
                <w:bCs/>
              </w:rPr>
            </w:pPr>
          </w:p>
        </w:tc>
      </w:tr>
      <w:tr w14:paraId="53C2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4"/>
            <w:vAlign w:val="center"/>
          </w:tcPr>
          <w:p w14:paraId="0EAAA077">
            <w:pPr>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szCs w:val="21"/>
              </w:rPr>
              <w:t>四、服务部分（</w:t>
            </w:r>
            <w:r>
              <w:rPr>
                <w:rFonts w:hint="eastAsia" w:asciiTheme="majorEastAsia" w:hAnsiTheme="majorEastAsia" w:eastAsiaTheme="majorEastAsia" w:cstheme="majorEastAsia"/>
                <w:b/>
                <w:bCs/>
                <w:szCs w:val="21"/>
                <w:lang w:val="en-US" w:eastAsia="zh-CN"/>
              </w:rPr>
              <w:t>20</w:t>
            </w:r>
            <w:r>
              <w:rPr>
                <w:rFonts w:hint="eastAsia" w:asciiTheme="majorEastAsia" w:hAnsiTheme="majorEastAsia" w:eastAsiaTheme="majorEastAsia" w:cstheme="majorEastAsia"/>
                <w:b/>
                <w:bCs/>
                <w:szCs w:val="21"/>
              </w:rPr>
              <w:t>分）</w:t>
            </w:r>
          </w:p>
        </w:tc>
      </w:tr>
      <w:tr w14:paraId="7E40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jc w:val="center"/>
        </w:trPr>
        <w:tc>
          <w:tcPr>
            <w:tcW w:w="515" w:type="pct"/>
            <w:vAlign w:val="center"/>
          </w:tcPr>
          <w:p w14:paraId="1E033743">
            <w:pPr>
              <w:snapToGrid w:val="0"/>
              <w:jc w:val="center"/>
              <w:rPr>
                <w:rFonts w:hint="eastAsia" w:ascii="Times New Roman" w:hAnsi="Times New Roman" w:eastAsia="仿宋" w:cs="Times New Roman"/>
                <w:b/>
                <w:bCs/>
                <w:sz w:val="21"/>
                <w:szCs w:val="21"/>
              </w:rPr>
            </w:pPr>
            <w:r>
              <w:rPr>
                <w:rFonts w:hint="eastAsia" w:ascii="Times New Roman" w:hAnsi="Times New Roman" w:eastAsia="仿宋" w:cs="Times New Roman"/>
                <w:b/>
                <w:bCs/>
                <w:sz w:val="21"/>
                <w:szCs w:val="21"/>
              </w:rPr>
              <w:t>1</w:t>
            </w:r>
          </w:p>
        </w:tc>
        <w:tc>
          <w:tcPr>
            <w:tcW w:w="782" w:type="pct"/>
            <w:vAlign w:val="center"/>
          </w:tcPr>
          <w:p w14:paraId="1D8EB38D">
            <w:pPr>
              <w:snapToGrid w:val="0"/>
              <w:jc w:val="center"/>
              <w:rPr>
                <w:rFonts w:hint="eastAsia" w:ascii="Times New Roman" w:hAnsi="Times New Roman" w:eastAsia="仿宋" w:cs="Times New Roman"/>
                <w:b/>
                <w:bCs/>
                <w:sz w:val="21"/>
                <w:szCs w:val="21"/>
              </w:rPr>
            </w:pPr>
            <w:r>
              <w:rPr>
                <w:rFonts w:hint="eastAsia" w:ascii="Times New Roman" w:hAnsi="Times New Roman" w:eastAsia="仿宋" w:cs="Times New Roman"/>
                <w:b/>
                <w:bCs/>
                <w:sz w:val="21"/>
                <w:szCs w:val="21"/>
              </w:rPr>
              <w:t>售后服务</w:t>
            </w:r>
          </w:p>
          <w:p w14:paraId="0085EB45">
            <w:pPr>
              <w:snapToGrid w:val="0"/>
              <w:jc w:val="center"/>
              <w:rPr>
                <w:rFonts w:hint="eastAsia" w:ascii="Times New Roman" w:hAnsi="Times New Roman" w:eastAsia="仿宋" w:cs="Times New Roman"/>
                <w:b/>
                <w:bCs/>
                <w:sz w:val="21"/>
                <w:szCs w:val="21"/>
              </w:rPr>
            </w:pPr>
            <w:r>
              <w:rPr>
                <w:rFonts w:hint="eastAsia" w:ascii="Times New Roman" w:hAnsi="Times New Roman" w:eastAsia="仿宋" w:cs="Times New Roman"/>
                <w:b/>
                <w:bCs/>
                <w:sz w:val="21"/>
                <w:szCs w:val="21"/>
              </w:rPr>
              <w:t>（</w:t>
            </w:r>
            <w:r>
              <w:rPr>
                <w:rFonts w:hint="eastAsia" w:ascii="Times New Roman" w:hAnsi="Times New Roman" w:eastAsia="仿宋" w:cs="Times New Roman"/>
                <w:b/>
                <w:bCs/>
                <w:sz w:val="21"/>
                <w:szCs w:val="21"/>
                <w:lang w:val="en-US" w:eastAsia="zh-CN"/>
              </w:rPr>
              <w:t>20</w:t>
            </w:r>
            <w:r>
              <w:rPr>
                <w:rFonts w:hint="eastAsia" w:ascii="Times New Roman" w:hAnsi="Times New Roman" w:eastAsia="仿宋" w:cs="Times New Roman"/>
                <w:b/>
                <w:bCs/>
                <w:sz w:val="21"/>
                <w:szCs w:val="21"/>
              </w:rPr>
              <w:t>分）</w:t>
            </w:r>
          </w:p>
        </w:tc>
        <w:tc>
          <w:tcPr>
            <w:tcW w:w="3324" w:type="pct"/>
            <w:vAlign w:val="center"/>
          </w:tcPr>
          <w:p w14:paraId="44F71E33">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kern w:val="2"/>
                <w:sz w:val="21"/>
                <w:szCs w:val="21"/>
                <w:lang w:val="en-US" w:eastAsia="zh-CN" w:bidi="ar-SA"/>
              </w:rPr>
              <w:t>依据供应商响应文件中所提供的服务方案及承诺的情况进行综合评定（包括：服务承诺、内部管理机制、服务方案、服务流程、进度控制等方面）进行独立评审并打分，未提供不得分。</w:t>
            </w:r>
          </w:p>
          <w:p w14:paraId="7188C40C">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kern w:val="2"/>
                <w:sz w:val="21"/>
                <w:szCs w:val="21"/>
                <w:lang w:val="en-US" w:eastAsia="zh-CN" w:bidi="ar-SA"/>
              </w:rPr>
              <w:t>一档（20分）：服务承诺可行，较全面，有健全的服务方案，服务流程科学合理，进度控制描述详尽清晰，内容切实可行、并且对重点难点的分析解决，有内部防范和风险控制制度等，总体评价优秀。</w:t>
            </w:r>
          </w:p>
          <w:p w14:paraId="78276ED5">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kern w:val="2"/>
                <w:sz w:val="21"/>
                <w:szCs w:val="21"/>
                <w:lang w:val="en-US" w:eastAsia="zh-CN" w:bidi="ar-SA"/>
              </w:rPr>
              <w:t>二档（15分）：服务承诺可行，较全面，有健全的服务方案，服务流程科学合理，进度控制较好，内容切实可行、并且对重点难点的分析解决。</w:t>
            </w:r>
          </w:p>
          <w:p w14:paraId="7B73E2B3">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仿宋" w:cs="Times New Roman"/>
                <w:kern w:val="2"/>
                <w:sz w:val="21"/>
                <w:szCs w:val="21"/>
                <w:lang w:val="en-US" w:eastAsia="zh-CN" w:bidi="ar-SA"/>
              </w:rPr>
            </w:pPr>
            <w:r>
              <w:rPr>
                <w:rFonts w:hint="eastAsia" w:ascii="Times New Roman" w:hAnsi="Times New Roman" w:eastAsia="仿宋" w:cs="Times New Roman"/>
                <w:kern w:val="2"/>
                <w:sz w:val="21"/>
                <w:szCs w:val="21"/>
                <w:lang w:val="en-US" w:eastAsia="zh-CN" w:bidi="ar-SA"/>
              </w:rPr>
              <w:t xml:space="preserve">三档（10分）：所提供的服务承诺比较全面，服务流程科学合理，进度控制有较详细描述，承诺内容可行，针对性好。     </w:t>
            </w:r>
          </w:p>
          <w:p w14:paraId="108E9898">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pPr>
            <w:r>
              <w:rPr>
                <w:rFonts w:hint="eastAsia" w:ascii="Times New Roman" w:hAnsi="Times New Roman" w:eastAsia="仿宋" w:cs="Times New Roman"/>
                <w:kern w:val="2"/>
                <w:sz w:val="21"/>
                <w:szCs w:val="21"/>
                <w:lang w:val="en-US" w:eastAsia="zh-CN" w:bidi="ar-SA"/>
              </w:rPr>
              <w:t>四档（</w:t>
            </w:r>
            <w:bookmarkStart w:id="0" w:name="_GoBack"/>
            <w:bookmarkEnd w:id="0"/>
            <w:r>
              <w:rPr>
                <w:rFonts w:hint="eastAsia" w:ascii="Times New Roman" w:hAnsi="Times New Roman" w:eastAsia="仿宋" w:cs="Times New Roman"/>
                <w:kern w:val="2"/>
                <w:sz w:val="21"/>
                <w:szCs w:val="21"/>
                <w:lang w:val="en-US" w:eastAsia="zh-CN" w:bidi="ar-SA"/>
              </w:rPr>
              <w:t>5分）：基本满足采购需求中的服务要求。</w:t>
            </w:r>
          </w:p>
        </w:tc>
        <w:tc>
          <w:tcPr>
            <w:tcW w:w="376" w:type="pct"/>
            <w:vAlign w:val="center"/>
          </w:tcPr>
          <w:p w14:paraId="79C40A27">
            <w:pPr>
              <w:snapToGrid w:val="0"/>
              <w:jc w:val="center"/>
              <w:rPr>
                <w:rFonts w:hint="eastAsia" w:asciiTheme="majorEastAsia" w:hAnsiTheme="majorEastAsia" w:eastAsiaTheme="majorEastAsia" w:cstheme="majorEastAsia"/>
                <w:b/>
                <w:bCs/>
                <w:szCs w:val="21"/>
              </w:rPr>
            </w:pPr>
          </w:p>
        </w:tc>
      </w:tr>
    </w:tbl>
    <w:p w14:paraId="26076EB5">
      <w:pPr>
        <w:pStyle w:val="3"/>
        <w:rPr>
          <w:rFonts w:hint="eastAsia"/>
          <w:lang w:val="en-US" w:eastAsia="zh-CN"/>
        </w:rPr>
      </w:pPr>
    </w:p>
    <w:p w14:paraId="4A4526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E7650"/>
    <w:rsid w:val="028D1286"/>
    <w:rsid w:val="0AC62ADE"/>
    <w:rsid w:val="0B0707EE"/>
    <w:rsid w:val="0EBE7650"/>
    <w:rsid w:val="122F0F7F"/>
    <w:rsid w:val="14003D33"/>
    <w:rsid w:val="18F408CB"/>
    <w:rsid w:val="1E796BE4"/>
    <w:rsid w:val="23682A53"/>
    <w:rsid w:val="245272C7"/>
    <w:rsid w:val="2E6C731B"/>
    <w:rsid w:val="30D22E7C"/>
    <w:rsid w:val="339815B9"/>
    <w:rsid w:val="35195307"/>
    <w:rsid w:val="38211F32"/>
    <w:rsid w:val="3AA0540C"/>
    <w:rsid w:val="3D2567B6"/>
    <w:rsid w:val="46F505F7"/>
    <w:rsid w:val="526157ED"/>
    <w:rsid w:val="528D16A7"/>
    <w:rsid w:val="56610C14"/>
    <w:rsid w:val="58665168"/>
    <w:rsid w:val="58831FCD"/>
    <w:rsid w:val="59423AA2"/>
    <w:rsid w:val="59E21E9D"/>
    <w:rsid w:val="5A4047BF"/>
    <w:rsid w:val="63777FF8"/>
    <w:rsid w:val="68FF448B"/>
    <w:rsid w:val="6FB74653"/>
    <w:rsid w:val="76901C90"/>
    <w:rsid w:val="788702DE"/>
    <w:rsid w:val="79813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snapToGrid w:val="0"/>
      <w:jc w:val="center"/>
    </w:pPr>
    <w:rPr>
      <w:rFonts w:ascii="宋体" w:hAnsi="Courier New"/>
      <w:kern w:val="0"/>
      <w:sz w:val="18"/>
      <w:szCs w:val="20"/>
    </w:rPr>
  </w:style>
  <w:style w:type="paragraph" w:styleId="3">
    <w:name w:val="Plain Text"/>
    <w:basedOn w:val="1"/>
    <w:qFormat/>
    <w:uiPriority w:val="0"/>
    <w:rPr>
      <w:rFonts w:ascii="宋体" w:hAnsi="Courier New"/>
      <w:kern w:val="0"/>
      <w:sz w:val="20"/>
      <w:szCs w:val="20"/>
    </w:rPr>
  </w:style>
  <w:style w:type="paragraph" w:styleId="4">
    <w:name w:val="Body Text"/>
    <w:basedOn w:val="1"/>
    <w:unhideWhenUsed/>
    <w:qFormat/>
    <w:uiPriority w:val="0"/>
    <w:pPr>
      <w:spacing w:after="120"/>
    </w:pPr>
  </w:style>
  <w:style w:type="paragraph" w:styleId="5">
    <w:name w:val="Normal (Web)"/>
    <w:basedOn w:val="1"/>
    <w:unhideWhenUsed/>
    <w:qFormat/>
    <w:uiPriority w:val="0"/>
    <w:pPr>
      <w:spacing w:before="100" w:beforeAutospacing="1" w:after="100" w:afterAutospacing="1"/>
      <w:jc w:val="left"/>
    </w:pPr>
    <w:rPr>
      <w:kern w:val="0"/>
      <w:sz w:val="24"/>
    </w:rPr>
  </w:style>
  <w:style w:type="paragraph" w:styleId="6">
    <w:name w:val="Body Text First Indent"/>
    <w:basedOn w:val="4"/>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1180</Words>
  <Characters>1248</Characters>
  <Lines>0</Lines>
  <Paragraphs>0</Paragraphs>
  <TotalTime>15</TotalTime>
  <ScaleCrop>false</ScaleCrop>
  <LinksUpToDate>false</LinksUpToDate>
  <CharactersWithSpaces>1257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2024-08-23T07:58:00Z</dcterms:created>
  <dc:creator>Lenovo</dc:creator>
  <cp:lastModifiedBy>静^_^微笑</cp:lastModifiedBy>
  <dcterms:modified xsi:type="dcterms:W3CDTF">2026-03-05T07:37:50Z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95266CC8902340AE91F75D4C26424610_13</vt:lpwstr>
  </property>
  <property fmtid="{D5CDD505-2E9C-101B-9397-08002B2CF9AE}" pid="4" name="KSOTemplateDocerSaveRecord">
    <vt:lpwstr>eyJoZGlkIjoiMjI3MDgyOTI3YTBmYWI3MTU5ZDBiYjIyOTNiZDU2YWIiLCJ1c2VySWQiOiIzNDYwNDgzNDcifQ==</vt:lpwstr>
  </property>
</Properties>
</file>