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6AA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附件3</w:t>
      </w:r>
    </w:p>
    <w:p w14:paraId="13CD90C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 w14:paraId="0FAF5A46">
      <w:pPr>
        <w:pStyle w:val="6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>项目名称：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南流江流域重金属污染生态风险评估、来源识别及防治对策研究技术服务</w:t>
      </w:r>
    </w:p>
    <w:tbl>
      <w:tblPr>
        <w:tblStyle w:val="4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468"/>
        <w:gridCol w:w="4168"/>
        <w:gridCol w:w="2095"/>
      </w:tblGrid>
      <w:tr w14:paraId="094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47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CB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 w:bidi="ar"/>
              </w:rPr>
              <w:t>项目需求内容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BE8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780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偏离说明</w:t>
            </w:r>
          </w:p>
        </w:tc>
      </w:tr>
      <w:tr w14:paraId="3450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B8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  <w:bookmarkStart w:id="0" w:name="_Toc21945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bookmarkEnd w:id="0"/>
          </w:p>
        </w:tc>
        <w:tc>
          <w:tcPr>
            <w:tcW w:w="6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服务内容：</w:t>
            </w:r>
          </w:p>
          <w:p w14:paraId="05AA59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一）开展南流江流域沉积物-水界面重金属迁移转化机制研究。在南流江流域（北海及钦州段）选取不少于15个代表性点位开展现场调查监测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（届时监测点位需经采购方确认）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，每个点位采集柱状沉积物样品（深度0—30cm，重点覆盖界面上下10cm范围），同步采集上覆水和孔隙水样品，监测项目为9种重金属（镉、铬、锰、铅、铊、铁、砷、锑、汞）含量以及pH、盐度和总有机碳（TOC）；界面过程研究方法：采用DGT（扩散梯度薄膜技术）原位测定沉积物-水界面有效态重金属的扩散通量，结合HR-Peeper（高分辨率孔隙水采集器）获取孔隙水重金属浓度剖面，揭示界面迁移特征。</w:t>
            </w:r>
          </w:p>
          <w:p w14:paraId="754F73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二）收集北海监测中心2025—2026年对南流江重金属污染溯源调查监测地表水、沉积物、土壤的监测数据，利用Arcgis，分析南流江流域重金属时空分布特征；采用地累积指数、潜在生态危害指数等方法，开展流域重金属生态风险评估。</w:t>
            </w:r>
          </w:p>
          <w:p w14:paraId="7CF95C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（三）根据资料收集和南流江水-沉积物界面迁移转化行为研究结果，结合主成分分析和相关性分析等方法，厘清重金属主要来源，提出针对性的重金属污染防控与管理策略。</w:t>
            </w:r>
          </w:p>
          <w:p w14:paraId="19790E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（四）编制调查研究报告</w:t>
            </w:r>
          </w:p>
          <w:p w14:paraId="1777EA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南流江流域沉积物-水界面重金属迁移转化机制研究完成后，结合数据资料收集，最终编制并提供《南流江流域重金属污染生态风险评估、来源识别及防治对策研究》，报告内容包括但不限于：1.南流江流域重金属时空分布特征。2.南流江流域重金属污染生态风险评估。3.南流江流域沉积物-水界面重金属迁移转化机制：沉积物-水界面重金属分布特征，量化沉积物和水界面之间的垂直迁移通量，阐明环境因子对迁移过程的影响。4.污染来源识别：通过主成分分析与相关性分析，结合界面特征，厘清重金属主要来源。5.防治管理对策建议：基于界面迁移机制和溯源调查结果，提出针对性的污染防控与管理策略，为南流江流域生态环境治理提供科学支持。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A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/>
              </w:rPr>
              <w:t>由供应商对应项目需求内容逐项响应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C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01C0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8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提交成果要求：</w:t>
            </w:r>
          </w:p>
          <w:p w14:paraId="7D4958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《南流江流域重金属污染生态风险评估、来源识别及防治对策研究报告》提交时间：2026年1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日前。</w:t>
            </w:r>
          </w:p>
          <w:p w14:paraId="20EE52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提交技术咨询成果的形式：咨询成果纸质文件，一式8套；相应的电子版以光盘一式3份给采购人。并配合采购人完成验收工作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8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D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62E4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D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商务要求：</w:t>
            </w:r>
          </w:p>
          <w:p w14:paraId="7A75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1.报价要求</w:t>
            </w:r>
          </w:p>
          <w:p w14:paraId="67E88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本项目实行总承包报价，报价为采购人指定服务范围内的全部价格，至少包括：（1）服务的价格（包括调查人工、材料、监测租赁费、调查监测人员差旅费、劳务费等）；（2）必要的保险费用和各项税金；（3）验收及专家评估费用等；（4）与本项目有关的其他一切费用。</w:t>
            </w:r>
          </w:p>
          <w:p w14:paraId="07919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采购人不再支付成交价格以外的任何费用。</w:t>
            </w:r>
          </w:p>
          <w:p w14:paraId="649F5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2.项目服务时间</w:t>
            </w:r>
          </w:p>
          <w:p w14:paraId="44C3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服务期限：自合同签订之日起至项目成果获采购人验收通过之日止。</w:t>
            </w:r>
          </w:p>
          <w:p w14:paraId="7F6D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服务地点：广西北海市及采购人指定地点。</w:t>
            </w:r>
          </w:p>
          <w:p w14:paraId="4537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3.服务交付时间及交付地点</w:t>
            </w:r>
          </w:p>
          <w:p w14:paraId="2B00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（1）交付时间：2026年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日前</w:t>
            </w:r>
          </w:p>
          <w:p w14:paraId="35F2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（2）交付地点：广西壮族自治区北海生态环境监测中心</w:t>
            </w:r>
          </w:p>
          <w:p w14:paraId="501E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4.付款条件</w:t>
            </w:r>
          </w:p>
          <w:p w14:paraId="6791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合同签订之日起7个工作日内支付合同款的50%；通过采购人组织的成果验收后7个工作日内支付项目合同余款。付款前成交供应商提供请款函和对应支付金额的合法发票。</w:t>
            </w:r>
          </w:p>
          <w:p w14:paraId="7E55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5.保密要求</w:t>
            </w:r>
          </w:p>
          <w:p w14:paraId="0392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竞标人严格执行国家有关的保密法律法规及规章制度。对采购人提供的各种管理资料、监测数据资料，竞标人应妥善保管，不得向第三方提供、转述该资料的任何部分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，否则，造成严重后果的，追究其法律责任。</w:t>
            </w:r>
          </w:p>
          <w:p w14:paraId="217C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6.知识产权</w:t>
            </w:r>
          </w:p>
          <w:p w14:paraId="58957BBD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项目成果归采购人所有。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在现有调查研究基础上，合作投稿不少于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中文核心期刊论文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。</w:t>
            </w:r>
          </w:p>
          <w:p w14:paraId="32ED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7.成果验收标准</w:t>
            </w:r>
          </w:p>
          <w:p w14:paraId="724F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项目成果通过采购单位组织的验收。</w:t>
            </w:r>
          </w:p>
          <w:p w14:paraId="52F3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firstLine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</w:rPr>
              <w:t>8.其他要求</w:t>
            </w:r>
          </w:p>
          <w:p w14:paraId="00C123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自发布成交结果公告之日起，成交人应与采购人于7个工作日内签订合同。成交人逾期不签订合同的，视为成交人主动放弃成交结果，由此产生的全部责任后果由成交人承担。</w:t>
            </w:r>
          </w:p>
        </w:tc>
        <w:tc>
          <w:tcPr>
            <w:tcW w:w="4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9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/>
              <w:spacing w:before="0" w:beforeAutospacing="0" w:after="0" w:afterAutospacing="0" w:line="312" w:lineRule="exact"/>
              <w:ind w:left="0" w:right="0" w:firstLine="0" w:firstLineChars="0"/>
              <w:jc w:val="both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</w:tbl>
    <w:p w14:paraId="15B4B56A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报价单位（盖章）：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 xml:space="preserve">      单位地址：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 xml:space="preserve">   </w:t>
      </w:r>
    </w:p>
    <w:p w14:paraId="1F1E0F19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联系人（签字）：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 xml:space="preserve">     联系方式：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 xml:space="preserve">   报价日期：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bidi="ar"/>
        </w:rPr>
        <w:t xml:space="preserve">                   </w:t>
      </w:r>
    </w:p>
    <w:p w14:paraId="33C2B9EE">
      <w:pPr>
        <w:overflowPunct w:val="0"/>
        <w:autoSpaceDE w:val="0"/>
        <w:spacing w:line="500" w:lineRule="exact"/>
        <w:ind w:firstLine="480" w:firstLineChars="200"/>
        <w:outlineLvl w:val="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1E364EA"/>
    <w:rsid w:val="023512AC"/>
    <w:rsid w:val="0F65034F"/>
    <w:rsid w:val="19E5590B"/>
    <w:rsid w:val="1E7C1811"/>
    <w:rsid w:val="1EB3776D"/>
    <w:rsid w:val="204F4F90"/>
    <w:rsid w:val="22665581"/>
    <w:rsid w:val="280B47C0"/>
    <w:rsid w:val="294B23CF"/>
    <w:rsid w:val="2BB94100"/>
    <w:rsid w:val="33607171"/>
    <w:rsid w:val="34303A26"/>
    <w:rsid w:val="3C7E7F9F"/>
    <w:rsid w:val="40672095"/>
    <w:rsid w:val="41390A92"/>
    <w:rsid w:val="414B5C99"/>
    <w:rsid w:val="488D5B16"/>
    <w:rsid w:val="4D5E2AFB"/>
    <w:rsid w:val="514A632A"/>
    <w:rsid w:val="51D90756"/>
    <w:rsid w:val="527841B4"/>
    <w:rsid w:val="58B640DC"/>
    <w:rsid w:val="5C89392A"/>
    <w:rsid w:val="5FEA88D8"/>
    <w:rsid w:val="60DF20EB"/>
    <w:rsid w:val="60E53887"/>
    <w:rsid w:val="6271300E"/>
    <w:rsid w:val="640E1B35"/>
    <w:rsid w:val="64212D54"/>
    <w:rsid w:val="69280027"/>
    <w:rsid w:val="698450AA"/>
    <w:rsid w:val="6A763739"/>
    <w:rsid w:val="6AD66FD5"/>
    <w:rsid w:val="6C784183"/>
    <w:rsid w:val="6FC42B34"/>
    <w:rsid w:val="700B1AE0"/>
    <w:rsid w:val="719E4475"/>
    <w:rsid w:val="726A5DF7"/>
    <w:rsid w:val="74A65227"/>
    <w:rsid w:val="77A30552"/>
    <w:rsid w:val="789F07F6"/>
    <w:rsid w:val="7BC81C90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1681</Characters>
  <Lines>0</Lines>
  <Paragraphs>0</Paragraphs>
  <TotalTime>6</TotalTime>
  <ScaleCrop>false</ScaleCrop>
  <LinksUpToDate>false</LinksUpToDate>
  <CharactersWithSpaces>1817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2024-11-13T12:23:00Z</dcterms:created>
  <dc:creator>Lenovo-001</dc:creator>
  <cp:lastModifiedBy>SYH</cp:lastModifiedBy>
  <dcterms:modified xsi:type="dcterms:W3CDTF">2026-02-26T07:16:54Z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4757F52FC5F9442EB7412AB21615245C_13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