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440"/>
        </w:tabs>
        <w:spacing w:line="360" w:lineRule="atLeast"/>
        <w:jc w:val="left"/>
        <w:rPr>
          <w:rFonts w:ascii="仿宋" w:hAnsi="仿宋" w:eastAsia="仿宋" w:cs="Arial"/>
          <w:bCs/>
          <w:kern w:val="0"/>
          <w:sz w:val="32"/>
          <w:szCs w:val="28"/>
        </w:rPr>
      </w:pPr>
      <w:r>
        <w:rPr>
          <w:rFonts w:hint="eastAsia" w:ascii="仿宋" w:hAnsi="仿宋" w:eastAsia="仿宋" w:cs="Arial"/>
          <w:bCs/>
          <w:kern w:val="0"/>
          <w:sz w:val="32"/>
          <w:szCs w:val="28"/>
        </w:rPr>
        <w:t>附件2</w:t>
      </w:r>
    </w:p>
    <w:p>
      <w:pPr>
        <w:jc w:val="center"/>
        <w:rPr>
          <w:rFonts w:hint="default" w:ascii="方正小标宋_GBK" w:hAnsi="宋体" w:eastAsia="方正小标宋_GBK" w:cs="宋体"/>
          <w:b/>
          <w:bCs/>
          <w:kern w:val="0"/>
          <w:sz w:val="40"/>
          <w:szCs w:val="40"/>
          <w:lang w:val="en-US" w:eastAsia="zh-CN"/>
        </w:rPr>
      </w:pPr>
      <w:r>
        <w:rPr>
          <w:rFonts w:hint="eastAsia" w:ascii="方正小标宋_GBK" w:hAnsi="宋体" w:eastAsia="方正小标宋_GBK" w:cs="宋体"/>
          <w:b/>
          <w:bCs/>
          <w:kern w:val="0"/>
          <w:sz w:val="40"/>
          <w:szCs w:val="40"/>
        </w:rPr>
        <w:t>广西壮族自治区</w:t>
      </w:r>
      <w:r>
        <w:rPr>
          <w:rFonts w:hint="eastAsia" w:ascii="方正小标宋_GBK" w:hAnsi="宋体" w:eastAsia="方正小标宋_GBK" w:cs="宋体"/>
          <w:b/>
          <w:bCs/>
          <w:kern w:val="0"/>
          <w:sz w:val="40"/>
          <w:szCs w:val="40"/>
          <w:lang w:val="en-US" w:eastAsia="zh-CN"/>
        </w:rPr>
        <w:t>环境保护科学研究院</w:t>
      </w:r>
    </w:p>
    <w:p>
      <w:pPr>
        <w:jc w:val="center"/>
        <w:rPr>
          <w:rFonts w:ascii="方正小标宋_GBK" w:eastAsia="方正小标宋_GBK"/>
        </w:rPr>
      </w:pPr>
      <w:r>
        <w:rPr>
          <w:rFonts w:hint="eastAsia" w:ascii="方正小标宋_GBK" w:hAnsi="宋体" w:eastAsia="方正小标宋_GBK" w:cs="宋体"/>
          <w:b/>
          <w:bCs/>
          <w:kern w:val="0"/>
          <w:sz w:val="40"/>
          <w:szCs w:val="40"/>
        </w:rPr>
        <w:t>法律顾问委托服务采购评分标准</w:t>
      </w:r>
    </w:p>
    <w:tbl>
      <w:tblPr>
        <w:tblStyle w:val="5"/>
        <w:tblW w:w="9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89"/>
        <w:gridCol w:w="1063"/>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37" w:type="dxa"/>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b/>
                <w:bCs/>
                <w:kern w:val="0"/>
                <w:sz w:val="24"/>
              </w:rPr>
            </w:pPr>
            <w:r>
              <w:rPr>
                <w:rFonts w:hint="eastAsia" w:ascii="宋体" w:hAnsi="宋体" w:cs="宋体"/>
                <w:b/>
                <w:bCs/>
                <w:kern w:val="0"/>
                <w:sz w:val="24"/>
              </w:rPr>
              <w:t>序号</w:t>
            </w:r>
          </w:p>
        </w:tc>
        <w:tc>
          <w:tcPr>
            <w:tcW w:w="1089" w:type="dxa"/>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b/>
                <w:bCs/>
                <w:kern w:val="0"/>
                <w:sz w:val="24"/>
              </w:rPr>
            </w:pPr>
            <w:r>
              <w:rPr>
                <w:rFonts w:hint="eastAsia" w:ascii="宋体" w:hAnsi="宋体" w:cs="宋体"/>
                <w:b/>
                <w:bCs/>
                <w:kern w:val="0"/>
                <w:sz w:val="24"/>
              </w:rPr>
              <w:t>评分因素及权重</w:t>
            </w:r>
            <w:bookmarkStart w:id="0" w:name="_GoBack"/>
            <w:bookmarkEnd w:id="0"/>
          </w:p>
        </w:tc>
        <w:tc>
          <w:tcPr>
            <w:tcW w:w="1063" w:type="dxa"/>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b/>
                <w:bCs/>
                <w:kern w:val="0"/>
                <w:sz w:val="24"/>
              </w:rPr>
            </w:pPr>
            <w:r>
              <w:rPr>
                <w:rFonts w:hint="eastAsia" w:ascii="宋体" w:hAnsi="宋体" w:cs="宋体"/>
                <w:b/>
                <w:bCs/>
                <w:kern w:val="0"/>
                <w:sz w:val="24"/>
              </w:rPr>
              <w:t>分值</w:t>
            </w:r>
          </w:p>
        </w:tc>
        <w:tc>
          <w:tcPr>
            <w:tcW w:w="6728" w:type="dxa"/>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b/>
                <w:bCs/>
                <w:kern w:val="0"/>
                <w:sz w:val="24"/>
              </w:rPr>
            </w:pPr>
            <w:r>
              <w:rPr>
                <w:rFonts w:hint="eastAsia" w:ascii="宋体" w:hAnsi="宋体" w:cs="宋体"/>
                <w:b/>
                <w:bCs/>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637"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9"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项目报价10%</w:t>
            </w:r>
          </w:p>
        </w:tc>
        <w:tc>
          <w:tcPr>
            <w:tcW w:w="1063"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10分</w:t>
            </w:r>
          </w:p>
        </w:tc>
        <w:tc>
          <w:tcPr>
            <w:tcW w:w="6728" w:type="dxa"/>
            <w:vAlign w:val="center"/>
          </w:tcPr>
          <w:p>
            <w:pPr>
              <w:widowControl/>
              <w:spacing w:line="400" w:lineRule="exact"/>
              <w:jc w:val="left"/>
              <w:rPr>
                <w:rFonts w:ascii="仿宋" w:hAnsi="仿宋" w:eastAsia="仿宋" w:cs="宋体"/>
                <w:kern w:val="0"/>
                <w:sz w:val="21"/>
                <w:szCs w:val="21"/>
              </w:rPr>
            </w:pPr>
            <w:r>
              <w:rPr>
                <w:rFonts w:hint="eastAsia" w:ascii="仿宋" w:hAnsi="仿宋" w:eastAsia="仿宋" w:cs="宋体"/>
                <w:kern w:val="0"/>
                <w:sz w:val="21"/>
                <w:szCs w:val="21"/>
              </w:rPr>
              <w:t>有效报价不得高于预算金额</w:t>
            </w:r>
            <w:r>
              <w:rPr>
                <w:rFonts w:hint="eastAsia" w:ascii="仿宋" w:hAnsi="仿宋" w:eastAsia="仿宋" w:cs="宋体"/>
                <w:kern w:val="0"/>
                <w:sz w:val="21"/>
                <w:szCs w:val="21"/>
                <w:lang w:val="en-US" w:eastAsia="zh-CN"/>
              </w:rPr>
              <w:t>3.5</w:t>
            </w:r>
            <w:r>
              <w:rPr>
                <w:rFonts w:hint="eastAsia" w:ascii="仿宋" w:hAnsi="仿宋" w:eastAsia="仿宋" w:cs="宋体"/>
                <w:kern w:val="0"/>
                <w:sz w:val="21"/>
                <w:szCs w:val="21"/>
              </w:rPr>
              <w:t>万元，以本次有效最低投标报价为基准价，得满分</w:t>
            </w:r>
            <w:r>
              <w:rPr>
                <w:rFonts w:ascii="仿宋" w:hAnsi="仿宋" w:eastAsia="仿宋" w:cs="宋体"/>
                <w:kern w:val="0"/>
                <w:sz w:val="21"/>
                <w:szCs w:val="21"/>
              </w:rPr>
              <w:t>10</w:t>
            </w:r>
            <w:r>
              <w:rPr>
                <w:rFonts w:hint="eastAsia" w:ascii="仿宋" w:hAnsi="仿宋" w:eastAsia="仿宋" w:cs="宋体"/>
                <w:kern w:val="0"/>
                <w:sz w:val="21"/>
                <w:szCs w:val="21"/>
              </w:rPr>
              <w:t>分；其他投标报价得分=（基准价÷投标报价）×</w:t>
            </w:r>
            <w:r>
              <w:rPr>
                <w:rFonts w:ascii="仿宋" w:hAnsi="仿宋" w:eastAsia="仿宋" w:cs="宋体"/>
                <w:kern w:val="0"/>
                <w:sz w:val="21"/>
                <w:szCs w:val="21"/>
              </w:rPr>
              <w:t>10</w:t>
            </w:r>
            <w:r>
              <w:rPr>
                <w:rFonts w:hint="eastAsia" w:ascii="仿宋" w:hAnsi="仿宋" w:eastAsia="仿宋"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637"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089"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服务业绩</w:t>
            </w: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w:t>
            </w:r>
          </w:p>
        </w:tc>
        <w:tc>
          <w:tcPr>
            <w:tcW w:w="1063"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分</w:t>
            </w:r>
          </w:p>
        </w:tc>
        <w:tc>
          <w:tcPr>
            <w:tcW w:w="6728" w:type="dxa"/>
            <w:vAlign w:val="center"/>
          </w:tcPr>
          <w:p>
            <w:pPr>
              <w:widowControl/>
              <w:spacing w:line="400" w:lineRule="exact"/>
              <w:jc w:val="left"/>
              <w:rPr>
                <w:rFonts w:ascii="仿宋" w:hAnsi="仿宋" w:eastAsia="仿宋" w:cs="宋体"/>
                <w:kern w:val="0"/>
                <w:sz w:val="21"/>
                <w:szCs w:val="21"/>
              </w:rPr>
            </w:pPr>
            <w:r>
              <w:rPr>
                <w:rFonts w:hint="eastAsia" w:ascii="仿宋" w:hAnsi="仿宋" w:eastAsia="仿宋" w:cs="宋体"/>
                <w:kern w:val="0"/>
                <w:sz w:val="21"/>
                <w:szCs w:val="21"/>
              </w:rPr>
              <w:t>提供2</w:t>
            </w:r>
            <w:r>
              <w:rPr>
                <w:rFonts w:ascii="仿宋" w:hAnsi="仿宋" w:eastAsia="仿宋" w:cs="宋体"/>
                <w:kern w:val="0"/>
                <w:sz w:val="21"/>
                <w:szCs w:val="21"/>
              </w:rPr>
              <w:t>02</w:t>
            </w:r>
            <w:r>
              <w:rPr>
                <w:rFonts w:hint="eastAsia" w:ascii="仿宋" w:hAnsi="仿宋" w:eastAsia="仿宋" w:cs="宋体"/>
                <w:kern w:val="0"/>
                <w:sz w:val="21"/>
                <w:szCs w:val="21"/>
                <w:lang w:val="en-US" w:eastAsia="zh-CN"/>
              </w:rPr>
              <w:t>3</w:t>
            </w:r>
            <w:r>
              <w:rPr>
                <w:rFonts w:hint="eastAsia" w:ascii="仿宋" w:hAnsi="仿宋" w:eastAsia="仿宋" w:cs="宋体"/>
                <w:kern w:val="0"/>
                <w:sz w:val="21"/>
                <w:szCs w:val="21"/>
              </w:rPr>
              <w:t>年1月1日以来类似服务的履约能力证明材料，履约能力证明材料为合同或中标通知书或其他业绩证明等</w:t>
            </w:r>
            <w:r>
              <w:rPr>
                <w:rFonts w:hint="eastAsia" w:ascii="仿宋" w:hAnsi="仿宋" w:eastAsia="仿宋" w:cs="宋体"/>
                <w:kern w:val="0"/>
                <w:sz w:val="21"/>
                <w:szCs w:val="21"/>
                <w:lang w:eastAsia="zh-CN"/>
              </w:rPr>
              <w:t>（</w:t>
            </w:r>
            <w:r>
              <w:rPr>
                <w:rFonts w:hint="eastAsia" w:ascii="仿宋" w:hAnsi="仿宋" w:eastAsia="仿宋" w:cs="宋体"/>
                <w:kern w:val="0"/>
                <w:sz w:val="21"/>
                <w:szCs w:val="21"/>
                <w:lang w:val="en-US" w:eastAsia="zh-CN"/>
              </w:rPr>
              <w:t>复印件加盖公章）</w:t>
            </w:r>
            <w:r>
              <w:rPr>
                <w:rFonts w:hint="eastAsia" w:ascii="仿宋" w:hAnsi="仿宋" w:eastAsia="仿宋" w:cs="宋体"/>
                <w:kern w:val="0"/>
                <w:sz w:val="21"/>
                <w:szCs w:val="21"/>
              </w:rPr>
              <w:t>，并列清单。</w:t>
            </w:r>
          </w:p>
          <w:p>
            <w:pPr>
              <w:widowControl/>
              <w:spacing w:line="400" w:lineRule="exact"/>
              <w:jc w:val="left"/>
              <w:rPr>
                <w:rFonts w:hint="default" w:ascii="仿宋" w:hAnsi="仿宋" w:eastAsia="仿宋" w:cs="宋体"/>
                <w:kern w:val="0"/>
                <w:sz w:val="21"/>
                <w:szCs w:val="21"/>
              </w:rPr>
            </w:pPr>
            <w:r>
              <w:rPr>
                <w:rFonts w:hint="eastAsia" w:ascii="仿宋" w:hAnsi="仿宋" w:eastAsia="仿宋" w:cs="宋体"/>
                <w:kern w:val="0"/>
                <w:sz w:val="21"/>
                <w:szCs w:val="21"/>
              </w:rPr>
              <w:t>业绩每</w:t>
            </w:r>
            <w:r>
              <w:rPr>
                <w:rFonts w:hint="eastAsia" w:ascii="仿宋" w:hAnsi="仿宋" w:eastAsia="仿宋" w:cs="宋体"/>
                <w:kern w:val="0"/>
                <w:sz w:val="21"/>
                <w:szCs w:val="21"/>
                <w:lang w:val="en-US" w:eastAsia="zh-CN"/>
              </w:rPr>
              <w:t>项</w:t>
            </w:r>
            <w:r>
              <w:rPr>
                <w:rFonts w:hint="eastAsia" w:ascii="仿宋" w:hAnsi="仿宋" w:eastAsia="仿宋" w:cs="宋体"/>
                <w:kern w:val="0"/>
                <w:sz w:val="21"/>
                <w:szCs w:val="21"/>
              </w:rPr>
              <w:t>得</w:t>
            </w:r>
            <w:r>
              <w:rPr>
                <w:rFonts w:hint="eastAsia" w:ascii="仿宋" w:hAnsi="仿宋" w:eastAsia="仿宋" w:cs="宋体"/>
                <w:kern w:val="0"/>
                <w:sz w:val="21"/>
                <w:szCs w:val="21"/>
                <w:lang w:val="en-US" w:eastAsia="zh-CN"/>
              </w:rPr>
              <w:t>2</w:t>
            </w:r>
            <w:r>
              <w:rPr>
                <w:rFonts w:hint="eastAsia" w:ascii="仿宋" w:hAnsi="仿宋" w:eastAsia="仿宋" w:cs="宋体"/>
                <w:kern w:val="0"/>
                <w:sz w:val="21"/>
                <w:szCs w:val="21"/>
              </w:rPr>
              <w:t>分。该项得分累计不超过</w:t>
            </w:r>
            <w:r>
              <w:rPr>
                <w:rFonts w:hint="eastAsia" w:ascii="仿宋" w:hAnsi="仿宋" w:eastAsia="仿宋" w:cs="宋体"/>
                <w:kern w:val="0"/>
                <w:sz w:val="21"/>
                <w:szCs w:val="21"/>
                <w:lang w:val="en-US" w:eastAsia="zh-CN"/>
              </w:rPr>
              <w:t>10</w:t>
            </w:r>
            <w:r>
              <w:rPr>
                <w:rFonts w:hint="eastAsia" w:ascii="仿宋" w:hAnsi="仿宋" w:eastAsia="仿宋" w:cs="宋体"/>
                <w:kern w:val="0"/>
                <w:sz w:val="21"/>
                <w:szCs w:val="21"/>
              </w:rPr>
              <w:t>分。</w:t>
            </w:r>
            <w:r>
              <w:rPr>
                <w:rFonts w:hint="eastAsia" w:ascii="仿宋" w:hAnsi="仿宋" w:eastAsia="仿宋" w:cs="宋体"/>
                <w:kern w:val="0"/>
                <w:sz w:val="21"/>
                <w:szCs w:val="21"/>
                <w:lang w:val="en-US" w:eastAsia="zh-CN"/>
              </w:rPr>
              <w:t>未提供业绩证明的，此项不得分。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2" w:hRule="atLeast"/>
          <w:jc w:val="center"/>
        </w:trPr>
        <w:tc>
          <w:tcPr>
            <w:tcW w:w="637"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089"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服务方案60%</w:t>
            </w:r>
          </w:p>
        </w:tc>
        <w:tc>
          <w:tcPr>
            <w:tcW w:w="1063"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60</w:t>
            </w:r>
            <w:r>
              <w:rPr>
                <w:rFonts w:hint="eastAsia" w:ascii="仿宋" w:hAnsi="仿宋" w:eastAsia="仿宋" w:cs="仿宋"/>
                <w:kern w:val="0"/>
                <w:sz w:val="21"/>
                <w:szCs w:val="21"/>
              </w:rPr>
              <w:t>分</w:t>
            </w:r>
          </w:p>
        </w:tc>
        <w:tc>
          <w:tcPr>
            <w:tcW w:w="6728" w:type="dxa"/>
            <w:vAlign w:val="center"/>
          </w:tcPr>
          <w:p>
            <w:pPr>
              <w:widowControl/>
              <w:spacing w:line="400" w:lineRule="exact"/>
              <w:jc w:val="left"/>
              <w:rPr>
                <w:rFonts w:ascii="仿宋" w:hAnsi="仿宋" w:eastAsia="仿宋" w:cs="宋体"/>
                <w:kern w:val="0"/>
                <w:sz w:val="21"/>
                <w:szCs w:val="21"/>
              </w:rPr>
            </w:pPr>
            <w:r>
              <w:rPr>
                <w:rFonts w:hint="eastAsia" w:ascii="仿宋" w:hAnsi="仿宋" w:eastAsia="仿宋" w:cs="宋体"/>
                <w:kern w:val="0"/>
                <w:sz w:val="21"/>
                <w:szCs w:val="21"/>
              </w:rPr>
              <w:t>根据</w:t>
            </w:r>
            <w:r>
              <w:rPr>
                <w:rFonts w:hint="eastAsia" w:ascii="仿宋" w:hAnsi="仿宋" w:eastAsia="仿宋" w:cs="宋体"/>
                <w:kern w:val="0"/>
                <w:sz w:val="21"/>
                <w:szCs w:val="21"/>
                <w:lang w:val="en-US" w:eastAsia="zh-CN"/>
              </w:rPr>
              <w:t>供应商提供的本项目的服务</w:t>
            </w:r>
            <w:r>
              <w:rPr>
                <w:rFonts w:hint="eastAsia" w:ascii="仿宋" w:hAnsi="仿宋" w:eastAsia="仿宋" w:cs="宋体"/>
                <w:kern w:val="0"/>
                <w:sz w:val="21"/>
                <w:szCs w:val="21"/>
              </w:rPr>
              <w:t>方案</w:t>
            </w:r>
            <w:r>
              <w:rPr>
                <w:rFonts w:hint="eastAsia" w:ascii="仿宋" w:hAnsi="仿宋" w:eastAsia="仿宋" w:cs="宋体"/>
                <w:kern w:val="0"/>
                <w:sz w:val="21"/>
                <w:szCs w:val="21"/>
                <w:lang w:val="en-US" w:eastAsia="zh-CN"/>
              </w:rPr>
              <w:t>进行评审，评审维度包含服务方案质量、</w:t>
            </w:r>
            <w:r>
              <w:rPr>
                <w:rFonts w:hint="eastAsia" w:ascii="仿宋" w:hAnsi="仿宋" w:eastAsia="仿宋" w:cs="宋体"/>
                <w:kern w:val="0"/>
                <w:szCs w:val="21"/>
              </w:rPr>
              <w:t>服务承诺与保障、另行委托案件收费优惠以及质量控制等四个维度</w:t>
            </w:r>
            <w:r>
              <w:rPr>
                <w:rFonts w:hint="eastAsia" w:ascii="仿宋" w:hAnsi="仿宋" w:eastAsia="仿宋" w:cs="宋体"/>
                <w:kern w:val="0"/>
                <w:szCs w:val="21"/>
                <w:lang w:eastAsia="zh-CN"/>
              </w:rPr>
              <w:t>，</w:t>
            </w:r>
            <w:r>
              <w:rPr>
                <w:rFonts w:hint="eastAsia" w:ascii="仿宋" w:hAnsi="仿宋" w:eastAsia="仿宋" w:cs="宋体"/>
                <w:kern w:val="0"/>
                <w:szCs w:val="21"/>
                <w:lang w:val="en-US" w:eastAsia="zh-CN"/>
              </w:rPr>
              <w:t>具体评分标准如下：</w:t>
            </w:r>
          </w:p>
          <w:p>
            <w:pPr>
              <w:pStyle w:val="2"/>
              <w:numPr>
                <w:ilvl w:val="0"/>
                <w:numId w:val="0"/>
              </w:numPr>
              <w:rPr>
                <w:rFonts w:hint="eastAsia" w:ascii="仿宋" w:hAnsi="仿宋" w:eastAsia="仿宋" w:cs="仿宋"/>
                <w:b/>
                <w:bCs/>
                <w:szCs w:val="21"/>
                <w:lang w:val="en-US" w:eastAsia="zh-CN"/>
              </w:rPr>
            </w:pPr>
            <w:r>
              <w:rPr>
                <w:rFonts w:hint="eastAsia" w:ascii="仿宋" w:hAnsi="仿宋" w:eastAsia="仿宋" w:cs="仿宋"/>
                <w:b/>
                <w:bCs/>
                <w:kern w:val="2"/>
                <w:sz w:val="21"/>
                <w:szCs w:val="21"/>
                <w:lang w:val="en-US" w:eastAsia="zh-CN" w:bidi="ar-SA"/>
              </w:rPr>
              <w:t>一、</w:t>
            </w:r>
            <w:r>
              <w:rPr>
                <w:rFonts w:hint="eastAsia" w:ascii="仿宋" w:hAnsi="仿宋" w:eastAsia="仿宋" w:cs="仿宋"/>
                <w:b/>
                <w:bCs/>
                <w:szCs w:val="21"/>
                <w:lang w:val="en-US" w:eastAsia="zh-CN"/>
              </w:rPr>
              <w:t>服务方案质量分（15分）：</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三档（15分）：方案对项目需求理解深刻，重点、难点分析准确透彻。服务流程设计科学严谨，环节衔接紧密，针对日常法律咨询、合同审查服务、规章制度合法性审查、重大决策合法性论证等日常业务有详细的服务流程，进度安排合理，有明确的时间节点和责任人，可操作性强。</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二档（10分）：方案对项目需求有较好理解，服务流程基本合理，具备可操作性。有基本的质量控制措施和进度安排，但针对性和深度有待加强。</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一档（5分）：方案内容简单，对项目需求理解一般。工作流程笼统，可操作性不强。质量控制和进度安排缺失或过于简单。</w:t>
            </w:r>
          </w:p>
          <w:p>
            <w:pPr>
              <w:pStyle w:val="2"/>
              <w:numPr>
                <w:ilvl w:val="0"/>
                <w:numId w:val="0"/>
              </w:numP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二、服务承诺与保障分（15分）：</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三档（15分）：团队配置合理，</w:t>
            </w:r>
            <w:r>
              <w:rPr>
                <w:rFonts w:hint="eastAsia" w:ascii="仿宋" w:hAnsi="仿宋" w:eastAsia="仿宋" w:cs="仿宋"/>
                <w:szCs w:val="21"/>
                <w:lang w:val="en-US" w:eastAsia="zh-CN"/>
              </w:rPr>
              <w:t>团队人数</w:t>
            </w:r>
            <w:r>
              <w:rPr>
                <w:rFonts w:hint="eastAsia" w:ascii="仿宋" w:hAnsi="仿宋" w:eastAsia="仿宋" w:cs="仿宋"/>
                <w:szCs w:val="21"/>
                <w:lang w:val="en-US" w:eastAsia="zh-CN"/>
              </w:rPr>
              <w:t>不少于</w:t>
            </w:r>
            <w:r>
              <w:rPr>
                <w:rFonts w:hint="eastAsia" w:ascii="仿宋" w:hAnsi="仿宋" w:eastAsia="仿宋" w:cs="仿宋"/>
                <w:szCs w:val="21"/>
                <w:lang w:val="en-US" w:eastAsia="zh-CN"/>
              </w:rPr>
              <w:t>2</w:t>
            </w:r>
            <w:r>
              <w:rPr>
                <w:rFonts w:hint="eastAsia" w:ascii="仿宋" w:hAnsi="仿宋" w:eastAsia="仿宋" w:cs="仿宋"/>
                <w:szCs w:val="21"/>
                <w:lang w:val="en-US" w:eastAsia="zh-CN"/>
              </w:rPr>
              <w:t>人，且分工明确。承诺远程响应及时，突发事件2小时内到场。每年提供不少于2次的专项法律培训或讲座。</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二档（10分）：团队配置基本合理，</w:t>
            </w:r>
            <w:r>
              <w:rPr>
                <w:rFonts w:hint="eastAsia" w:ascii="仿宋" w:hAnsi="仿宋" w:eastAsia="仿宋" w:cs="仿宋"/>
                <w:szCs w:val="21"/>
                <w:lang w:val="en-US" w:eastAsia="zh-CN"/>
              </w:rPr>
              <w:t>团队人数</w:t>
            </w:r>
            <w:r>
              <w:rPr>
                <w:rFonts w:hint="eastAsia" w:ascii="仿宋" w:hAnsi="仿宋" w:eastAsia="仿宋" w:cs="仿宋"/>
                <w:szCs w:val="21"/>
                <w:lang w:val="en-US" w:eastAsia="zh-CN"/>
              </w:rPr>
              <w:t>不少于</w:t>
            </w:r>
            <w:r>
              <w:rPr>
                <w:rFonts w:hint="eastAsia" w:ascii="仿宋" w:hAnsi="仿宋" w:eastAsia="仿宋" w:cs="仿宋"/>
                <w:szCs w:val="21"/>
                <w:lang w:val="en-US" w:eastAsia="zh-CN"/>
              </w:rPr>
              <w:t>2</w:t>
            </w:r>
            <w:r>
              <w:rPr>
                <w:rFonts w:hint="eastAsia" w:ascii="仿宋" w:hAnsi="仿宋" w:eastAsia="仿宋" w:cs="仿宋"/>
                <w:szCs w:val="21"/>
                <w:lang w:val="en-US" w:eastAsia="zh-CN"/>
              </w:rPr>
              <w:t>人。有明确的响应机制和培训计划，满足本项目基本需求。</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一档（5分）：团队配置、培训计划等仅满足本项目需求。响应机制不明确或未能安排专人负责对接。</w:t>
            </w:r>
          </w:p>
          <w:p>
            <w:pPr>
              <w:pStyle w:val="2"/>
              <w:numPr>
                <w:ilvl w:val="0"/>
                <w:numId w:val="0"/>
              </w:numP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三、另行委托案件收费优惠（15分）：</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三档（15分）：承诺另行委托的诉讼、仲裁、参与调解和解、执行等案件代理费，按不高于市场收费标准的85%收取。</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二档（10分）：承诺另行委托的诉讼、仲裁、参与调解和解、执行等案件代理费，按不高于市场收费标准的90%收取。</w:t>
            </w:r>
          </w:p>
          <w:p>
            <w:pPr>
              <w:pStyle w:val="2"/>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一般（5分）：承诺另行委托的诉讼、仲裁、参与调解和解、执行等案件代理费，按不高于市场收费标准的95%收取。</w:t>
            </w:r>
          </w:p>
          <w:p>
            <w:pPr>
              <w:pStyle w:val="2"/>
              <w:numPr>
                <w:ilvl w:val="0"/>
                <w:numId w:val="0"/>
              </w:numPr>
              <w:rPr>
                <w:rFonts w:hint="eastAsia" w:ascii="仿宋" w:hAnsi="仿宋" w:eastAsia="仿宋" w:cs="仿宋"/>
                <w:b/>
                <w:bCs/>
                <w:szCs w:val="21"/>
                <w:lang w:val="en-US" w:eastAsia="zh-CN"/>
              </w:rPr>
            </w:pPr>
            <w:r>
              <w:rPr>
                <w:rFonts w:hint="eastAsia" w:ascii="仿宋" w:hAnsi="仿宋" w:eastAsia="仿宋" w:cs="仿宋"/>
                <w:b/>
                <w:bCs/>
                <w:szCs w:val="21"/>
                <w:lang w:val="en-US" w:eastAsia="zh-CN"/>
              </w:rPr>
              <w:t>四、质量控制（15分）：</w:t>
            </w:r>
          </w:p>
          <w:p>
            <w:pPr>
              <w:keepNext w:val="0"/>
              <w:keepLines w:val="0"/>
              <w:widowControl/>
              <w:suppressLineNumbers w:val="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三档（15分）：建立了完善的质量管理体系和三级审核机制（承办律师-团队负责人-律所质检部门）。对法律意见书、合同审查意见等成果文件有明确的质检流程和标准。有完善的风险防范和保密制度，并能落实到具体责任人。</w:t>
            </w:r>
          </w:p>
          <w:p>
            <w:pPr>
              <w:keepNext w:val="0"/>
              <w:keepLines w:val="0"/>
              <w:widowControl/>
              <w:suppressLineNumbers w:val="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二档（10分）：有基本的质量控制措施和审核流程，能够满足项目基本需求，但体系性和严密性有待加强。</w:t>
            </w:r>
          </w:p>
          <w:p>
            <w:pPr>
              <w:keepNext w:val="0"/>
              <w:keepLines w:val="0"/>
              <w:widowControl/>
              <w:suppressLineNumbers w:val="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一档（5分）：质量控制措施简单，审核流程不明确，难以有效保障服务质量。</w:t>
            </w:r>
          </w:p>
          <w:p>
            <w:pPr>
              <w:pStyle w:val="2"/>
              <w:numPr>
                <w:ilvl w:val="0"/>
                <w:numId w:val="0"/>
              </w:numPr>
              <w:rPr>
                <w:rFonts w:ascii="仿宋" w:hAnsi="仿宋" w:eastAsia="仿宋" w:cs="宋体"/>
                <w:kern w:val="0"/>
                <w:sz w:val="21"/>
                <w:szCs w:val="21"/>
              </w:rPr>
            </w:pPr>
            <w:r>
              <w:rPr>
                <w:rFonts w:hint="eastAsia" w:ascii="仿宋" w:hAnsi="仿宋" w:eastAsia="仿宋" w:cs="仿宋"/>
                <w:szCs w:val="21"/>
                <w:lang w:val="en-US" w:eastAsia="zh-CN"/>
              </w:rPr>
              <w:t>备注：</w:t>
            </w:r>
            <w:r>
              <w:rPr>
                <w:rFonts w:hint="eastAsia" w:ascii="仿宋" w:hAnsi="仿宋" w:eastAsia="仿宋" w:cs="仿宋"/>
                <w:szCs w:val="21"/>
                <w:lang w:val="en-US" w:eastAsia="zh-CN"/>
              </w:rPr>
              <w:t>供应商</w:t>
            </w:r>
            <w:r>
              <w:rPr>
                <w:rFonts w:hint="eastAsia" w:ascii="仿宋" w:hAnsi="仿宋" w:eastAsia="仿宋" w:cs="仿宋"/>
                <w:szCs w:val="21"/>
                <w:lang w:val="en-US" w:eastAsia="zh-CN"/>
              </w:rPr>
              <w:t>应</w:t>
            </w:r>
            <w:r>
              <w:rPr>
                <w:rFonts w:hint="eastAsia" w:ascii="仿宋" w:hAnsi="仿宋" w:eastAsia="仿宋" w:cs="仿宋"/>
                <w:szCs w:val="21"/>
                <w:lang w:val="en-US" w:eastAsia="zh-CN"/>
              </w:rPr>
              <w:t>根据</w:t>
            </w:r>
            <w:r>
              <w:rPr>
                <w:rFonts w:hint="eastAsia" w:ascii="仿宋" w:hAnsi="仿宋" w:eastAsia="仿宋" w:cs="仿宋"/>
                <w:szCs w:val="21"/>
                <w:lang w:val="en-US" w:eastAsia="zh-CN"/>
              </w:rPr>
              <w:t>本评分项提供相关服务方案，并包含上述评分项所述内容，如不提供或方案未提及相关评分内容的，对应评分项不得分。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637" w:type="dxa"/>
            <w:vAlign w:val="center"/>
          </w:tcPr>
          <w:p>
            <w:pPr>
              <w:widowControl/>
              <w:spacing w:line="400" w:lineRule="exact"/>
              <w:jc w:val="left"/>
              <w:rPr>
                <w:rFonts w:hint="eastAsia" w:ascii="仿宋" w:hAnsi="仿宋" w:eastAsia="仿宋" w:cs="仿宋"/>
                <w:kern w:val="0"/>
                <w:sz w:val="21"/>
                <w:szCs w:val="21"/>
              </w:rPr>
            </w:pPr>
          </w:p>
        </w:tc>
        <w:tc>
          <w:tcPr>
            <w:tcW w:w="1089" w:type="dxa"/>
            <w:vAlign w:val="center"/>
          </w:tcPr>
          <w:p>
            <w:pPr>
              <w:widowControl/>
              <w:spacing w:line="40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人力资源配置</w:t>
            </w:r>
            <w:r>
              <w:rPr>
                <w:rFonts w:hint="eastAsia" w:ascii="仿宋" w:hAnsi="仿宋" w:eastAsia="仿宋" w:cs="仿宋"/>
                <w:kern w:val="0"/>
                <w:sz w:val="21"/>
                <w:szCs w:val="21"/>
                <w:lang w:val="en-US" w:eastAsia="zh-CN"/>
              </w:rPr>
              <w:t>20</w:t>
            </w:r>
            <w:r>
              <w:rPr>
                <w:rFonts w:hint="eastAsia" w:ascii="仿宋" w:hAnsi="仿宋" w:eastAsia="仿宋" w:cs="仿宋"/>
                <w:kern w:val="0"/>
                <w:sz w:val="21"/>
                <w:szCs w:val="21"/>
              </w:rPr>
              <w:t>%</w:t>
            </w:r>
          </w:p>
        </w:tc>
        <w:tc>
          <w:tcPr>
            <w:tcW w:w="1063" w:type="dxa"/>
            <w:vAlign w:val="center"/>
          </w:tcPr>
          <w:p>
            <w:pPr>
              <w:widowControl/>
              <w:spacing w:line="40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w:t>
            </w:r>
            <w:r>
              <w:rPr>
                <w:rFonts w:hint="eastAsia" w:ascii="仿宋" w:hAnsi="仿宋" w:eastAsia="仿宋" w:cs="仿宋"/>
                <w:kern w:val="0"/>
                <w:sz w:val="21"/>
                <w:szCs w:val="21"/>
              </w:rPr>
              <w:t>分</w:t>
            </w:r>
          </w:p>
        </w:tc>
        <w:tc>
          <w:tcPr>
            <w:tcW w:w="6728" w:type="dxa"/>
            <w:vAlign w:val="center"/>
          </w:tcPr>
          <w:p>
            <w:pPr>
              <w:pStyle w:val="2"/>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根据供应商拟投入本项目的人员能力进行评审。其中，供应商应承诺拟投入本项目的负责人在项目成交后未经采购人许可不得随意更换</w:t>
            </w:r>
            <w:r>
              <w:rPr>
                <w:rFonts w:hint="eastAsia" w:ascii="仿宋" w:hAnsi="仿宋" w:eastAsia="仿宋" w:cs="仿宋"/>
                <w:sz w:val="21"/>
                <w:szCs w:val="21"/>
              </w:rPr>
              <w:t>，否则视为违约</w:t>
            </w:r>
            <w:r>
              <w:rPr>
                <w:rFonts w:hint="eastAsia" w:ascii="仿宋" w:hAnsi="仿宋" w:eastAsia="仿宋" w:cs="仿宋"/>
                <w:sz w:val="21"/>
                <w:szCs w:val="21"/>
                <w:lang w:val="en-US" w:eastAsia="zh-CN"/>
              </w:rPr>
              <w:t>。具体评审标准如下：</w:t>
            </w:r>
          </w:p>
          <w:p>
            <w:pPr>
              <w:pStyle w:val="2"/>
              <w:rPr>
                <w:rFonts w:hint="eastAsia" w:ascii="仿宋" w:hAnsi="仿宋" w:eastAsia="仿宋" w:cs="仿宋"/>
                <w:b/>
                <w:bCs/>
                <w:sz w:val="21"/>
                <w:szCs w:val="21"/>
              </w:rPr>
            </w:pPr>
            <w:r>
              <w:rPr>
                <w:rFonts w:hint="eastAsia" w:ascii="仿宋" w:hAnsi="仿宋" w:eastAsia="仿宋" w:cs="仿宋"/>
                <w:b/>
                <w:bCs/>
                <w:sz w:val="21"/>
                <w:szCs w:val="21"/>
                <w:lang w:eastAsia="zh-CN"/>
              </w:rPr>
              <w:t>一 、</w:t>
            </w:r>
            <w:r>
              <w:rPr>
                <w:rFonts w:hint="eastAsia" w:ascii="仿宋" w:hAnsi="仿宋" w:eastAsia="仿宋" w:cs="仿宋"/>
                <w:b/>
                <w:bCs/>
                <w:sz w:val="21"/>
                <w:szCs w:val="21"/>
              </w:rPr>
              <w:t>项目负责人（10 分）：</w:t>
            </w:r>
          </w:p>
          <w:p>
            <w:pPr>
              <w:pStyle w:val="2"/>
              <w:rPr>
                <w:rFonts w:hint="eastAsia" w:ascii="仿宋" w:hAnsi="仿宋" w:eastAsia="仿宋" w:cs="仿宋"/>
                <w:sz w:val="21"/>
                <w:szCs w:val="21"/>
                <w:lang w:eastAsia="zh-CN"/>
              </w:rPr>
            </w:pPr>
            <w:r>
              <w:rPr>
                <w:rFonts w:hint="eastAsia" w:ascii="仿宋" w:hAnsi="仿宋" w:eastAsia="仿宋" w:cs="仿宋"/>
                <w:sz w:val="21"/>
                <w:szCs w:val="21"/>
              </w:rPr>
              <w:t>（1）执业经验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4分</w:t>
            </w:r>
            <w:r>
              <w:rPr>
                <w:rFonts w:hint="eastAsia" w:ascii="仿宋" w:hAnsi="仿宋" w:eastAsia="仿宋" w:cs="仿宋"/>
                <w:sz w:val="21"/>
                <w:szCs w:val="21"/>
                <w:lang w:eastAsia="zh-CN"/>
              </w:rPr>
              <w:t>）</w:t>
            </w:r>
            <w:r>
              <w:rPr>
                <w:rFonts w:hint="eastAsia" w:ascii="仿宋" w:hAnsi="仿宋" w:eastAsia="仿宋" w:cs="仿宋"/>
                <w:sz w:val="21"/>
                <w:szCs w:val="21"/>
              </w:rPr>
              <w:t>：10 年及以上得 4 分，5-9 年得 2 分，1-4 年得 1 分，不足 1 年得 0 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该项满分4分。</w:t>
            </w:r>
          </w:p>
          <w:p>
            <w:pPr>
              <w:pStyle w:val="2"/>
              <w:rPr>
                <w:rFonts w:hint="eastAsia" w:ascii="仿宋" w:hAnsi="仿宋" w:eastAsia="仿宋" w:cs="仿宋"/>
                <w:sz w:val="21"/>
                <w:szCs w:val="21"/>
                <w:lang w:val="en-US" w:eastAsia="zh-CN"/>
              </w:rPr>
            </w:pPr>
            <w:r>
              <w:rPr>
                <w:rFonts w:hint="eastAsia" w:ascii="仿宋" w:hAnsi="仿宋" w:eastAsia="仿宋" w:cs="仿宋"/>
                <w:sz w:val="21"/>
                <w:szCs w:val="21"/>
              </w:rPr>
              <w:t>（2）环保法律</w:t>
            </w:r>
            <w:r>
              <w:rPr>
                <w:rFonts w:hint="eastAsia" w:ascii="仿宋" w:hAnsi="仿宋" w:eastAsia="仿宋" w:cs="仿宋"/>
                <w:sz w:val="21"/>
                <w:szCs w:val="21"/>
                <w:lang w:val="en-US" w:eastAsia="zh-CN"/>
              </w:rPr>
              <w:t>专业</w:t>
            </w:r>
            <w:r>
              <w:rPr>
                <w:rFonts w:hint="eastAsia" w:ascii="仿宋" w:hAnsi="仿宋" w:eastAsia="仿宋" w:cs="仿宋"/>
                <w:sz w:val="21"/>
                <w:szCs w:val="21"/>
              </w:rPr>
              <w:t>背景</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6分</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lang w:val="en-US" w:eastAsia="zh-CN"/>
              </w:rPr>
              <w:t>自2023年1月至今，</w:t>
            </w:r>
            <w:r>
              <w:rPr>
                <w:rFonts w:hint="eastAsia" w:ascii="仿宋" w:hAnsi="仿宋" w:eastAsia="仿宋" w:cs="仿宋"/>
                <w:sz w:val="21"/>
                <w:szCs w:val="21"/>
              </w:rPr>
              <w:t>有</w:t>
            </w:r>
            <w:r>
              <w:rPr>
                <w:rFonts w:hint="eastAsia" w:ascii="仿宋" w:hAnsi="仿宋" w:eastAsia="仿宋" w:cs="仿宋"/>
                <w:sz w:val="21"/>
                <w:szCs w:val="21"/>
                <w:lang w:val="en-US" w:eastAsia="zh-CN"/>
              </w:rPr>
              <w:t>参与生态环境类案件经历，或持有与环境专业相关证书的，如环境专业学位证书、环境影响评价工程师、注册环保工程师、注册安全工程师等，或参与过生态环境部、司法部组织的环境法专业培训并取得培训证书的，每有一项得3分。该项满分6分。</w:t>
            </w:r>
          </w:p>
          <w:p>
            <w:pPr>
              <w:pStyle w:val="2"/>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二、</w:t>
            </w:r>
            <w:r>
              <w:rPr>
                <w:rFonts w:hint="eastAsia" w:ascii="仿宋" w:hAnsi="仿宋" w:eastAsia="仿宋" w:cs="仿宋"/>
                <w:b/>
                <w:bCs/>
                <w:sz w:val="21"/>
                <w:szCs w:val="21"/>
                <w:lang w:val="en-US" w:eastAsia="zh-CN"/>
              </w:rPr>
              <w:t>项目团队成员（10分）</w:t>
            </w:r>
          </w:p>
          <w:p>
            <w:pPr>
              <w:pStyle w:val="2"/>
              <w:rPr>
                <w:rFonts w:hint="default"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团队规模（3分）：</w:t>
            </w:r>
            <w:r>
              <w:rPr>
                <w:rFonts w:hint="eastAsia" w:ascii="仿宋" w:hAnsi="仿宋" w:eastAsia="仿宋" w:cs="仿宋"/>
                <w:szCs w:val="21"/>
              </w:rPr>
              <w:t>除项目负责人外，项目团队成员每配备 1 人得 1 分，本项最高得 3 分。</w:t>
            </w:r>
            <w:r>
              <w:rPr>
                <w:rFonts w:hint="eastAsia" w:ascii="仿宋" w:hAnsi="仿宋" w:eastAsia="仿宋" w:cs="仿宋"/>
                <w:szCs w:val="21"/>
                <w:lang w:eastAsia="zh-CN"/>
              </w:rPr>
              <w:t>供应商</w:t>
            </w:r>
            <w:r>
              <w:rPr>
                <w:rFonts w:hint="eastAsia" w:ascii="仿宋" w:hAnsi="仿宋" w:eastAsia="仿宋" w:cs="仿宋"/>
                <w:szCs w:val="21"/>
              </w:rPr>
              <w:t>须随响应文件提供拟投入本项目的人员一览表。</w:t>
            </w:r>
          </w:p>
          <w:p>
            <w:pPr>
              <w:pStyle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（2）团队执业能力（3分）：除项目负责人外，项目团队成员执业经历，每有1人满足5年及以上的，得1分，不足5年的，不得分。该项满分3分。</w:t>
            </w:r>
          </w:p>
          <w:p>
            <w:pPr>
              <w:pStyle w:val="2"/>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rPr>
              <w:t>环保法律</w:t>
            </w:r>
            <w:r>
              <w:rPr>
                <w:rFonts w:hint="eastAsia" w:ascii="仿宋" w:hAnsi="仿宋" w:eastAsia="仿宋" w:cs="仿宋"/>
                <w:sz w:val="21"/>
                <w:szCs w:val="21"/>
                <w:lang w:val="en-US" w:eastAsia="zh-CN"/>
              </w:rPr>
              <w:t>专业</w:t>
            </w:r>
            <w:r>
              <w:rPr>
                <w:rFonts w:hint="eastAsia" w:ascii="仿宋" w:hAnsi="仿宋" w:eastAsia="仿宋" w:cs="仿宋"/>
                <w:sz w:val="21"/>
                <w:szCs w:val="21"/>
              </w:rPr>
              <w:t>背景</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4分</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lang w:val="en-US" w:eastAsia="zh-CN"/>
              </w:rPr>
              <w:t>自2023年1月至今，项目团队成员</w:t>
            </w:r>
            <w:r>
              <w:rPr>
                <w:rFonts w:hint="eastAsia" w:ascii="仿宋" w:hAnsi="仿宋" w:eastAsia="仿宋" w:cs="仿宋"/>
                <w:sz w:val="21"/>
                <w:szCs w:val="21"/>
              </w:rPr>
              <w:t>有</w:t>
            </w:r>
            <w:r>
              <w:rPr>
                <w:rFonts w:hint="eastAsia" w:ascii="仿宋" w:hAnsi="仿宋" w:eastAsia="仿宋" w:cs="仿宋"/>
                <w:sz w:val="21"/>
                <w:szCs w:val="21"/>
                <w:lang w:val="en-US" w:eastAsia="zh-CN"/>
              </w:rPr>
              <w:t>参与生态环境类案件经历，或持有与环境专业相关证书的，如环境专业学位证书、环境影响评价工程师、注册环保工程师、注册安全工程师等，或参与过生态环境部、司法部组织的环境法专业培训并取得培训证书的，每有一人参与生态环境类案件或持证或取得培训证书的，得2分。该项满分4分。（同一人有参与案件经历及持证的可重复计分）</w:t>
            </w:r>
          </w:p>
          <w:p>
            <w:pPr>
              <w:pStyle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备注：供应商应提供包括律师执业证明（律师证）、环境专业相关证书、培训证书、参与生态环境类案件证明材料等佐证材料，不提供的不得分。</w:t>
            </w:r>
          </w:p>
          <w:p>
            <w:pPr>
              <w:widowControl/>
              <w:spacing w:line="400" w:lineRule="exact"/>
              <w:jc w:val="left"/>
              <w:rPr>
                <w:rFonts w:ascii="仿宋" w:hAnsi="仿宋" w:eastAsia="仿宋"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726" w:type="dxa"/>
            <w:gridSpan w:val="2"/>
            <w:vAlign w:val="center"/>
          </w:tcPr>
          <w:p>
            <w:pPr>
              <w:widowControl/>
              <w:spacing w:line="40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合计</w:t>
            </w:r>
          </w:p>
        </w:tc>
        <w:tc>
          <w:tcPr>
            <w:tcW w:w="1063" w:type="dxa"/>
            <w:vAlign w:val="center"/>
          </w:tcPr>
          <w:p>
            <w:pPr>
              <w:widowControl/>
              <w:spacing w:line="40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100分</w:t>
            </w:r>
          </w:p>
        </w:tc>
        <w:tc>
          <w:tcPr>
            <w:tcW w:w="6728" w:type="dxa"/>
            <w:vAlign w:val="center"/>
          </w:tcPr>
          <w:p>
            <w:pPr>
              <w:widowControl/>
              <w:spacing w:line="400" w:lineRule="exact"/>
              <w:jc w:val="left"/>
              <w:rPr>
                <w:rFonts w:ascii="仿宋" w:hAnsi="仿宋" w:eastAsia="仿宋" w:cs="宋体"/>
                <w:b/>
                <w:bCs/>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1" w:hRule="atLeast"/>
          <w:jc w:val="center"/>
        </w:trPr>
        <w:tc>
          <w:tcPr>
            <w:tcW w:w="9517" w:type="dxa"/>
            <w:gridSpan w:val="4"/>
            <w:vAlign w:val="center"/>
          </w:tcPr>
          <w:p>
            <w:pPr>
              <w:widowControl/>
              <w:spacing w:line="400" w:lineRule="exact"/>
              <w:jc w:val="left"/>
              <w:rPr>
                <w:rFonts w:ascii="仿宋" w:hAnsi="仿宋" w:eastAsia="仿宋" w:cs="宋体"/>
                <w:kern w:val="0"/>
                <w:sz w:val="28"/>
              </w:rPr>
            </w:pPr>
            <w:r>
              <w:rPr>
                <w:rFonts w:hint="eastAsia" w:ascii="仿宋" w:hAnsi="仿宋" w:eastAsia="仿宋" w:cs="宋体"/>
                <w:kern w:val="0"/>
                <w:sz w:val="28"/>
              </w:rPr>
              <w:t>评分说明：</w:t>
            </w:r>
            <w:r>
              <w:rPr>
                <w:rFonts w:ascii="仿宋" w:hAnsi="仿宋" w:eastAsia="仿宋" w:cs="宋体"/>
                <w:kern w:val="0"/>
                <w:sz w:val="28"/>
              </w:rPr>
              <w:t xml:space="preserve"> </w:t>
            </w:r>
          </w:p>
          <w:p>
            <w:pPr>
              <w:widowControl/>
              <w:spacing w:line="400" w:lineRule="exact"/>
              <w:ind w:firstLine="560" w:firstLineChars="200"/>
              <w:jc w:val="left"/>
              <w:rPr>
                <w:rFonts w:ascii="仿宋" w:hAnsi="仿宋" w:eastAsia="仿宋" w:cs="宋体"/>
                <w:kern w:val="0"/>
                <w:sz w:val="28"/>
              </w:rPr>
            </w:pPr>
            <w:r>
              <w:rPr>
                <w:rFonts w:hint="eastAsia" w:ascii="仿宋" w:hAnsi="仿宋" w:eastAsia="仿宋" w:cs="宋体"/>
                <w:kern w:val="0"/>
                <w:sz w:val="28"/>
              </w:rPr>
              <w:t>采购人将根据综合得分由高到低排列次序（总得分相同时，依次按具体实施方案分高优先、项目人力资源配置分高优先、服务业绩分高优先、投标报价低优先的顺序排列）将排名前三的列为中标供应商候选人，并确定排名第一名的中标候选供应商为供应商。排名第一名的中标候选供应商放弃中标、因不可抗力提出不能履行合同，采购人可以确定排名第二的中标候选供应商为中标供应商。排名第二的中标候选供应商因前款规定的同样原因不能签订合同的，采购人可以确定排名第三的中标候选供应商为中标供应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F5BF89-1AF2-4978-91BF-21419674339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C239FE9-1EC8-40C8-A0CF-02E8E9FF62AE}"/>
  </w:font>
  <w:font w:name="方正小标宋_GBK">
    <w:panose1 w:val="03000509000000000000"/>
    <w:charset w:val="86"/>
    <w:family w:val="script"/>
    <w:pitch w:val="default"/>
    <w:sig w:usb0="00000001" w:usb1="080E0000" w:usb2="00000000" w:usb3="00000000" w:csb0="00040000" w:csb1="00000000"/>
    <w:embedRegular r:id="rId3" w:fontKey="{4920C0AE-7950-4A29-B91A-89616AF16BC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jE4YjBmMzc5NGJiZTllY2ZkMzY3N2UzNDdiNTgifQ=="/>
  </w:docVars>
  <w:rsids>
    <w:rsidRoot w:val="612160BC"/>
    <w:rsid w:val="0AB01253"/>
    <w:rsid w:val="0D595299"/>
    <w:rsid w:val="119A68C5"/>
    <w:rsid w:val="1D23279B"/>
    <w:rsid w:val="1D941A2D"/>
    <w:rsid w:val="1F383185"/>
    <w:rsid w:val="3A6B5E65"/>
    <w:rsid w:val="3A7F4297"/>
    <w:rsid w:val="40E63361"/>
    <w:rsid w:val="41D91F29"/>
    <w:rsid w:val="4D470322"/>
    <w:rsid w:val="58E85CA7"/>
    <w:rsid w:val="612160BC"/>
    <w:rsid w:val="702C2F64"/>
    <w:rsid w:val="723318C1"/>
    <w:rsid w:val="779316ED"/>
    <w:rsid w:val="7CC1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2070</Words>
  <Characters>2127</Characters>
  <Lines>0</Lines>
  <Paragraphs>0</Paragraphs>
  <TotalTime>20</TotalTime>
  <ScaleCrop>false</ScaleCrop>
  <LinksUpToDate>false</LinksUpToDate>
  <CharactersWithSpaces>2145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2024-09-06T02:05:00Z</dcterms:created>
  <dc:creator>雅净</dc:creator>
  <cp:lastModifiedBy>流年无觞</cp:lastModifiedBy>
  <dcterms:modified xsi:type="dcterms:W3CDTF">2026-03-20T10:17:19Z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D998297EE56B430887EB70B4D65D126A_13</vt:lpwstr>
  </property>
  <property fmtid="{D5CDD505-2E9C-101B-9397-08002B2CF9AE}" pid="4" name="KSOTemplateDocerSaveRecord">
    <vt:lpwstr>eyJoZGlkIjoiNWRiN2EzOTIwNTFkMWRjYjlhM2M2MjEwMTAzOTAyMTAiLCJ1c2VySWQiOiI4NzI1NzQzIn0=</vt:lpwstr>
  </property>
</Properties>
</file>