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Arial"/>
          <w:b/>
          <w:bCs w:val="0"/>
          <w:kern w:val="0"/>
          <w:sz w:val="32"/>
          <w:szCs w:val="28"/>
        </w:rPr>
      </w:pPr>
      <w:r>
        <w:rPr>
          <w:rFonts w:hint="eastAsia" w:ascii="仿宋" w:hAnsi="仿宋" w:eastAsia="仿宋" w:cs="Arial"/>
          <w:b/>
          <w:bCs w:val="0"/>
          <w:kern w:val="0"/>
          <w:sz w:val="32"/>
          <w:szCs w:val="28"/>
        </w:rPr>
        <w:t>附件5</w:t>
      </w:r>
    </w:p>
    <w:p>
      <w:pPr>
        <w:jc w:val="center"/>
        <w:rPr>
          <w:rFonts w:hint="eastAsia" w:ascii="方正小标宋_GBK" w:hAnsi="宋体" w:eastAsia="方正小标宋_GBK" w:cs="宋体"/>
          <w:b/>
          <w:bCs/>
          <w:kern w:val="0"/>
          <w:sz w:val="40"/>
          <w:szCs w:val="40"/>
        </w:rPr>
      </w:pPr>
      <w:r>
        <w:rPr>
          <w:rFonts w:hint="eastAsia" w:ascii="方正小标宋_GBK" w:hAnsi="宋体" w:eastAsia="方正小标宋_GBK" w:cs="宋体"/>
          <w:b/>
          <w:bCs/>
          <w:kern w:val="0"/>
          <w:sz w:val="40"/>
          <w:szCs w:val="40"/>
        </w:rPr>
        <w:t>2026年广西土壤样品库档案管理评分标准</w:t>
      </w:r>
    </w:p>
    <w:tbl>
      <w:tblPr>
        <w:tblStyle w:val="15"/>
        <w:tblpPr w:leftFromText="180" w:rightFromText="180" w:vertAnchor="text" w:horzAnchor="page" w:tblpX="1505" w:tblpY="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827"/>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1789" w:type="dxa"/>
            <w:noWrap w:val="0"/>
            <w:vAlign w:val="center"/>
          </w:tcPr>
          <w:p>
            <w:pPr>
              <w:jc w:val="center"/>
              <w:rPr>
                <w:rFonts w:hint="eastAsia"/>
                <w:b/>
                <w:bCs/>
              </w:rPr>
            </w:pPr>
            <w:r>
              <w:rPr>
                <w:rFonts w:hint="eastAsia" w:ascii="仿宋" w:hAnsi="仿宋" w:eastAsia="仿宋" w:cs="仿宋"/>
                <w:b/>
                <w:bCs/>
                <w:sz w:val="24"/>
              </w:rPr>
              <w:t>项目</w:t>
            </w:r>
          </w:p>
        </w:tc>
        <w:tc>
          <w:tcPr>
            <w:tcW w:w="1827" w:type="dxa"/>
            <w:noWrap w:val="0"/>
            <w:vAlign w:val="center"/>
          </w:tcPr>
          <w:p>
            <w:pPr>
              <w:jc w:val="center"/>
              <w:rPr>
                <w:rFonts w:hint="eastAsia"/>
                <w:b/>
                <w:bCs/>
              </w:rPr>
            </w:pPr>
            <w:r>
              <w:rPr>
                <w:rFonts w:hint="eastAsia" w:ascii="仿宋" w:hAnsi="仿宋" w:eastAsia="仿宋" w:cs="仿宋"/>
                <w:b/>
                <w:bCs/>
                <w:sz w:val="24"/>
              </w:rPr>
              <w:t>评标分值</w:t>
            </w:r>
          </w:p>
        </w:tc>
        <w:tc>
          <w:tcPr>
            <w:tcW w:w="5501" w:type="dxa"/>
            <w:noWrap w:val="0"/>
            <w:vAlign w:val="center"/>
          </w:tcPr>
          <w:p>
            <w:pPr>
              <w:jc w:val="center"/>
              <w:rPr>
                <w:rFonts w:hint="eastAsia"/>
                <w:b/>
                <w:bCs/>
              </w:rPr>
            </w:pPr>
            <w:r>
              <w:rPr>
                <w:rFonts w:hint="eastAsia" w:ascii="仿宋" w:hAnsi="仿宋" w:eastAsia="仿宋" w:cs="仿宋"/>
                <w:b/>
                <w:bCs/>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noWrap w:val="0"/>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价格分</w:t>
            </w:r>
          </w:p>
          <w:p>
            <w:pPr>
              <w:spacing w:line="560" w:lineRule="exact"/>
              <w:jc w:val="center"/>
              <w:rPr>
                <w:rFonts w:hint="eastAsia"/>
              </w:rPr>
            </w:pPr>
            <w:r>
              <w:rPr>
                <w:rFonts w:hint="eastAsia" w:ascii="仿宋" w:hAnsi="仿宋" w:eastAsia="仿宋" w:cs="仿宋"/>
                <w:sz w:val="24"/>
              </w:rPr>
              <w:t>（满分</w:t>
            </w:r>
            <w:r>
              <w:rPr>
                <w:rFonts w:hint="eastAsia" w:ascii="仿宋" w:hAnsi="仿宋" w:eastAsia="仿宋" w:cs="仿宋"/>
                <w:sz w:val="24"/>
                <w:lang w:val="en-US" w:eastAsia="zh-CN"/>
              </w:rPr>
              <w:t>20</w:t>
            </w:r>
            <w:r>
              <w:rPr>
                <w:rFonts w:hint="eastAsia" w:ascii="仿宋" w:hAnsi="仿宋" w:eastAsia="仿宋" w:cs="仿宋"/>
                <w:sz w:val="24"/>
              </w:rPr>
              <w:t>分）</w:t>
            </w:r>
          </w:p>
        </w:tc>
        <w:tc>
          <w:tcPr>
            <w:tcW w:w="1827" w:type="dxa"/>
            <w:noWrap w:val="0"/>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投标报价</w:t>
            </w:r>
          </w:p>
          <w:p>
            <w:pPr>
              <w:spacing w:line="560" w:lineRule="exact"/>
              <w:jc w:val="center"/>
              <w:rPr>
                <w:rFonts w:hint="eastAsia"/>
              </w:rPr>
            </w:pPr>
            <w:r>
              <w:rPr>
                <w:rFonts w:hint="eastAsia" w:ascii="仿宋" w:hAnsi="仿宋" w:eastAsia="仿宋" w:cs="仿宋"/>
                <w:sz w:val="24"/>
              </w:rPr>
              <w:t>（满分</w:t>
            </w:r>
            <w:r>
              <w:rPr>
                <w:rFonts w:hint="eastAsia" w:ascii="仿宋" w:hAnsi="仿宋" w:eastAsia="仿宋" w:cs="仿宋"/>
                <w:sz w:val="24"/>
                <w:lang w:val="en-US" w:eastAsia="zh-CN"/>
              </w:rPr>
              <w:t>20</w:t>
            </w:r>
            <w:r>
              <w:rPr>
                <w:rFonts w:hint="eastAsia" w:ascii="仿宋" w:hAnsi="仿宋" w:eastAsia="仿宋" w:cs="仿宋"/>
                <w:sz w:val="24"/>
              </w:rPr>
              <w:t>分）</w:t>
            </w:r>
          </w:p>
        </w:tc>
        <w:tc>
          <w:tcPr>
            <w:tcW w:w="5501" w:type="dxa"/>
            <w:noWrap w:val="0"/>
            <w:vAlign w:val="center"/>
          </w:tcPr>
          <w:p>
            <w:pPr>
              <w:spacing w:line="360" w:lineRule="exact"/>
              <w:jc w:val="left"/>
              <w:rPr>
                <w:rFonts w:hint="eastAsia"/>
              </w:rPr>
            </w:pPr>
            <w:r>
              <w:rPr>
                <w:rFonts w:hint="eastAsia" w:ascii="仿宋" w:hAnsi="仿宋" w:eastAsia="仿宋" w:cs="仿宋"/>
                <w:sz w:val="24"/>
              </w:rPr>
              <w:t>有效报价不得高于预算金额14.0万元，以本次有效最低投标报价为基准价，得满分</w:t>
            </w:r>
            <w:r>
              <w:rPr>
                <w:rFonts w:hint="eastAsia" w:ascii="仿宋" w:hAnsi="仿宋" w:eastAsia="仿宋" w:cs="仿宋"/>
                <w:sz w:val="24"/>
                <w:lang w:val="en-US" w:eastAsia="zh-CN"/>
              </w:rPr>
              <w:t>20</w:t>
            </w:r>
            <w:r>
              <w:rPr>
                <w:rFonts w:hint="eastAsia" w:ascii="仿宋" w:hAnsi="仿宋" w:eastAsia="仿宋" w:cs="仿宋"/>
                <w:sz w:val="24"/>
              </w:rPr>
              <w:t>分；其他投标报价得分=（基准价÷投标报价）×</w:t>
            </w:r>
            <w:r>
              <w:rPr>
                <w:rFonts w:hint="eastAsia" w:ascii="仿宋" w:hAnsi="仿宋" w:eastAsia="仿宋" w:cs="仿宋"/>
                <w:sz w:val="24"/>
                <w:lang w:val="en-US" w:eastAsia="zh-CN"/>
              </w:rPr>
              <w:t>20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restart"/>
            <w:noWrap w:val="0"/>
            <w:vAlign w:val="center"/>
          </w:tcPr>
          <w:p>
            <w:pPr>
              <w:spacing w:line="560" w:lineRule="exact"/>
              <w:jc w:val="center"/>
              <w:rPr>
                <w:rFonts w:hint="eastAsia" w:ascii="仿宋" w:hAnsi="仿宋" w:eastAsia="仿宋" w:cs="仿宋"/>
                <w:sz w:val="24"/>
              </w:rPr>
            </w:pPr>
            <w:r>
              <w:rPr>
                <w:rFonts w:hint="eastAsia" w:ascii="仿宋" w:hAnsi="仿宋" w:eastAsia="仿宋" w:cs="仿宋"/>
                <w:sz w:val="24"/>
              </w:rPr>
              <w:t>技术分</w:t>
            </w:r>
          </w:p>
          <w:p>
            <w:pPr>
              <w:pStyle w:val="2"/>
              <w:ind w:left="0" w:leftChars="0" w:firstLine="0" w:firstLineChars="0"/>
              <w:jc w:val="center"/>
              <w:rPr>
                <w:rFonts w:hint="eastAsia"/>
              </w:rPr>
            </w:pPr>
            <w:r>
              <w:rPr>
                <w:rFonts w:hint="eastAsia" w:ascii="仿宋" w:hAnsi="仿宋" w:eastAsia="仿宋" w:cs="仿宋"/>
              </w:rPr>
              <w:t>（满分</w:t>
            </w:r>
            <w:r>
              <w:rPr>
                <w:rFonts w:hint="eastAsia" w:ascii="仿宋" w:hAnsi="仿宋" w:eastAsia="仿宋" w:cs="仿宋"/>
                <w:lang w:val="en-US"/>
              </w:rPr>
              <w:t>65</w:t>
            </w:r>
            <w:r>
              <w:rPr>
                <w:rFonts w:hint="eastAsia" w:ascii="仿宋" w:hAnsi="仿宋" w:eastAsia="仿宋" w:cs="仿宋"/>
              </w:rPr>
              <w:t>分）</w:t>
            </w:r>
          </w:p>
        </w:tc>
        <w:tc>
          <w:tcPr>
            <w:tcW w:w="1827" w:type="dxa"/>
            <w:noWrap w:val="0"/>
            <w:vAlign w:val="center"/>
          </w:tcPr>
          <w:p>
            <w:pPr>
              <w:widowControl/>
              <w:spacing w:line="360" w:lineRule="exact"/>
              <w:jc w:val="center"/>
              <w:rPr>
                <w:rFonts w:hint="eastAsia" w:ascii="仿宋" w:hAnsi="仿宋" w:eastAsia="仿宋" w:cs="仿宋"/>
                <w:sz w:val="24"/>
              </w:rPr>
            </w:pPr>
            <w:r>
              <w:rPr>
                <w:rFonts w:hint="eastAsia" w:ascii="仿宋" w:hAnsi="仿宋" w:eastAsia="仿宋" w:cs="仿宋"/>
                <w:sz w:val="24"/>
              </w:rPr>
              <w:t>项目服务方案</w:t>
            </w:r>
          </w:p>
          <w:p>
            <w:pPr>
              <w:spacing w:line="560" w:lineRule="exact"/>
              <w:jc w:val="center"/>
              <w:rPr>
                <w:rFonts w:hint="eastAsia"/>
              </w:rPr>
            </w:pPr>
            <w:r>
              <w:rPr>
                <w:rFonts w:hint="eastAsia" w:ascii="仿宋" w:hAnsi="仿宋" w:eastAsia="仿宋" w:cs="仿宋"/>
                <w:sz w:val="24"/>
              </w:rPr>
              <w:t>（满分30分）</w:t>
            </w:r>
          </w:p>
        </w:tc>
        <w:tc>
          <w:tcPr>
            <w:tcW w:w="5501" w:type="dxa"/>
            <w:noWrap w:val="0"/>
            <w:vAlign w:val="center"/>
          </w:tcPr>
          <w:p>
            <w:pPr>
              <w:widowControl/>
              <w:spacing w:line="360" w:lineRule="exact"/>
              <w:jc w:val="left"/>
              <w:rPr>
                <w:rFonts w:hint="eastAsia" w:ascii="仿宋" w:hAnsi="仿宋" w:eastAsia="仿宋" w:cs="仿宋"/>
                <w:sz w:val="24"/>
              </w:rPr>
            </w:pPr>
            <w:r>
              <w:rPr>
                <w:rFonts w:hint="eastAsia" w:ascii="仿宋" w:hAnsi="仿宋" w:eastAsia="仿宋" w:cs="仿宋"/>
                <w:sz w:val="24"/>
              </w:rPr>
              <w:t>方案内容包括但不限于：①技术路线；②人员配备；③工作流程及工作方法；④保密方案</w:t>
            </w:r>
            <w:r>
              <w:rPr>
                <w:rFonts w:hint="eastAsia" w:ascii="仿宋" w:hAnsi="仿宋" w:eastAsia="仿宋" w:cs="仿宋"/>
                <w:sz w:val="24"/>
                <w:lang w:eastAsia="zh-CN"/>
              </w:rPr>
              <w:t>；</w:t>
            </w:r>
            <w:r>
              <w:rPr>
                <w:rFonts w:hint="eastAsia" w:ascii="仿宋" w:hAnsi="仿宋" w:eastAsia="仿宋" w:cs="仿宋"/>
                <w:sz w:val="24"/>
              </w:rPr>
              <w:t>⑤完成时限等。未提供或达不到一档要求的，得0分。</w:t>
            </w:r>
          </w:p>
          <w:p>
            <w:pPr>
              <w:widowControl/>
              <w:spacing w:line="360" w:lineRule="exact"/>
              <w:jc w:val="left"/>
              <w:rPr>
                <w:rFonts w:hint="eastAsia" w:ascii="仿宋" w:hAnsi="仿宋" w:eastAsia="仿宋" w:cs="仿宋"/>
                <w:sz w:val="24"/>
              </w:rPr>
            </w:pPr>
            <w:r>
              <w:rPr>
                <w:rFonts w:hint="eastAsia" w:ascii="仿宋" w:hAnsi="仿宋" w:eastAsia="仿宋" w:cs="仿宋"/>
                <w:sz w:val="24"/>
              </w:rPr>
              <w:t>一档（10分）：基本能够理解本项目的特点和要求；服务承诺基本可行，方法简单，基本满足采购需求；</w:t>
            </w:r>
          </w:p>
          <w:p>
            <w:pPr>
              <w:widowControl/>
              <w:spacing w:line="360" w:lineRule="exact"/>
              <w:jc w:val="left"/>
              <w:rPr>
                <w:rFonts w:hint="eastAsia" w:ascii="仿宋" w:hAnsi="仿宋" w:eastAsia="仿宋" w:cs="仿宋"/>
                <w:sz w:val="24"/>
              </w:rPr>
            </w:pPr>
            <w:r>
              <w:rPr>
                <w:rFonts w:hint="eastAsia" w:ascii="仿宋" w:hAnsi="仿宋" w:eastAsia="仿宋" w:cs="仿宋"/>
                <w:sz w:val="24"/>
              </w:rPr>
              <w:t>二档（20分）：较准确地理解本项目的特点和服务要求；服务承诺较可行，方法得当，服务承诺较完善，较好地满足采购需求；</w:t>
            </w:r>
          </w:p>
          <w:p>
            <w:pPr>
              <w:spacing w:line="360" w:lineRule="exact"/>
              <w:jc w:val="left"/>
              <w:rPr>
                <w:rFonts w:hint="eastAsia"/>
              </w:rPr>
            </w:pPr>
            <w:r>
              <w:rPr>
                <w:rFonts w:hint="eastAsia" w:ascii="仿宋" w:hAnsi="仿宋" w:eastAsia="仿宋" w:cs="仿宋"/>
                <w:sz w:val="24"/>
              </w:rPr>
              <w:t>三档（30分）：熟悉集中整理档案和驻场服务的需求，针对性的就本项目的技术重点和难点，提出完整可行的服务方案，方法合理、科学，服务承诺完善、详尽，优于采购需求。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continue"/>
            <w:noWrap w:val="0"/>
            <w:vAlign w:val="center"/>
          </w:tcPr>
          <w:p>
            <w:pPr>
              <w:spacing w:line="560" w:lineRule="exact"/>
              <w:jc w:val="center"/>
              <w:rPr>
                <w:rFonts w:hint="eastAsia" w:ascii="仿宋" w:hAnsi="仿宋" w:eastAsia="仿宋" w:cs="仿宋"/>
                <w:sz w:val="24"/>
              </w:rPr>
            </w:pPr>
          </w:p>
        </w:tc>
        <w:tc>
          <w:tcPr>
            <w:tcW w:w="1827" w:type="dxa"/>
            <w:noWrap w:val="0"/>
            <w:vAlign w:val="center"/>
          </w:tcPr>
          <w:p>
            <w:pPr>
              <w:widowControl/>
              <w:spacing w:line="360" w:lineRule="exact"/>
              <w:jc w:val="center"/>
              <w:rPr>
                <w:rFonts w:ascii="仿宋" w:hAnsi="仿宋" w:eastAsia="仿宋" w:cs="仿宋"/>
                <w:sz w:val="24"/>
              </w:rPr>
            </w:pPr>
            <w:r>
              <w:rPr>
                <w:rFonts w:hint="eastAsia" w:ascii="仿宋" w:hAnsi="仿宋" w:eastAsia="仿宋" w:cs="仿宋"/>
                <w:sz w:val="24"/>
              </w:rPr>
              <w:t>项目质量控制方案</w:t>
            </w:r>
          </w:p>
          <w:p>
            <w:pPr>
              <w:widowControl/>
              <w:spacing w:line="360" w:lineRule="exact"/>
              <w:jc w:val="center"/>
              <w:rPr>
                <w:rFonts w:hint="eastAsia" w:ascii="仿宋" w:hAnsi="仿宋" w:eastAsia="仿宋" w:cs="仿宋"/>
                <w:sz w:val="24"/>
              </w:rPr>
            </w:pPr>
            <w:r>
              <w:rPr>
                <w:rFonts w:hint="eastAsia" w:ascii="仿宋" w:hAnsi="仿宋" w:eastAsia="仿宋" w:cs="仿宋"/>
                <w:sz w:val="24"/>
              </w:rPr>
              <w:t>（满分20分）</w:t>
            </w:r>
          </w:p>
        </w:tc>
        <w:tc>
          <w:tcPr>
            <w:tcW w:w="5501" w:type="dxa"/>
            <w:noWrap w:val="0"/>
            <w:vAlign w:val="center"/>
          </w:tcPr>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根据投标人提供的质量控制方案，对实施计划的针对性和可行性，以及方案的详实程度和质控及管理措施的规范性进行评价：</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一档（5分）：有质量控制方案，能满足项目需求中的质量保证要求；</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二档（10分）：有详细的质量控制方案，能根据项目需求中的质量控制要求，逐条做出详细的质量控制方案计划。</w:t>
            </w:r>
          </w:p>
          <w:p>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三档（20分）：有详细的质量控制方案，能根据项目需求中的质量控制要求，逐条做出详细的符合项目实际情况的质量控制方案计划，有保障重点及难点并提出详细的解决方案。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continue"/>
            <w:noWrap w:val="0"/>
            <w:vAlign w:val="center"/>
          </w:tcPr>
          <w:p>
            <w:pPr>
              <w:pStyle w:val="2"/>
              <w:ind w:firstLine="480"/>
              <w:jc w:val="center"/>
              <w:rPr>
                <w:rFonts w:hint="eastAsia"/>
              </w:rPr>
            </w:pPr>
          </w:p>
        </w:tc>
        <w:tc>
          <w:tcPr>
            <w:tcW w:w="1827" w:type="dxa"/>
            <w:noWrap w:val="0"/>
            <w:vAlign w:val="center"/>
          </w:tcPr>
          <w:p>
            <w:pPr>
              <w:widowControl/>
              <w:spacing w:line="360" w:lineRule="exact"/>
              <w:jc w:val="center"/>
              <w:rPr>
                <w:rFonts w:hint="eastAsia"/>
              </w:rPr>
            </w:pPr>
            <w:r>
              <w:rPr>
                <w:rFonts w:hint="eastAsia" w:ascii="仿宋" w:hAnsi="仿宋" w:eastAsia="仿宋" w:cs="仿宋"/>
                <w:sz w:val="24"/>
              </w:rPr>
              <w:t>项目售后服务分（满分15分）</w:t>
            </w:r>
          </w:p>
        </w:tc>
        <w:tc>
          <w:tcPr>
            <w:tcW w:w="5501" w:type="dxa"/>
            <w:noWrap w:val="0"/>
            <w:vAlign w:val="center"/>
          </w:tcPr>
          <w:p>
            <w:pPr>
              <w:widowControl/>
              <w:spacing w:line="360" w:lineRule="exact"/>
              <w:jc w:val="left"/>
              <w:rPr>
                <w:rFonts w:hint="eastAsia" w:ascii="仿宋" w:hAnsi="仿宋" w:eastAsia="仿宋" w:cs="仿宋"/>
                <w:sz w:val="24"/>
              </w:rPr>
            </w:pPr>
            <w:r>
              <w:rPr>
                <w:rFonts w:hint="eastAsia" w:ascii="仿宋" w:hAnsi="仿宋" w:eastAsia="仿宋" w:cs="仿宋"/>
                <w:sz w:val="24"/>
              </w:rPr>
              <w:t>一档（5分）：</w:t>
            </w:r>
            <w:r>
              <w:rPr>
                <w:rFonts w:hint="eastAsia" w:ascii="仿宋" w:hAnsi="仿宋" w:eastAsia="仿宋" w:cs="仿宋"/>
                <w:sz w:val="24"/>
                <w:lang w:val="zh-CN"/>
              </w:rPr>
              <w:t>投标单位的售后服务体系及措施、服务方案内容基本完善，响应时间满足采购文件要求、培训内容简单</w:t>
            </w:r>
            <w:r>
              <w:rPr>
                <w:rFonts w:hint="eastAsia" w:ascii="仿宋" w:hAnsi="仿宋" w:eastAsia="仿宋" w:cs="仿宋"/>
                <w:sz w:val="24"/>
              </w:rPr>
              <w:t>。</w:t>
            </w:r>
          </w:p>
          <w:p>
            <w:pPr>
              <w:widowControl/>
              <w:spacing w:line="360" w:lineRule="exact"/>
              <w:jc w:val="left"/>
              <w:rPr>
                <w:rFonts w:hint="eastAsia" w:ascii="仿宋" w:hAnsi="仿宋" w:eastAsia="仿宋" w:cs="仿宋"/>
                <w:sz w:val="24"/>
              </w:rPr>
            </w:pPr>
            <w:r>
              <w:rPr>
                <w:rFonts w:hint="eastAsia" w:ascii="仿宋" w:hAnsi="仿宋" w:eastAsia="仿宋" w:cs="仿宋"/>
                <w:sz w:val="24"/>
              </w:rPr>
              <w:t>二档（10分）：</w:t>
            </w:r>
            <w:r>
              <w:rPr>
                <w:rFonts w:hint="eastAsia" w:ascii="仿宋" w:hAnsi="仿宋" w:eastAsia="仿宋" w:cs="仿宋"/>
                <w:sz w:val="24"/>
                <w:lang w:val="zh-CN"/>
              </w:rPr>
              <w:t>在满足一档要求的基础上，能提供快速的售后服务响应，并针对本项目提供专门的售后服务技术支持、服务保障方案及应急预案，能提供较全面的对驻场人员的培训方案，有完整的培训内容、时间等计划</w:t>
            </w:r>
            <w:r>
              <w:rPr>
                <w:rFonts w:hint="eastAsia" w:ascii="仿宋" w:hAnsi="仿宋" w:eastAsia="仿宋" w:cs="仿宋"/>
                <w:sz w:val="24"/>
              </w:rPr>
              <w:t>。</w:t>
            </w:r>
          </w:p>
          <w:p>
            <w:pPr>
              <w:widowControl/>
              <w:spacing w:line="360" w:lineRule="exact"/>
              <w:jc w:val="left"/>
              <w:rPr>
                <w:rFonts w:hint="eastAsia"/>
              </w:rPr>
            </w:pPr>
            <w:r>
              <w:rPr>
                <w:rFonts w:hint="eastAsia" w:ascii="仿宋" w:hAnsi="仿宋" w:eastAsia="仿宋" w:cs="仿宋"/>
                <w:sz w:val="24"/>
              </w:rPr>
              <w:t>三档（15分）：</w:t>
            </w:r>
            <w:r>
              <w:rPr>
                <w:rFonts w:hint="eastAsia" w:ascii="仿宋" w:hAnsi="仿宋" w:eastAsia="仿宋" w:cs="仿宋"/>
                <w:sz w:val="24"/>
                <w:lang w:val="zh-CN"/>
              </w:rPr>
              <w:t>在满足二档要求的基础上，能提供本地化服务，能提供有质保期外技术服务承诺方案及其他有利于采购人的优化服务措施。且投标单位的服务体系及措施、详细的服务人员信息表、服务方案内容的完整性、可行性、响应时间等方面内容优良，能提供全面的对驻场人员培训方案，对培训内容、时间等计划科学合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restart"/>
            <w:noWrap w:val="0"/>
            <w:vAlign w:val="center"/>
          </w:tcPr>
          <w:p>
            <w:pPr>
              <w:widowControl/>
              <w:spacing w:line="360" w:lineRule="exact"/>
              <w:jc w:val="center"/>
              <w:rPr>
                <w:rFonts w:hint="eastAsia" w:ascii="仿宋" w:hAnsi="仿宋" w:eastAsia="仿宋" w:cs="仿宋"/>
                <w:sz w:val="24"/>
              </w:rPr>
            </w:pPr>
            <w:r>
              <w:rPr>
                <w:rFonts w:hint="eastAsia" w:ascii="仿宋" w:hAnsi="仿宋" w:eastAsia="仿宋" w:cs="仿宋"/>
                <w:sz w:val="24"/>
              </w:rPr>
              <w:t>商务分</w:t>
            </w:r>
          </w:p>
          <w:p>
            <w:pPr>
              <w:pStyle w:val="2"/>
              <w:ind w:left="0" w:leftChars="0" w:firstLine="0" w:firstLineChars="0"/>
              <w:jc w:val="center"/>
              <w:rPr>
                <w:rFonts w:hint="eastAsia"/>
              </w:rPr>
            </w:pPr>
            <w:r>
              <w:rPr>
                <w:rFonts w:hint="eastAsia" w:ascii="仿宋" w:hAnsi="仿宋" w:eastAsia="仿宋" w:cs="仿宋"/>
              </w:rPr>
              <w:t>（满分15分）</w:t>
            </w:r>
          </w:p>
        </w:tc>
        <w:tc>
          <w:tcPr>
            <w:tcW w:w="1827" w:type="dxa"/>
            <w:noWrap w:val="0"/>
            <w:vAlign w:val="center"/>
          </w:tcPr>
          <w:p>
            <w:pPr>
              <w:spacing w:line="560" w:lineRule="exact"/>
              <w:jc w:val="center"/>
              <w:rPr>
                <w:rFonts w:hint="eastAsia" w:ascii="仿宋" w:hAnsi="仿宋" w:eastAsia="仿宋" w:cs="仿宋"/>
                <w:sz w:val="24"/>
              </w:rPr>
            </w:pPr>
            <w:r>
              <w:rPr>
                <w:rFonts w:hint="eastAsia" w:ascii="仿宋" w:hAnsi="仿宋" w:eastAsia="仿宋" w:cs="仿宋"/>
                <w:sz w:val="24"/>
              </w:rPr>
              <w:t>项目负责人</w:t>
            </w:r>
          </w:p>
          <w:p>
            <w:pPr>
              <w:spacing w:line="560" w:lineRule="exact"/>
              <w:jc w:val="center"/>
              <w:rPr>
                <w:rFonts w:hint="eastAsia"/>
              </w:rPr>
            </w:pPr>
            <w:r>
              <w:rPr>
                <w:rFonts w:hint="eastAsia" w:ascii="仿宋" w:hAnsi="仿宋" w:eastAsia="仿宋" w:cs="仿宋"/>
                <w:sz w:val="24"/>
              </w:rPr>
              <w:t>（满分4分）</w:t>
            </w:r>
          </w:p>
        </w:tc>
        <w:tc>
          <w:tcPr>
            <w:tcW w:w="5501" w:type="dxa"/>
            <w:noWrap w:val="0"/>
            <w:vAlign w:val="center"/>
          </w:tcPr>
          <w:p>
            <w:pPr>
              <w:widowControl/>
              <w:spacing w:line="360" w:lineRule="exact"/>
              <w:jc w:val="left"/>
              <w:rPr>
                <w:rFonts w:hint="eastAsia" w:ascii="仿宋" w:hAnsi="仿宋" w:eastAsia="仿宋" w:cs="仿宋"/>
                <w:sz w:val="24"/>
              </w:rPr>
            </w:pPr>
            <w:r>
              <w:rPr>
                <w:rFonts w:hint="eastAsia" w:ascii="仿宋" w:hAnsi="仿宋" w:eastAsia="仿宋" w:cs="仿宋"/>
                <w:sz w:val="24"/>
              </w:rPr>
              <w:t>拟投入本项目的项目负责人（1名）：</w:t>
            </w:r>
          </w:p>
          <w:p>
            <w:pPr>
              <w:widowControl/>
              <w:spacing w:line="360" w:lineRule="exact"/>
              <w:jc w:val="left"/>
              <w:rPr>
                <w:rFonts w:hint="eastAsia" w:ascii="仿宋" w:hAnsi="仿宋" w:eastAsia="仿宋" w:cs="仿宋"/>
                <w:sz w:val="24"/>
              </w:rPr>
            </w:pPr>
            <w:r>
              <w:rPr>
                <w:rFonts w:hint="eastAsia" w:ascii="仿宋" w:hAnsi="仿宋" w:eastAsia="仿宋" w:cs="仿宋"/>
                <w:sz w:val="24"/>
              </w:rPr>
              <w:t>中级职称得1分，高级（含）以上职称得4分。</w:t>
            </w:r>
          </w:p>
          <w:p>
            <w:pPr>
              <w:widowControl/>
              <w:spacing w:line="360" w:lineRule="exact"/>
              <w:jc w:val="left"/>
              <w:rPr>
                <w:rFonts w:hint="eastAsia"/>
              </w:rPr>
            </w:pPr>
            <w:r>
              <w:rPr>
                <w:rFonts w:hint="eastAsia" w:ascii="仿宋" w:hAnsi="仿宋" w:eastAsia="仿宋" w:cs="仿宋"/>
                <w:sz w:val="24"/>
              </w:rPr>
              <w:t>注：1）上述证书需提供证书复印件，并加盖供应商公章；2）须提供本人身份证明、劳动合同复印件。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continue"/>
            <w:noWrap w:val="0"/>
            <w:vAlign w:val="center"/>
          </w:tcPr>
          <w:p>
            <w:pPr>
              <w:pStyle w:val="2"/>
              <w:ind w:firstLine="480"/>
              <w:jc w:val="center"/>
              <w:rPr>
                <w:rFonts w:hint="eastAsia"/>
              </w:rPr>
            </w:pPr>
          </w:p>
        </w:tc>
        <w:tc>
          <w:tcPr>
            <w:tcW w:w="1827" w:type="dxa"/>
            <w:noWrap w:val="0"/>
            <w:vAlign w:val="center"/>
          </w:tcPr>
          <w:p>
            <w:pPr>
              <w:spacing w:line="560" w:lineRule="exact"/>
              <w:jc w:val="center"/>
              <w:rPr>
                <w:rFonts w:hint="eastAsia" w:ascii="仿宋" w:hAnsi="仿宋" w:eastAsia="仿宋" w:cs="仿宋"/>
                <w:sz w:val="24"/>
              </w:rPr>
            </w:pPr>
            <w:r>
              <w:rPr>
                <w:rFonts w:hint="eastAsia" w:ascii="仿宋" w:hAnsi="仿宋" w:eastAsia="仿宋" w:cs="仿宋"/>
                <w:sz w:val="24"/>
              </w:rPr>
              <w:t>硬件设施</w:t>
            </w:r>
          </w:p>
          <w:p>
            <w:pPr>
              <w:spacing w:line="560" w:lineRule="exact"/>
              <w:jc w:val="center"/>
              <w:rPr>
                <w:rFonts w:hint="eastAsia"/>
              </w:rPr>
            </w:pPr>
            <w:r>
              <w:rPr>
                <w:rFonts w:hint="eastAsia" w:ascii="仿宋" w:hAnsi="仿宋" w:eastAsia="仿宋" w:cs="仿宋"/>
                <w:sz w:val="24"/>
              </w:rPr>
              <w:t>（满分6分）</w:t>
            </w:r>
          </w:p>
        </w:tc>
        <w:tc>
          <w:tcPr>
            <w:tcW w:w="5501" w:type="dxa"/>
            <w:noWrap w:val="0"/>
            <w:vAlign w:val="center"/>
          </w:tcPr>
          <w:p>
            <w:pPr>
              <w:spacing w:line="360" w:lineRule="exact"/>
              <w:jc w:val="left"/>
              <w:rPr>
                <w:rFonts w:hint="eastAsia"/>
              </w:rPr>
            </w:pPr>
            <w:r>
              <w:rPr>
                <w:rFonts w:hint="eastAsia" w:ascii="仿宋" w:hAnsi="仿宋" w:eastAsia="仿宋" w:cs="仿宋"/>
                <w:sz w:val="24"/>
              </w:rPr>
              <w:t>根据供应商拟投入本项目的硬件设施配置情况，光盘刻录机1台得1分，彩色双面打印机得2分，彩色扫描仪得2分，彩色复印机1台得1分或彩色双面打印机带彩色复印功能得1分。请</w:t>
            </w:r>
            <w:r>
              <w:rPr>
                <w:rFonts w:hint="eastAsia" w:ascii="仿宋" w:hAnsi="仿宋" w:eastAsia="仿宋" w:cs="仿宋"/>
                <w:sz w:val="24"/>
                <w:lang w:eastAsia="zh-CN"/>
              </w:rPr>
              <w:t>附</w:t>
            </w:r>
            <w:bookmarkStart w:id="0" w:name="_GoBack"/>
            <w:bookmarkEnd w:id="0"/>
            <w:r>
              <w:rPr>
                <w:rFonts w:hint="eastAsia" w:ascii="仿宋" w:hAnsi="仿宋" w:eastAsia="仿宋" w:cs="仿宋"/>
                <w:sz w:val="24"/>
              </w:rPr>
              <w:t>列表和配置硬件设施设备照片。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Merge w:val="continue"/>
            <w:noWrap w:val="0"/>
            <w:vAlign w:val="center"/>
          </w:tcPr>
          <w:p>
            <w:pPr>
              <w:pStyle w:val="2"/>
              <w:ind w:firstLine="480"/>
              <w:jc w:val="center"/>
              <w:rPr>
                <w:rFonts w:hint="eastAsia"/>
              </w:rPr>
            </w:pPr>
          </w:p>
        </w:tc>
        <w:tc>
          <w:tcPr>
            <w:tcW w:w="1827" w:type="dxa"/>
            <w:noWrap w:val="0"/>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业绩分</w:t>
            </w:r>
          </w:p>
          <w:p>
            <w:pPr>
              <w:spacing w:line="560" w:lineRule="exact"/>
              <w:jc w:val="center"/>
              <w:rPr>
                <w:rFonts w:hint="eastAsia" w:ascii="仿宋" w:hAnsi="仿宋" w:eastAsia="仿宋" w:cs="仿宋"/>
                <w:sz w:val="24"/>
              </w:rPr>
            </w:pPr>
            <w:r>
              <w:rPr>
                <w:rFonts w:hint="eastAsia" w:ascii="仿宋" w:hAnsi="仿宋" w:eastAsia="仿宋" w:cs="仿宋"/>
                <w:sz w:val="24"/>
              </w:rPr>
              <w:t>（满分5分）</w:t>
            </w:r>
          </w:p>
        </w:tc>
        <w:tc>
          <w:tcPr>
            <w:tcW w:w="5501" w:type="dxa"/>
            <w:noWrap w:val="0"/>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投标人提供2021年1月1日以来完成过同类项目业绩，每个业绩得1分，本项满分5分。</w:t>
            </w:r>
          </w:p>
          <w:p>
            <w:pPr>
              <w:spacing w:line="360" w:lineRule="exact"/>
              <w:jc w:val="left"/>
              <w:rPr>
                <w:rFonts w:hint="eastAsia" w:ascii="仿宋" w:hAnsi="仿宋" w:eastAsia="仿宋" w:cs="仿宋"/>
                <w:sz w:val="24"/>
              </w:rPr>
            </w:pPr>
            <w:r>
              <w:rPr>
                <w:rFonts w:hint="eastAsia" w:ascii="仿宋" w:hAnsi="仿宋" w:eastAsia="仿宋" w:cs="仿宋"/>
                <w:sz w:val="24"/>
                <w:szCs w:val="24"/>
              </w:rPr>
              <w:t>注：必须提供中标/成交通知书或合同首页、签字盖章页所在页复印件等证明材料复印件并加盖公章，否则不得分。</w:t>
            </w:r>
          </w:p>
        </w:tc>
      </w:tr>
    </w:tbl>
    <w:p>
      <w:pPr>
        <w:pStyle w:val="2"/>
        <w:ind w:firstLine="480"/>
        <w:rPr>
          <w:rFonts w:hint="eastAsia"/>
        </w:rPr>
      </w:pPr>
    </w:p>
    <w:p>
      <w:pPr>
        <w:tabs>
          <w:tab w:val="left" w:pos="0"/>
        </w:tabs>
        <w:spacing w:line="600" w:lineRule="exact"/>
        <w:jc w:val="right"/>
        <w:rPr>
          <w:rFonts w:hint="eastAsia" w:ascii="Arial" w:hAnsi="Arial" w:cs="Arial"/>
          <w:b/>
          <w:bCs/>
          <w:kern w:val="0"/>
          <w:sz w:val="24"/>
          <w:szCs w:val="24"/>
        </w:rPr>
      </w:pPr>
    </w:p>
    <w:sectPr>
      <w:footerReference r:id="rId3" w:type="default"/>
      <w:footerReference r:id="rId4" w:type="even"/>
      <w:pgSz w:w="11906" w:h="16838"/>
      <w:pgMar w:top="1440" w:right="1474" w:bottom="1191" w:left="1531"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sz w:val="21"/>
      </w:rPr>
    </w:pPr>
    <w:r>
      <w:rPr>
        <w:sz w:val="21"/>
      </w:rPr>
      <w:fldChar w:fldCharType="begin"/>
    </w:r>
    <w:r>
      <w:rPr>
        <w:sz w:val="21"/>
      </w:rPr>
      <w:instrText xml:space="preserve">PAGE   \* MERGEFORMAT</w:instrText>
    </w:r>
    <w:r>
      <w:rPr>
        <w:sz w:val="21"/>
      </w:rPr>
      <w:fldChar w:fldCharType="separate"/>
    </w:r>
    <w:r>
      <w:rPr>
        <w:sz w:val="21"/>
        <w:lang w:val="zh-CN"/>
      </w:rPr>
      <w:t>4</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true"/>
  <w:bordersDoNotSurroundFooter w:val="true"/>
  <w:documentProtection w:enforcement="0"/>
  <w:defaultTabStop w:val="720"/>
  <w:hyphenationZone w:val="360"/>
  <w:drawingGridHorizontalSpacing w:val="105"/>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WM1ZmJlZjNmZjU4MjkyZTgwNTFjNzEzNDY1YWQifQ=="/>
  </w:docVars>
  <w:rsids>
    <w:rsidRoot w:val="009A5233"/>
    <w:rsid w:val="000065A8"/>
    <w:rsid w:val="00007546"/>
    <w:rsid w:val="00011230"/>
    <w:rsid w:val="00011A7D"/>
    <w:rsid w:val="0002464C"/>
    <w:rsid w:val="00024898"/>
    <w:rsid w:val="00027F1D"/>
    <w:rsid w:val="00034CA6"/>
    <w:rsid w:val="0003673D"/>
    <w:rsid w:val="00041BC6"/>
    <w:rsid w:val="00042D8C"/>
    <w:rsid w:val="00046025"/>
    <w:rsid w:val="00054B5F"/>
    <w:rsid w:val="0005593A"/>
    <w:rsid w:val="00057D2E"/>
    <w:rsid w:val="00060EC4"/>
    <w:rsid w:val="00063ACC"/>
    <w:rsid w:val="00070758"/>
    <w:rsid w:val="000735C6"/>
    <w:rsid w:val="000779D3"/>
    <w:rsid w:val="00084130"/>
    <w:rsid w:val="00085899"/>
    <w:rsid w:val="00091FFB"/>
    <w:rsid w:val="00094442"/>
    <w:rsid w:val="00095CDB"/>
    <w:rsid w:val="00095D2B"/>
    <w:rsid w:val="000A075F"/>
    <w:rsid w:val="000A22F0"/>
    <w:rsid w:val="000A7A1C"/>
    <w:rsid w:val="000B49E7"/>
    <w:rsid w:val="000B49ED"/>
    <w:rsid w:val="000B74ED"/>
    <w:rsid w:val="000B7C1F"/>
    <w:rsid w:val="000C1833"/>
    <w:rsid w:val="000C6ADC"/>
    <w:rsid w:val="000C6EAA"/>
    <w:rsid w:val="000C7BAC"/>
    <w:rsid w:val="000E1A6B"/>
    <w:rsid w:val="000E3220"/>
    <w:rsid w:val="000F44C7"/>
    <w:rsid w:val="00100B2F"/>
    <w:rsid w:val="00105B80"/>
    <w:rsid w:val="0011235A"/>
    <w:rsid w:val="001158F8"/>
    <w:rsid w:val="001213FA"/>
    <w:rsid w:val="001221C2"/>
    <w:rsid w:val="00124D93"/>
    <w:rsid w:val="00134368"/>
    <w:rsid w:val="001370C4"/>
    <w:rsid w:val="0014333A"/>
    <w:rsid w:val="00145A6F"/>
    <w:rsid w:val="001536D8"/>
    <w:rsid w:val="001622EC"/>
    <w:rsid w:val="001636BC"/>
    <w:rsid w:val="001668FA"/>
    <w:rsid w:val="00171BCD"/>
    <w:rsid w:val="001723E0"/>
    <w:rsid w:val="001767EF"/>
    <w:rsid w:val="00177ACE"/>
    <w:rsid w:val="0018418A"/>
    <w:rsid w:val="0018444F"/>
    <w:rsid w:val="00184960"/>
    <w:rsid w:val="00186548"/>
    <w:rsid w:val="00193A4F"/>
    <w:rsid w:val="00193FF7"/>
    <w:rsid w:val="001A067A"/>
    <w:rsid w:val="001A20A3"/>
    <w:rsid w:val="001A24A1"/>
    <w:rsid w:val="001A2A74"/>
    <w:rsid w:val="001A5CAA"/>
    <w:rsid w:val="001A77D7"/>
    <w:rsid w:val="001B384F"/>
    <w:rsid w:val="001C7611"/>
    <w:rsid w:val="001D05A9"/>
    <w:rsid w:val="001D2311"/>
    <w:rsid w:val="001D740A"/>
    <w:rsid w:val="001E748D"/>
    <w:rsid w:val="0021103D"/>
    <w:rsid w:val="0021310C"/>
    <w:rsid w:val="00222FFF"/>
    <w:rsid w:val="002230F8"/>
    <w:rsid w:val="002232C1"/>
    <w:rsid w:val="00230627"/>
    <w:rsid w:val="00231759"/>
    <w:rsid w:val="0023255F"/>
    <w:rsid w:val="00240863"/>
    <w:rsid w:val="00241A28"/>
    <w:rsid w:val="002462A2"/>
    <w:rsid w:val="00250793"/>
    <w:rsid w:val="00255273"/>
    <w:rsid w:val="002568FA"/>
    <w:rsid w:val="00260C9E"/>
    <w:rsid w:val="0026565A"/>
    <w:rsid w:val="002711C6"/>
    <w:rsid w:val="00280C2F"/>
    <w:rsid w:val="00284583"/>
    <w:rsid w:val="002901EE"/>
    <w:rsid w:val="00297986"/>
    <w:rsid w:val="002A0718"/>
    <w:rsid w:val="002A1CD1"/>
    <w:rsid w:val="002A6D5F"/>
    <w:rsid w:val="002B0756"/>
    <w:rsid w:val="002C16BE"/>
    <w:rsid w:val="002C43AF"/>
    <w:rsid w:val="002C7476"/>
    <w:rsid w:val="002E063D"/>
    <w:rsid w:val="002E22BB"/>
    <w:rsid w:val="002E4983"/>
    <w:rsid w:val="002E79B6"/>
    <w:rsid w:val="002E7ECA"/>
    <w:rsid w:val="002F039C"/>
    <w:rsid w:val="002F2E0D"/>
    <w:rsid w:val="00300E3C"/>
    <w:rsid w:val="00304D14"/>
    <w:rsid w:val="003165D8"/>
    <w:rsid w:val="00321C92"/>
    <w:rsid w:val="003231D6"/>
    <w:rsid w:val="00323B43"/>
    <w:rsid w:val="0032511F"/>
    <w:rsid w:val="00325965"/>
    <w:rsid w:val="00326B8B"/>
    <w:rsid w:val="00336D24"/>
    <w:rsid w:val="00340B49"/>
    <w:rsid w:val="0034565C"/>
    <w:rsid w:val="003459BB"/>
    <w:rsid w:val="003460E7"/>
    <w:rsid w:val="00351062"/>
    <w:rsid w:val="003524F5"/>
    <w:rsid w:val="00352B26"/>
    <w:rsid w:val="003609F6"/>
    <w:rsid w:val="003613C2"/>
    <w:rsid w:val="00367594"/>
    <w:rsid w:val="00367B30"/>
    <w:rsid w:val="0037480F"/>
    <w:rsid w:val="00375477"/>
    <w:rsid w:val="003801E6"/>
    <w:rsid w:val="00387C27"/>
    <w:rsid w:val="003A4CD0"/>
    <w:rsid w:val="003A72BF"/>
    <w:rsid w:val="003B0D88"/>
    <w:rsid w:val="003B2740"/>
    <w:rsid w:val="003C38C3"/>
    <w:rsid w:val="003C3B08"/>
    <w:rsid w:val="003C3F29"/>
    <w:rsid w:val="003D023A"/>
    <w:rsid w:val="003D0D02"/>
    <w:rsid w:val="003D23B9"/>
    <w:rsid w:val="003D37D8"/>
    <w:rsid w:val="003D704F"/>
    <w:rsid w:val="003F2556"/>
    <w:rsid w:val="003F4A9B"/>
    <w:rsid w:val="003F7054"/>
    <w:rsid w:val="00402BB8"/>
    <w:rsid w:val="00405A65"/>
    <w:rsid w:val="00411A0B"/>
    <w:rsid w:val="0041330E"/>
    <w:rsid w:val="0041406A"/>
    <w:rsid w:val="00416143"/>
    <w:rsid w:val="004164F2"/>
    <w:rsid w:val="00420574"/>
    <w:rsid w:val="004226F4"/>
    <w:rsid w:val="00422D7C"/>
    <w:rsid w:val="0042769C"/>
    <w:rsid w:val="004358AB"/>
    <w:rsid w:val="00436D22"/>
    <w:rsid w:val="0044160A"/>
    <w:rsid w:val="00441FA4"/>
    <w:rsid w:val="00443319"/>
    <w:rsid w:val="00450207"/>
    <w:rsid w:val="004509C3"/>
    <w:rsid w:val="00453A5E"/>
    <w:rsid w:val="00461BCD"/>
    <w:rsid w:val="004666F3"/>
    <w:rsid w:val="00470299"/>
    <w:rsid w:val="00471E37"/>
    <w:rsid w:val="00474131"/>
    <w:rsid w:val="00477049"/>
    <w:rsid w:val="00483A5C"/>
    <w:rsid w:val="00486873"/>
    <w:rsid w:val="00486D4F"/>
    <w:rsid w:val="004879E1"/>
    <w:rsid w:val="00491D47"/>
    <w:rsid w:val="004A0C0F"/>
    <w:rsid w:val="004A27F3"/>
    <w:rsid w:val="004A4959"/>
    <w:rsid w:val="004A6EB5"/>
    <w:rsid w:val="004A738C"/>
    <w:rsid w:val="004B1C74"/>
    <w:rsid w:val="004C0F9A"/>
    <w:rsid w:val="004C6747"/>
    <w:rsid w:val="004C690E"/>
    <w:rsid w:val="004D4B18"/>
    <w:rsid w:val="004E13B1"/>
    <w:rsid w:val="004E1E08"/>
    <w:rsid w:val="004E3209"/>
    <w:rsid w:val="004E57BC"/>
    <w:rsid w:val="00502106"/>
    <w:rsid w:val="00505BBC"/>
    <w:rsid w:val="00507173"/>
    <w:rsid w:val="00513287"/>
    <w:rsid w:val="00513C4C"/>
    <w:rsid w:val="00515427"/>
    <w:rsid w:val="005158F6"/>
    <w:rsid w:val="005208FC"/>
    <w:rsid w:val="00524100"/>
    <w:rsid w:val="00524204"/>
    <w:rsid w:val="00524E4A"/>
    <w:rsid w:val="005275CA"/>
    <w:rsid w:val="00533EF5"/>
    <w:rsid w:val="00537C8B"/>
    <w:rsid w:val="0054320F"/>
    <w:rsid w:val="00552A06"/>
    <w:rsid w:val="00554D4F"/>
    <w:rsid w:val="00565A63"/>
    <w:rsid w:val="00576FA5"/>
    <w:rsid w:val="00577781"/>
    <w:rsid w:val="005804CA"/>
    <w:rsid w:val="00580F29"/>
    <w:rsid w:val="00582673"/>
    <w:rsid w:val="00586701"/>
    <w:rsid w:val="00590502"/>
    <w:rsid w:val="00597153"/>
    <w:rsid w:val="005A4031"/>
    <w:rsid w:val="005B0F2D"/>
    <w:rsid w:val="005C327B"/>
    <w:rsid w:val="005C5544"/>
    <w:rsid w:val="005C7D46"/>
    <w:rsid w:val="005D0CF8"/>
    <w:rsid w:val="005D10A2"/>
    <w:rsid w:val="005D29C0"/>
    <w:rsid w:val="005D6838"/>
    <w:rsid w:val="005E1229"/>
    <w:rsid w:val="005E262A"/>
    <w:rsid w:val="005E381E"/>
    <w:rsid w:val="005F3A24"/>
    <w:rsid w:val="00600FE0"/>
    <w:rsid w:val="006033B0"/>
    <w:rsid w:val="00605462"/>
    <w:rsid w:val="00610716"/>
    <w:rsid w:val="00615408"/>
    <w:rsid w:val="00632BED"/>
    <w:rsid w:val="00635779"/>
    <w:rsid w:val="0063581C"/>
    <w:rsid w:val="0064017E"/>
    <w:rsid w:val="00640385"/>
    <w:rsid w:val="00644E37"/>
    <w:rsid w:val="006607AC"/>
    <w:rsid w:val="00660A84"/>
    <w:rsid w:val="0066358D"/>
    <w:rsid w:val="00673884"/>
    <w:rsid w:val="006775D6"/>
    <w:rsid w:val="006779C3"/>
    <w:rsid w:val="006816A7"/>
    <w:rsid w:val="00684889"/>
    <w:rsid w:val="006859F2"/>
    <w:rsid w:val="006940BB"/>
    <w:rsid w:val="006A2790"/>
    <w:rsid w:val="006C4B5A"/>
    <w:rsid w:val="006D24D2"/>
    <w:rsid w:val="006D3CFA"/>
    <w:rsid w:val="006E1E89"/>
    <w:rsid w:val="006E3C10"/>
    <w:rsid w:val="006E69D0"/>
    <w:rsid w:val="00716474"/>
    <w:rsid w:val="00723AEB"/>
    <w:rsid w:val="007261B1"/>
    <w:rsid w:val="00726425"/>
    <w:rsid w:val="007303F9"/>
    <w:rsid w:val="0073252B"/>
    <w:rsid w:val="00743166"/>
    <w:rsid w:val="00746D04"/>
    <w:rsid w:val="007522FB"/>
    <w:rsid w:val="00760C81"/>
    <w:rsid w:val="00761646"/>
    <w:rsid w:val="00762E5A"/>
    <w:rsid w:val="0076356F"/>
    <w:rsid w:val="00766155"/>
    <w:rsid w:val="00767661"/>
    <w:rsid w:val="00771BFF"/>
    <w:rsid w:val="00772815"/>
    <w:rsid w:val="00772EA4"/>
    <w:rsid w:val="00773365"/>
    <w:rsid w:val="007816CB"/>
    <w:rsid w:val="00783866"/>
    <w:rsid w:val="00787A65"/>
    <w:rsid w:val="007904AF"/>
    <w:rsid w:val="00791402"/>
    <w:rsid w:val="007A3C1F"/>
    <w:rsid w:val="007A50B9"/>
    <w:rsid w:val="007A579E"/>
    <w:rsid w:val="007B7F1C"/>
    <w:rsid w:val="007C0593"/>
    <w:rsid w:val="007C164D"/>
    <w:rsid w:val="007C7E47"/>
    <w:rsid w:val="007D0216"/>
    <w:rsid w:val="007D3514"/>
    <w:rsid w:val="007E0167"/>
    <w:rsid w:val="007E55F9"/>
    <w:rsid w:val="007F2088"/>
    <w:rsid w:val="007F419E"/>
    <w:rsid w:val="007F53C4"/>
    <w:rsid w:val="007F5E24"/>
    <w:rsid w:val="007F73BA"/>
    <w:rsid w:val="00800C40"/>
    <w:rsid w:val="0080418D"/>
    <w:rsid w:val="008069A5"/>
    <w:rsid w:val="00811F6F"/>
    <w:rsid w:val="00812041"/>
    <w:rsid w:val="00817409"/>
    <w:rsid w:val="00822D55"/>
    <w:rsid w:val="00832AEE"/>
    <w:rsid w:val="008407C4"/>
    <w:rsid w:val="008453FD"/>
    <w:rsid w:val="00853761"/>
    <w:rsid w:val="00857069"/>
    <w:rsid w:val="008579A6"/>
    <w:rsid w:val="00860B26"/>
    <w:rsid w:val="00861248"/>
    <w:rsid w:val="008618A8"/>
    <w:rsid w:val="00863B61"/>
    <w:rsid w:val="008643E9"/>
    <w:rsid w:val="008655E2"/>
    <w:rsid w:val="008666AC"/>
    <w:rsid w:val="008671F6"/>
    <w:rsid w:val="0087058A"/>
    <w:rsid w:val="008723DB"/>
    <w:rsid w:val="00886130"/>
    <w:rsid w:val="00891F4F"/>
    <w:rsid w:val="0089276C"/>
    <w:rsid w:val="00892EF8"/>
    <w:rsid w:val="00892F74"/>
    <w:rsid w:val="0089483B"/>
    <w:rsid w:val="008954F6"/>
    <w:rsid w:val="008A7E48"/>
    <w:rsid w:val="008B7726"/>
    <w:rsid w:val="008C66F9"/>
    <w:rsid w:val="008E2E90"/>
    <w:rsid w:val="008E6746"/>
    <w:rsid w:val="008E6DBB"/>
    <w:rsid w:val="008F6A4C"/>
    <w:rsid w:val="008F7874"/>
    <w:rsid w:val="0090263F"/>
    <w:rsid w:val="00904DC1"/>
    <w:rsid w:val="00915F45"/>
    <w:rsid w:val="009162A1"/>
    <w:rsid w:val="009176A7"/>
    <w:rsid w:val="00932B8E"/>
    <w:rsid w:val="00934A96"/>
    <w:rsid w:val="009411ED"/>
    <w:rsid w:val="00952ED0"/>
    <w:rsid w:val="00956531"/>
    <w:rsid w:val="009633AB"/>
    <w:rsid w:val="00965823"/>
    <w:rsid w:val="00966BF1"/>
    <w:rsid w:val="00971A2B"/>
    <w:rsid w:val="009721E5"/>
    <w:rsid w:val="00973099"/>
    <w:rsid w:val="009738F3"/>
    <w:rsid w:val="00973C0D"/>
    <w:rsid w:val="0097442B"/>
    <w:rsid w:val="00975280"/>
    <w:rsid w:val="009778E6"/>
    <w:rsid w:val="009918A5"/>
    <w:rsid w:val="00994F4E"/>
    <w:rsid w:val="00995DAF"/>
    <w:rsid w:val="009A1E42"/>
    <w:rsid w:val="009A36DB"/>
    <w:rsid w:val="009A5233"/>
    <w:rsid w:val="009A57B5"/>
    <w:rsid w:val="009A6AC8"/>
    <w:rsid w:val="009B0AAE"/>
    <w:rsid w:val="009B188C"/>
    <w:rsid w:val="009B2456"/>
    <w:rsid w:val="009C5B14"/>
    <w:rsid w:val="009C5C05"/>
    <w:rsid w:val="009C688F"/>
    <w:rsid w:val="009D378D"/>
    <w:rsid w:val="009E0642"/>
    <w:rsid w:val="009E1F5B"/>
    <w:rsid w:val="009E2365"/>
    <w:rsid w:val="009E291F"/>
    <w:rsid w:val="009E50E1"/>
    <w:rsid w:val="009F066A"/>
    <w:rsid w:val="009F1D80"/>
    <w:rsid w:val="00A01B31"/>
    <w:rsid w:val="00A05827"/>
    <w:rsid w:val="00A059BE"/>
    <w:rsid w:val="00A1515D"/>
    <w:rsid w:val="00A275CE"/>
    <w:rsid w:val="00A42B26"/>
    <w:rsid w:val="00A43644"/>
    <w:rsid w:val="00A44D83"/>
    <w:rsid w:val="00A52A29"/>
    <w:rsid w:val="00A61582"/>
    <w:rsid w:val="00A6513A"/>
    <w:rsid w:val="00A65B24"/>
    <w:rsid w:val="00A66805"/>
    <w:rsid w:val="00A67AAA"/>
    <w:rsid w:val="00A72965"/>
    <w:rsid w:val="00A77562"/>
    <w:rsid w:val="00A82123"/>
    <w:rsid w:val="00A82C77"/>
    <w:rsid w:val="00A954C6"/>
    <w:rsid w:val="00AA018E"/>
    <w:rsid w:val="00AA18B7"/>
    <w:rsid w:val="00AA395E"/>
    <w:rsid w:val="00AB60FC"/>
    <w:rsid w:val="00AC45AC"/>
    <w:rsid w:val="00AD001B"/>
    <w:rsid w:val="00AD1B68"/>
    <w:rsid w:val="00AD6FB8"/>
    <w:rsid w:val="00AD7880"/>
    <w:rsid w:val="00AE4C7B"/>
    <w:rsid w:val="00AF6CE1"/>
    <w:rsid w:val="00B01797"/>
    <w:rsid w:val="00B21519"/>
    <w:rsid w:val="00B215B0"/>
    <w:rsid w:val="00B217D8"/>
    <w:rsid w:val="00B22183"/>
    <w:rsid w:val="00B2286D"/>
    <w:rsid w:val="00B26FA8"/>
    <w:rsid w:val="00B27B37"/>
    <w:rsid w:val="00B27D52"/>
    <w:rsid w:val="00B31148"/>
    <w:rsid w:val="00B37A66"/>
    <w:rsid w:val="00B40A8D"/>
    <w:rsid w:val="00B410B0"/>
    <w:rsid w:val="00B44AE8"/>
    <w:rsid w:val="00B465AB"/>
    <w:rsid w:val="00B47AEC"/>
    <w:rsid w:val="00B52CD5"/>
    <w:rsid w:val="00B65FF1"/>
    <w:rsid w:val="00B663BA"/>
    <w:rsid w:val="00B708D8"/>
    <w:rsid w:val="00B71823"/>
    <w:rsid w:val="00B76AFE"/>
    <w:rsid w:val="00B87DA7"/>
    <w:rsid w:val="00B94212"/>
    <w:rsid w:val="00B97C37"/>
    <w:rsid w:val="00BA1CA2"/>
    <w:rsid w:val="00BA39E9"/>
    <w:rsid w:val="00BB3EA0"/>
    <w:rsid w:val="00BC0F35"/>
    <w:rsid w:val="00BC3CB0"/>
    <w:rsid w:val="00BC5EE8"/>
    <w:rsid w:val="00BC78EF"/>
    <w:rsid w:val="00BC7DFC"/>
    <w:rsid w:val="00BD0B3F"/>
    <w:rsid w:val="00BD5122"/>
    <w:rsid w:val="00BD6F21"/>
    <w:rsid w:val="00BE7D17"/>
    <w:rsid w:val="00BF1B35"/>
    <w:rsid w:val="00BF213A"/>
    <w:rsid w:val="00BF36D7"/>
    <w:rsid w:val="00C05812"/>
    <w:rsid w:val="00C0691E"/>
    <w:rsid w:val="00C111DC"/>
    <w:rsid w:val="00C14FCC"/>
    <w:rsid w:val="00C153F1"/>
    <w:rsid w:val="00C15BC2"/>
    <w:rsid w:val="00C1624F"/>
    <w:rsid w:val="00C21CBA"/>
    <w:rsid w:val="00C229A7"/>
    <w:rsid w:val="00C30009"/>
    <w:rsid w:val="00C3229E"/>
    <w:rsid w:val="00C338C0"/>
    <w:rsid w:val="00C33A23"/>
    <w:rsid w:val="00C3618C"/>
    <w:rsid w:val="00C44CD6"/>
    <w:rsid w:val="00C4597E"/>
    <w:rsid w:val="00C472F8"/>
    <w:rsid w:val="00C4739B"/>
    <w:rsid w:val="00C478DB"/>
    <w:rsid w:val="00C516F3"/>
    <w:rsid w:val="00C54E0B"/>
    <w:rsid w:val="00C56EEE"/>
    <w:rsid w:val="00C57630"/>
    <w:rsid w:val="00C61156"/>
    <w:rsid w:val="00C61D12"/>
    <w:rsid w:val="00C63E12"/>
    <w:rsid w:val="00C66069"/>
    <w:rsid w:val="00C71F51"/>
    <w:rsid w:val="00C7538C"/>
    <w:rsid w:val="00C81FB3"/>
    <w:rsid w:val="00C84DC3"/>
    <w:rsid w:val="00C911F1"/>
    <w:rsid w:val="00C915DA"/>
    <w:rsid w:val="00CA766A"/>
    <w:rsid w:val="00CB25DE"/>
    <w:rsid w:val="00CB36C2"/>
    <w:rsid w:val="00CB588F"/>
    <w:rsid w:val="00CB7C8E"/>
    <w:rsid w:val="00CC206F"/>
    <w:rsid w:val="00CC306D"/>
    <w:rsid w:val="00CC4654"/>
    <w:rsid w:val="00CC5D61"/>
    <w:rsid w:val="00CD1DE9"/>
    <w:rsid w:val="00CD2D54"/>
    <w:rsid w:val="00CD56F3"/>
    <w:rsid w:val="00CD5E8A"/>
    <w:rsid w:val="00CD7901"/>
    <w:rsid w:val="00CE2CCC"/>
    <w:rsid w:val="00CE5C0B"/>
    <w:rsid w:val="00CF2500"/>
    <w:rsid w:val="00D00A1A"/>
    <w:rsid w:val="00D018E2"/>
    <w:rsid w:val="00D03156"/>
    <w:rsid w:val="00D04B48"/>
    <w:rsid w:val="00D10AEE"/>
    <w:rsid w:val="00D12BD4"/>
    <w:rsid w:val="00D1457B"/>
    <w:rsid w:val="00D16C58"/>
    <w:rsid w:val="00D2023D"/>
    <w:rsid w:val="00D20C67"/>
    <w:rsid w:val="00D23E6B"/>
    <w:rsid w:val="00D34C75"/>
    <w:rsid w:val="00D407C4"/>
    <w:rsid w:val="00D5572D"/>
    <w:rsid w:val="00D57951"/>
    <w:rsid w:val="00D65429"/>
    <w:rsid w:val="00D91C92"/>
    <w:rsid w:val="00D9222A"/>
    <w:rsid w:val="00D93A80"/>
    <w:rsid w:val="00D96F62"/>
    <w:rsid w:val="00DB7FEB"/>
    <w:rsid w:val="00DC034F"/>
    <w:rsid w:val="00DC129D"/>
    <w:rsid w:val="00DC33CF"/>
    <w:rsid w:val="00DC467D"/>
    <w:rsid w:val="00DC789D"/>
    <w:rsid w:val="00DD195D"/>
    <w:rsid w:val="00DD4934"/>
    <w:rsid w:val="00DD69D8"/>
    <w:rsid w:val="00DE3B3D"/>
    <w:rsid w:val="00E04407"/>
    <w:rsid w:val="00E0721C"/>
    <w:rsid w:val="00E110D7"/>
    <w:rsid w:val="00E13F76"/>
    <w:rsid w:val="00E143DA"/>
    <w:rsid w:val="00E36311"/>
    <w:rsid w:val="00E3727A"/>
    <w:rsid w:val="00E37368"/>
    <w:rsid w:val="00E47698"/>
    <w:rsid w:val="00E5359D"/>
    <w:rsid w:val="00E604AD"/>
    <w:rsid w:val="00E65816"/>
    <w:rsid w:val="00E70115"/>
    <w:rsid w:val="00E7348F"/>
    <w:rsid w:val="00E76C92"/>
    <w:rsid w:val="00E77985"/>
    <w:rsid w:val="00E80A4C"/>
    <w:rsid w:val="00E83946"/>
    <w:rsid w:val="00E85C7C"/>
    <w:rsid w:val="00E91EF4"/>
    <w:rsid w:val="00E9407F"/>
    <w:rsid w:val="00E97102"/>
    <w:rsid w:val="00E97890"/>
    <w:rsid w:val="00EA11D3"/>
    <w:rsid w:val="00EA61C0"/>
    <w:rsid w:val="00EB1890"/>
    <w:rsid w:val="00EB279A"/>
    <w:rsid w:val="00EB2CB8"/>
    <w:rsid w:val="00EB4BE1"/>
    <w:rsid w:val="00EC376A"/>
    <w:rsid w:val="00EC3986"/>
    <w:rsid w:val="00EC3C8E"/>
    <w:rsid w:val="00EC40A1"/>
    <w:rsid w:val="00EC51BE"/>
    <w:rsid w:val="00ED5890"/>
    <w:rsid w:val="00ED74E4"/>
    <w:rsid w:val="00EE6031"/>
    <w:rsid w:val="00EE78A0"/>
    <w:rsid w:val="00EF09F6"/>
    <w:rsid w:val="00EF11A3"/>
    <w:rsid w:val="00EF2AE7"/>
    <w:rsid w:val="00EF3CAC"/>
    <w:rsid w:val="00F008B4"/>
    <w:rsid w:val="00F025C9"/>
    <w:rsid w:val="00F07353"/>
    <w:rsid w:val="00F114F5"/>
    <w:rsid w:val="00F15545"/>
    <w:rsid w:val="00F22321"/>
    <w:rsid w:val="00F26616"/>
    <w:rsid w:val="00F27FAD"/>
    <w:rsid w:val="00F366BD"/>
    <w:rsid w:val="00F37590"/>
    <w:rsid w:val="00F46454"/>
    <w:rsid w:val="00F521C2"/>
    <w:rsid w:val="00F6230E"/>
    <w:rsid w:val="00F64AF0"/>
    <w:rsid w:val="00F64BB2"/>
    <w:rsid w:val="00F64FCF"/>
    <w:rsid w:val="00F66E76"/>
    <w:rsid w:val="00F701C5"/>
    <w:rsid w:val="00F70443"/>
    <w:rsid w:val="00F70AE5"/>
    <w:rsid w:val="00F71213"/>
    <w:rsid w:val="00F77C0A"/>
    <w:rsid w:val="00F82769"/>
    <w:rsid w:val="00F83C8D"/>
    <w:rsid w:val="00FA6DA0"/>
    <w:rsid w:val="00FB0549"/>
    <w:rsid w:val="00FB0B18"/>
    <w:rsid w:val="00FB3777"/>
    <w:rsid w:val="00FC3790"/>
    <w:rsid w:val="00FC7EF6"/>
    <w:rsid w:val="00FD3084"/>
    <w:rsid w:val="00FD397B"/>
    <w:rsid w:val="00FE0F7E"/>
    <w:rsid w:val="00FE2374"/>
    <w:rsid w:val="00FF5E3F"/>
    <w:rsid w:val="02A4096C"/>
    <w:rsid w:val="055238EA"/>
    <w:rsid w:val="06357615"/>
    <w:rsid w:val="08670714"/>
    <w:rsid w:val="0B5F3B6D"/>
    <w:rsid w:val="0C5362BE"/>
    <w:rsid w:val="0C94710E"/>
    <w:rsid w:val="12F9699E"/>
    <w:rsid w:val="13965E36"/>
    <w:rsid w:val="13A51D5A"/>
    <w:rsid w:val="198B154D"/>
    <w:rsid w:val="19CD0264"/>
    <w:rsid w:val="22BE172C"/>
    <w:rsid w:val="25452535"/>
    <w:rsid w:val="273A50CA"/>
    <w:rsid w:val="28FD484F"/>
    <w:rsid w:val="2A645AF8"/>
    <w:rsid w:val="2B221E8A"/>
    <w:rsid w:val="2D075B18"/>
    <w:rsid w:val="2DEB79FD"/>
    <w:rsid w:val="2EF2554B"/>
    <w:rsid w:val="309645C5"/>
    <w:rsid w:val="309D3F50"/>
    <w:rsid w:val="30A82D13"/>
    <w:rsid w:val="31CC2472"/>
    <w:rsid w:val="36DF7E92"/>
    <w:rsid w:val="387A57EF"/>
    <w:rsid w:val="3B117EE8"/>
    <w:rsid w:val="3B9C1164"/>
    <w:rsid w:val="3CFB327F"/>
    <w:rsid w:val="3F5E7773"/>
    <w:rsid w:val="400F714A"/>
    <w:rsid w:val="41477DA7"/>
    <w:rsid w:val="415801F5"/>
    <w:rsid w:val="45075968"/>
    <w:rsid w:val="45B27966"/>
    <w:rsid w:val="461512C3"/>
    <w:rsid w:val="47904979"/>
    <w:rsid w:val="482712CC"/>
    <w:rsid w:val="483579EF"/>
    <w:rsid w:val="4AEF69C9"/>
    <w:rsid w:val="4EC77ECE"/>
    <w:rsid w:val="4FB7118E"/>
    <w:rsid w:val="524B3AF0"/>
    <w:rsid w:val="53370692"/>
    <w:rsid w:val="542924A9"/>
    <w:rsid w:val="58753AAD"/>
    <w:rsid w:val="5B1C75D1"/>
    <w:rsid w:val="5EB718D6"/>
    <w:rsid w:val="5EDD681E"/>
    <w:rsid w:val="5FA40A7B"/>
    <w:rsid w:val="60B47AD5"/>
    <w:rsid w:val="637B7F76"/>
    <w:rsid w:val="64775FEE"/>
    <w:rsid w:val="6B175EFB"/>
    <w:rsid w:val="706E5905"/>
    <w:rsid w:val="71D15C52"/>
    <w:rsid w:val="745963EF"/>
    <w:rsid w:val="74D81785"/>
    <w:rsid w:val="76EF6628"/>
    <w:rsid w:val="76FF710A"/>
    <w:rsid w:val="7A320132"/>
    <w:rsid w:val="7E642E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0"/>
      <w:sz w:val="24"/>
      <w:lang w:val="zh-CN" w:eastAsia="zh-CN"/>
    </w:rPr>
  </w:style>
  <w:style w:type="paragraph" w:styleId="3">
    <w:name w:val="Body Text Indent"/>
    <w:basedOn w:val="1"/>
    <w:link w:val="21"/>
    <w:unhideWhenUsed/>
    <w:qFormat/>
    <w:uiPriority w:val="99"/>
    <w:pPr>
      <w:spacing w:after="120"/>
      <w:ind w:left="420" w:leftChars="200"/>
    </w:pPr>
    <w:rPr>
      <w:szCs w:val="20"/>
    </w:rPr>
  </w:style>
  <w:style w:type="paragraph" w:styleId="5">
    <w:name w:val="index 8"/>
    <w:basedOn w:val="1"/>
    <w:next w:val="1"/>
    <w:unhideWhenUsed/>
    <w:qFormat/>
    <w:uiPriority w:val="99"/>
    <w:pPr>
      <w:ind w:left="1400" w:leftChars="1400"/>
    </w:pPr>
    <w:rPr>
      <w:rFonts w:ascii="等线" w:hAnsi="等线" w:eastAsia="等线" w:cs="Times New Roman"/>
      <w:szCs w:val="24"/>
    </w:rPr>
  </w:style>
  <w:style w:type="paragraph" w:styleId="6">
    <w:name w:val="Normal Indent"/>
    <w:basedOn w:val="1"/>
    <w:link w:val="22"/>
    <w:semiHidden/>
    <w:qFormat/>
    <w:uiPriority w:val="0"/>
    <w:pPr>
      <w:ind w:firstLine="420"/>
    </w:pPr>
    <w:rPr>
      <w:rFonts w:ascii="Calibri" w:hAnsi="Calibri" w:eastAsia="微软雅黑"/>
      <w:szCs w:val="20"/>
    </w:rPr>
  </w:style>
  <w:style w:type="paragraph" w:styleId="7">
    <w:name w:val="annotation text"/>
    <w:basedOn w:val="1"/>
    <w:link w:val="23"/>
    <w:unhideWhenUsed/>
    <w:qFormat/>
    <w:uiPriority w:val="99"/>
    <w:pPr>
      <w:jc w:val="left"/>
    </w:pPr>
    <w:rPr>
      <w:szCs w:val="20"/>
    </w:rPr>
  </w:style>
  <w:style w:type="paragraph" w:styleId="8">
    <w:name w:val="Plain Text"/>
    <w:basedOn w:val="1"/>
    <w:link w:val="24"/>
    <w:qFormat/>
    <w:uiPriority w:val="0"/>
    <w:rPr>
      <w:rFonts w:ascii="宋体" w:hAnsi="Courier New" w:eastAsia="微软雅黑"/>
      <w:szCs w:val="20"/>
    </w:rPr>
  </w:style>
  <w:style w:type="paragraph" w:styleId="9">
    <w:name w:val="Body Text Indent 2"/>
    <w:basedOn w:val="1"/>
    <w:link w:val="25"/>
    <w:qFormat/>
    <w:uiPriority w:val="0"/>
    <w:pPr>
      <w:spacing w:after="120" w:line="480" w:lineRule="auto"/>
      <w:ind w:left="420" w:leftChars="200"/>
    </w:pPr>
    <w:rPr>
      <w:szCs w:val="24"/>
    </w:rPr>
  </w:style>
  <w:style w:type="paragraph" w:styleId="10">
    <w:name w:val="Balloon Text"/>
    <w:basedOn w:val="1"/>
    <w:link w:val="26"/>
    <w:unhideWhenUsed/>
    <w:qFormat/>
    <w:uiPriority w:val="99"/>
    <w:rPr>
      <w:sz w:val="18"/>
      <w:szCs w:val="18"/>
    </w:rPr>
  </w:style>
  <w:style w:type="paragraph" w:styleId="11">
    <w:name w:val="footer"/>
    <w:basedOn w:val="1"/>
    <w:next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ascii="Calibri" w:hAnsi="Calibri" w:eastAsia="宋体"/>
      <w:kern w:val="0"/>
      <w:sz w:val="24"/>
      <w:szCs w:val="24"/>
    </w:rPr>
  </w:style>
  <w:style w:type="paragraph" w:styleId="14">
    <w:name w:val="annotation subject"/>
    <w:basedOn w:val="7"/>
    <w:next w:val="7"/>
    <w:link w:val="29"/>
    <w:unhideWhenUsed/>
    <w:qFormat/>
    <w:uiPriority w:val="99"/>
    <w:rPr>
      <w:b/>
      <w:bCs/>
    </w:rPr>
  </w:style>
  <w:style w:type="table" w:styleId="16">
    <w:name w:val="Table Grid"/>
    <w:basedOn w:val="15"/>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Emphasis"/>
    <w:qFormat/>
    <w:uiPriority w:val="20"/>
    <w:rPr>
      <w:i/>
      <w:iCs/>
    </w:rPr>
  </w:style>
  <w:style w:type="character" w:styleId="19">
    <w:name w:val="Hyperlink"/>
    <w:qFormat/>
    <w:uiPriority w:val="99"/>
    <w:rPr>
      <w:color w:val="0000FF"/>
      <w:u w:val="single"/>
    </w:rPr>
  </w:style>
  <w:style w:type="character" w:styleId="20">
    <w:name w:val="annotation reference"/>
    <w:unhideWhenUsed/>
    <w:qFormat/>
    <w:uiPriority w:val="99"/>
    <w:rPr>
      <w:sz w:val="21"/>
      <w:szCs w:val="21"/>
    </w:rPr>
  </w:style>
  <w:style w:type="character" w:customStyle="1" w:styleId="21">
    <w:name w:val="正文文本缩进 字符"/>
    <w:link w:val="3"/>
    <w:semiHidden/>
    <w:qFormat/>
    <w:uiPriority w:val="99"/>
    <w:rPr>
      <w:rFonts w:ascii="Times New Roman" w:hAnsi="Times New Roman" w:eastAsia="宋体" w:cs="Times New Roman"/>
      <w:kern w:val="2"/>
      <w:sz w:val="21"/>
    </w:rPr>
  </w:style>
  <w:style w:type="character" w:customStyle="1" w:styleId="22">
    <w:name w:val="正文缩进 字符"/>
    <w:link w:val="6"/>
    <w:semiHidden/>
    <w:qFormat/>
    <w:locked/>
    <w:uiPriority w:val="0"/>
    <w:rPr>
      <w:kern w:val="2"/>
      <w:sz w:val="21"/>
    </w:rPr>
  </w:style>
  <w:style w:type="character" w:customStyle="1" w:styleId="23">
    <w:name w:val="批注文字 字符"/>
    <w:link w:val="7"/>
    <w:semiHidden/>
    <w:qFormat/>
    <w:uiPriority w:val="99"/>
    <w:rPr>
      <w:rFonts w:ascii="Times New Roman" w:hAnsi="Times New Roman" w:eastAsia="宋体" w:cs="Times New Roman"/>
      <w:kern w:val="2"/>
      <w:sz w:val="21"/>
    </w:rPr>
  </w:style>
  <w:style w:type="character" w:customStyle="1" w:styleId="24">
    <w:name w:val="纯文本 字符2"/>
    <w:link w:val="8"/>
    <w:qFormat/>
    <w:uiPriority w:val="0"/>
    <w:rPr>
      <w:rFonts w:ascii="宋体" w:hAnsi="Courier New"/>
      <w:kern w:val="2"/>
      <w:sz w:val="21"/>
    </w:rPr>
  </w:style>
  <w:style w:type="character" w:customStyle="1" w:styleId="25">
    <w:name w:val="正文文本缩进 2 字符"/>
    <w:link w:val="9"/>
    <w:qFormat/>
    <w:uiPriority w:val="0"/>
    <w:rPr>
      <w:rFonts w:ascii="Times New Roman" w:hAnsi="Times New Roman" w:eastAsia="宋体" w:cs="Times New Roman"/>
      <w:kern w:val="2"/>
      <w:sz w:val="21"/>
      <w:szCs w:val="24"/>
    </w:rPr>
  </w:style>
  <w:style w:type="character" w:customStyle="1" w:styleId="26">
    <w:name w:val="批注框文本 字符"/>
    <w:link w:val="10"/>
    <w:semiHidden/>
    <w:qFormat/>
    <w:uiPriority w:val="99"/>
    <w:rPr>
      <w:rFonts w:ascii="Times New Roman" w:hAnsi="Times New Roman" w:eastAsia="宋体" w:cs="Times New Roman"/>
      <w:kern w:val="2"/>
      <w:sz w:val="18"/>
      <w:szCs w:val="18"/>
    </w:rPr>
  </w:style>
  <w:style w:type="character" w:customStyle="1" w:styleId="27">
    <w:name w:val="页脚 字符1"/>
    <w:link w:val="11"/>
    <w:qFormat/>
    <w:uiPriority w:val="99"/>
    <w:rPr>
      <w:rFonts w:ascii="Times New Roman" w:hAnsi="Times New Roman" w:eastAsia="宋体" w:cs="Times New Roman"/>
      <w:kern w:val="2"/>
      <w:sz w:val="18"/>
      <w:szCs w:val="18"/>
    </w:rPr>
  </w:style>
  <w:style w:type="character" w:customStyle="1" w:styleId="28">
    <w:name w:val="页眉 字符"/>
    <w:link w:val="12"/>
    <w:qFormat/>
    <w:uiPriority w:val="99"/>
    <w:rPr>
      <w:rFonts w:ascii="Times New Roman" w:hAnsi="Times New Roman" w:eastAsia="宋体" w:cs="Times New Roman"/>
      <w:kern w:val="2"/>
      <w:sz w:val="18"/>
      <w:szCs w:val="18"/>
    </w:rPr>
  </w:style>
  <w:style w:type="character" w:customStyle="1" w:styleId="29">
    <w:name w:val="批注主题 字符"/>
    <w:link w:val="14"/>
    <w:semiHidden/>
    <w:qFormat/>
    <w:uiPriority w:val="99"/>
    <w:rPr>
      <w:rFonts w:ascii="Times New Roman" w:hAnsi="Times New Roman" w:eastAsia="宋体" w:cs="Times New Roman"/>
      <w:b/>
      <w:bCs/>
      <w:kern w:val="2"/>
      <w:sz w:val="21"/>
    </w:rPr>
  </w:style>
  <w:style w:type="character" w:customStyle="1" w:styleId="30">
    <w:name w:val="纯文本 字符1"/>
    <w:qFormat/>
    <w:uiPriority w:val="0"/>
    <w:rPr>
      <w:rFonts w:ascii="宋体" w:hAnsi="Courier New"/>
      <w:kern w:val="2"/>
      <w:sz w:val="21"/>
    </w:rPr>
  </w:style>
  <w:style w:type="character" w:customStyle="1" w:styleId="31">
    <w:name w:val="纯文本 字符"/>
    <w:qFormat/>
    <w:uiPriority w:val="0"/>
    <w:rPr>
      <w:rFonts w:ascii="宋体" w:hAnsi="Courier New"/>
      <w:kern w:val="2"/>
      <w:sz w:val="21"/>
    </w:rPr>
  </w:style>
  <w:style w:type="character" w:customStyle="1" w:styleId="32">
    <w:name w:val="纯文本 Char"/>
    <w:semiHidden/>
    <w:qFormat/>
    <w:uiPriority w:val="99"/>
    <w:rPr>
      <w:rFonts w:ascii="宋体" w:hAnsi="Courier New" w:eastAsia="宋体" w:cs="Courier New"/>
      <w:kern w:val="2"/>
      <w:sz w:val="21"/>
      <w:szCs w:val="21"/>
    </w:rPr>
  </w:style>
  <w:style w:type="paragraph" w:customStyle="1" w:styleId="33">
    <w:name w:val="p0"/>
    <w:basedOn w:val="1"/>
    <w:qFormat/>
    <w:uiPriority w:val="0"/>
    <w:pPr>
      <w:widowControl/>
    </w:pPr>
    <w:rPr>
      <w:kern w:val="0"/>
      <w:szCs w:val="21"/>
    </w:rPr>
  </w:style>
  <w:style w:type="paragraph" w:styleId="34">
    <w:name w:val="List Paragraph"/>
    <w:basedOn w:val="1"/>
    <w:qFormat/>
    <w:uiPriority w:val="34"/>
    <w:pPr>
      <w:ind w:firstLine="420" w:firstLineChars="200"/>
    </w:pPr>
  </w:style>
  <w:style w:type="character" w:customStyle="1" w:styleId="35">
    <w:name w:val="页脚 字符"/>
    <w:qFormat/>
    <w:uiPriority w:val="99"/>
  </w:style>
  <w:style w:type="paragraph" w:customStyle="1" w:styleId="36">
    <w:name w:val="表格"/>
    <w:basedOn w:val="1"/>
    <w:qFormat/>
    <w:uiPriority w:val="0"/>
    <w:pPr>
      <w:spacing w:line="360" w:lineRule="auto"/>
      <w:ind w:firstLine="0" w:firstLineChars="0"/>
      <w:jc w:val="center"/>
    </w:pPr>
    <w:rPr>
      <w:rFonts w:ascii="Times New Roman" w:hAnsi="Times New Roman" w:eastAsia="宋体"/>
      <w:bCs/>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1220</Words>
  <Characters>1245</Characters>
  <Lines>9</Lines>
  <Paragraphs>2</Paragraphs>
  <TotalTime>9</TotalTime>
  <ScaleCrop>false</ScaleCrop>
  <LinksUpToDate>false</LinksUpToDate>
  <CharactersWithSpaces>1245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2022-09-19T17:59:00Z</dcterms:created>
  <dc:creator>User</dc:creator>
  <cp:lastModifiedBy>huawei</cp:lastModifiedBy>
  <dcterms:modified xsi:type="dcterms:W3CDTF">2026-03-20T18:17:07Z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0_embed</vt:lpwstr>
  </property>
  <property fmtid="{D5CDD505-2E9C-101B-9397-08002B2CF9AE}" pid="4" name="ICV">
    <vt:lpwstr>144EB35CC50D4B14AE5CF50E41D4DFDF</vt:lpwstr>
  </property>
</Properties>
</file>