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9C9FA">
      <w:pPr>
        <w:widowControl w:val="0"/>
        <w:tabs>
          <w:tab w:val="left" w:pos="0"/>
        </w:tabs>
        <w:spacing w:line="600" w:lineRule="exact"/>
        <w:jc w:val="center"/>
        <w:rPr>
          <w:rFonts w:hint="eastAsia" w:ascii="宋体" w:hAnsi="宋体" w:eastAsia="宋体" w:cs="方正小标宋_GBK"/>
          <w:szCs w:val="21"/>
        </w:rPr>
      </w:pPr>
      <w:r>
        <w:rPr>
          <w:rFonts w:ascii="方正小标宋_GBK" w:hAnsi="方正小标宋_GBK" w:eastAsia="方正小标宋_GBK" w:cs="方正小标宋_GBK"/>
          <w:sz w:val="44"/>
          <w:szCs w:val="44"/>
        </w:rPr>
        <w:t>仪器</w:t>
      </w:r>
      <w:r>
        <w:rPr>
          <w:rFonts w:hint="eastAsia" w:ascii="方正小标宋_GBK" w:hAnsi="方正小标宋_GBK" w:eastAsia="方正小标宋_GBK" w:cs="方正小标宋_GBK"/>
          <w:sz w:val="44"/>
          <w:szCs w:val="44"/>
          <w:lang w:val="en-US" w:eastAsia="zh-CN"/>
        </w:rPr>
        <w:t>设备</w:t>
      </w:r>
      <w:r>
        <w:rPr>
          <w:rFonts w:ascii="方正小标宋_GBK" w:hAnsi="方正小标宋_GBK" w:eastAsia="方正小标宋_GBK" w:cs="方正小标宋_GBK"/>
          <w:sz w:val="44"/>
          <w:szCs w:val="44"/>
        </w:rPr>
        <w:t>管理维护</w:t>
      </w:r>
      <w:r>
        <w:rPr>
          <w:rFonts w:hint="eastAsia" w:ascii="方正小标宋_GBK" w:hAnsi="方正小标宋_GBK" w:eastAsia="方正小标宋_GBK" w:cs="方正小标宋_GBK"/>
          <w:sz w:val="44"/>
          <w:szCs w:val="44"/>
        </w:rPr>
        <w:t>服务考核表</w:t>
      </w:r>
    </w:p>
    <w:p w14:paraId="1FF29D57">
      <w:pPr>
        <w:widowControl w:val="0"/>
        <w:tabs>
          <w:tab w:val="left" w:pos="0"/>
        </w:tabs>
        <w:spacing w:line="600" w:lineRule="exact"/>
        <w:rPr>
          <w:rFonts w:hint="eastAsia"/>
          <w:lang w:val="en-US" w:eastAsia="zh-CN"/>
        </w:rPr>
      </w:pPr>
      <w:r>
        <w:rPr>
          <w:rFonts w:hint="eastAsia" w:ascii="宋体" w:hAnsi="宋体" w:eastAsia="宋体" w:cs="方正小标宋_GBK"/>
          <w:szCs w:val="21"/>
        </w:rPr>
        <w:t xml:space="preserve">考核时间： </w:t>
      </w:r>
      <w:r>
        <w:rPr>
          <w:rFonts w:ascii="宋体" w:hAnsi="宋体" w:eastAsia="宋体" w:cs="方正小标宋_GBK"/>
          <w:szCs w:val="21"/>
        </w:rPr>
        <w:t xml:space="preserve">   </w:t>
      </w:r>
      <w:r>
        <w:rPr>
          <w:rFonts w:hint="eastAsia" w:ascii="宋体" w:hAnsi="宋体" w:eastAsia="宋体" w:cs="方正小标宋_GBK"/>
          <w:szCs w:val="21"/>
        </w:rPr>
        <w:t>月</w:t>
      </w:r>
      <w:r>
        <w:rPr>
          <w:rFonts w:hint="eastAsia" w:ascii="宋体" w:hAnsi="宋体" w:eastAsia="宋体" w:cs="方正小标宋_GBK"/>
          <w:szCs w:val="21"/>
          <w:lang w:val="en-US" w:eastAsia="zh-CN"/>
        </w:rPr>
        <w:t xml:space="preserve">  </w:t>
      </w:r>
      <w:r>
        <w:rPr>
          <w:rFonts w:ascii="宋体" w:hAnsi="宋体" w:eastAsia="宋体" w:cs="方正小标宋_GBK"/>
          <w:szCs w:val="21"/>
        </w:rPr>
        <w:t xml:space="preserve">  </w:t>
      </w:r>
      <w:r>
        <w:rPr>
          <w:rFonts w:hint="eastAsia" w:ascii="宋体" w:hAnsi="宋体" w:cs="方正小标宋_GBK"/>
          <w:szCs w:val="21"/>
          <w:lang w:val="en-US" w:eastAsia="zh-CN"/>
        </w:rPr>
        <w:t>日</w:t>
      </w:r>
    </w:p>
    <w:tbl>
      <w:tblPr>
        <w:tblStyle w:val="5"/>
        <w:tblW w:w="59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095"/>
        <w:gridCol w:w="5145"/>
        <w:gridCol w:w="924"/>
        <w:gridCol w:w="735"/>
        <w:gridCol w:w="1440"/>
      </w:tblGrid>
      <w:tr w14:paraId="27DD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463" w:type="pct"/>
            <w:gridSpan w:val="3"/>
            <w:noWrap w:val="0"/>
            <w:vAlign w:val="center"/>
          </w:tcPr>
          <w:p w14:paraId="253666F8">
            <w:pPr>
              <w:pStyle w:val="10"/>
              <w:spacing w:line="360" w:lineRule="auto"/>
              <w:ind w:firstLine="0" w:firstLineChars="0"/>
              <w:jc w:val="center"/>
              <w:rPr>
                <w:rFonts w:ascii="宋体" w:hAnsi="宋体"/>
                <w:sz w:val="24"/>
                <w:szCs w:val="24"/>
              </w:rPr>
            </w:pPr>
            <w:r>
              <w:rPr>
                <w:rFonts w:ascii="宋体" w:hAnsi="宋体"/>
                <w:sz w:val="24"/>
                <w:szCs w:val="24"/>
              </w:rPr>
              <w:t>考核内容</w:t>
            </w:r>
          </w:p>
        </w:tc>
        <w:tc>
          <w:tcPr>
            <w:tcW w:w="458" w:type="pct"/>
            <w:noWrap w:val="0"/>
            <w:vAlign w:val="center"/>
          </w:tcPr>
          <w:p w14:paraId="550DBD55">
            <w:pPr>
              <w:pStyle w:val="10"/>
              <w:spacing w:line="360" w:lineRule="auto"/>
              <w:ind w:firstLine="0" w:firstLineChars="0"/>
              <w:jc w:val="center"/>
              <w:rPr>
                <w:rFonts w:ascii="宋体" w:hAnsi="宋体"/>
                <w:sz w:val="24"/>
                <w:szCs w:val="24"/>
              </w:rPr>
            </w:pPr>
            <w:r>
              <w:rPr>
                <w:rFonts w:ascii="宋体" w:hAnsi="宋体"/>
                <w:sz w:val="24"/>
                <w:szCs w:val="24"/>
              </w:rPr>
              <w:t>分值</w:t>
            </w:r>
          </w:p>
        </w:tc>
        <w:tc>
          <w:tcPr>
            <w:tcW w:w="364" w:type="pct"/>
            <w:noWrap w:val="0"/>
            <w:vAlign w:val="center"/>
          </w:tcPr>
          <w:p w14:paraId="52ACABE9">
            <w:pPr>
              <w:pStyle w:val="10"/>
              <w:spacing w:line="360" w:lineRule="auto"/>
              <w:ind w:firstLine="0" w:firstLineChars="0"/>
              <w:jc w:val="center"/>
              <w:rPr>
                <w:rFonts w:ascii="宋体" w:hAnsi="宋体"/>
                <w:sz w:val="24"/>
                <w:szCs w:val="24"/>
              </w:rPr>
            </w:pPr>
            <w:r>
              <w:rPr>
                <w:rFonts w:ascii="宋体" w:hAnsi="宋体"/>
                <w:sz w:val="24"/>
                <w:szCs w:val="24"/>
              </w:rPr>
              <w:t>评分结果</w:t>
            </w:r>
          </w:p>
        </w:tc>
        <w:tc>
          <w:tcPr>
            <w:tcW w:w="713" w:type="pct"/>
            <w:noWrap w:val="0"/>
            <w:vAlign w:val="center"/>
          </w:tcPr>
          <w:p w14:paraId="279808C9">
            <w:pPr>
              <w:pStyle w:val="10"/>
              <w:ind w:firstLine="0" w:firstLineChars="0"/>
              <w:jc w:val="center"/>
              <w:rPr>
                <w:rFonts w:ascii="宋体" w:hAnsi="宋体"/>
                <w:sz w:val="24"/>
                <w:szCs w:val="24"/>
              </w:rPr>
            </w:pPr>
            <w:r>
              <w:rPr>
                <w:rFonts w:hint="eastAsia" w:ascii="宋体" w:hAnsi="宋体"/>
                <w:sz w:val="24"/>
                <w:szCs w:val="24"/>
              </w:rPr>
              <w:t>备注</w:t>
            </w:r>
            <w:r>
              <w:rPr>
                <w:rFonts w:ascii="宋体" w:hAnsi="宋体"/>
                <w:sz w:val="24"/>
                <w:szCs w:val="24"/>
              </w:rPr>
              <w:t>（说明扣分原因或其他事项）</w:t>
            </w:r>
          </w:p>
        </w:tc>
      </w:tr>
      <w:tr w14:paraId="3B34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369" w:type="pct"/>
            <w:vMerge w:val="restart"/>
            <w:noWrap w:val="0"/>
            <w:vAlign w:val="center"/>
          </w:tcPr>
          <w:p w14:paraId="54B837C6">
            <w:pPr>
              <w:widowControl w:val="0"/>
              <w:jc w:val="center"/>
            </w:pPr>
            <w:r>
              <w:t>服务内容</w:t>
            </w:r>
          </w:p>
        </w:tc>
        <w:tc>
          <w:tcPr>
            <w:tcW w:w="542" w:type="pct"/>
            <w:noWrap w:val="0"/>
            <w:vAlign w:val="center"/>
          </w:tcPr>
          <w:p w14:paraId="56F9FD3F">
            <w:pPr>
              <w:widowControl w:val="0"/>
              <w:jc w:val="center"/>
            </w:pPr>
            <w:r>
              <w:rPr>
                <w:rFonts w:hint="eastAsia"/>
              </w:rPr>
              <w:t>仪器设备送检</w:t>
            </w:r>
          </w:p>
        </w:tc>
        <w:tc>
          <w:tcPr>
            <w:tcW w:w="2550" w:type="pct"/>
            <w:noWrap w:val="0"/>
            <w:vAlign w:val="center"/>
          </w:tcPr>
          <w:p w14:paraId="59C82FA8">
            <w:pPr>
              <w:widowControl w:val="0"/>
              <w:jc w:val="center"/>
            </w:pPr>
            <w:r>
              <w:rPr>
                <w:rFonts w:hint="eastAsia"/>
              </w:rPr>
              <w:t>及时核对仪器设备校准/检定有效期，定期做好送检计划，确保仪器设备合理使用，尽量缩短送检周期（</w:t>
            </w:r>
            <w:r>
              <w:t>6</w:t>
            </w:r>
            <w:r>
              <w:rPr>
                <w:rFonts w:hint="eastAsia"/>
              </w:rPr>
              <w:t>分）；核对校准/检定证书无错漏（</w:t>
            </w:r>
            <w:r>
              <w:t>2</w:t>
            </w:r>
            <w:r>
              <w:rPr>
                <w:rFonts w:hint="eastAsia"/>
              </w:rPr>
              <w:t>分）。</w:t>
            </w:r>
          </w:p>
        </w:tc>
        <w:tc>
          <w:tcPr>
            <w:tcW w:w="458" w:type="pct"/>
            <w:noWrap w:val="0"/>
            <w:vAlign w:val="center"/>
          </w:tcPr>
          <w:p w14:paraId="02BCDEFF">
            <w:pPr>
              <w:widowControl w:val="0"/>
              <w:jc w:val="center"/>
            </w:pPr>
            <w:r>
              <w:t>8</w:t>
            </w:r>
          </w:p>
        </w:tc>
        <w:tc>
          <w:tcPr>
            <w:tcW w:w="364" w:type="pct"/>
            <w:noWrap w:val="0"/>
            <w:vAlign w:val="center"/>
          </w:tcPr>
          <w:p w14:paraId="4EEC9A2A">
            <w:pPr>
              <w:pStyle w:val="10"/>
              <w:spacing w:line="360" w:lineRule="auto"/>
              <w:ind w:firstLine="0" w:firstLineChars="0"/>
              <w:jc w:val="center"/>
              <w:rPr>
                <w:rFonts w:ascii="宋体" w:hAnsi="宋体"/>
                <w:sz w:val="24"/>
                <w:szCs w:val="24"/>
              </w:rPr>
            </w:pPr>
          </w:p>
        </w:tc>
        <w:tc>
          <w:tcPr>
            <w:tcW w:w="713" w:type="pct"/>
            <w:noWrap w:val="0"/>
            <w:vAlign w:val="center"/>
          </w:tcPr>
          <w:p w14:paraId="2951A9F9">
            <w:pPr>
              <w:pStyle w:val="10"/>
              <w:ind w:firstLine="0" w:firstLineChars="0"/>
              <w:jc w:val="center"/>
              <w:rPr>
                <w:rFonts w:ascii="宋体" w:hAnsi="宋体"/>
                <w:sz w:val="24"/>
                <w:szCs w:val="24"/>
              </w:rPr>
            </w:pPr>
          </w:p>
        </w:tc>
      </w:tr>
      <w:tr w14:paraId="324A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69" w:type="pct"/>
            <w:vMerge w:val="continue"/>
            <w:noWrap w:val="0"/>
            <w:vAlign w:val="center"/>
          </w:tcPr>
          <w:p w14:paraId="3013231E">
            <w:pPr>
              <w:widowControl w:val="0"/>
              <w:jc w:val="center"/>
            </w:pPr>
          </w:p>
        </w:tc>
        <w:tc>
          <w:tcPr>
            <w:tcW w:w="542" w:type="pct"/>
            <w:noWrap w:val="0"/>
            <w:vAlign w:val="center"/>
          </w:tcPr>
          <w:p w14:paraId="52A5EFE0">
            <w:pPr>
              <w:widowControl w:val="0"/>
              <w:jc w:val="center"/>
            </w:pPr>
            <w:r>
              <w:t>仪器</w:t>
            </w:r>
            <w:r>
              <w:rPr>
                <w:rFonts w:hint="eastAsia"/>
              </w:rPr>
              <w:t>设备</w:t>
            </w:r>
            <w:r>
              <w:t>管理</w:t>
            </w:r>
          </w:p>
        </w:tc>
        <w:tc>
          <w:tcPr>
            <w:tcW w:w="2550" w:type="pct"/>
            <w:noWrap w:val="0"/>
            <w:vAlign w:val="center"/>
          </w:tcPr>
          <w:p w14:paraId="63241C30">
            <w:pPr>
              <w:widowControl w:val="0"/>
              <w:jc w:val="left"/>
            </w:pPr>
            <w:r>
              <w:t>仪器设备</w:t>
            </w:r>
            <w:r>
              <w:rPr>
                <w:rFonts w:hint="eastAsia"/>
              </w:rPr>
              <w:t>校准/检定标识</w:t>
            </w:r>
            <w:r>
              <w:t>的</w:t>
            </w:r>
            <w:r>
              <w:rPr>
                <w:rFonts w:hint="eastAsia"/>
              </w:rPr>
              <w:t>粘贴、</w:t>
            </w:r>
            <w:r>
              <w:t>保管和发放</w:t>
            </w:r>
            <w:r>
              <w:rPr>
                <w:rFonts w:hint="eastAsia"/>
              </w:rPr>
              <w:t>、</w:t>
            </w:r>
            <w:r>
              <w:t>台账登记</w:t>
            </w:r>
            <w:r>
              <w:rPr>
                <w:rFonts w:hint="eastAsia"/>
              </w:rPr>
              <w:t>、</w:t>
            </w:r>
            <w:r>
              <w:t>维护保养</w:t>
            </w:r>
            <w:r>
              <w:rPr>
                <w:rFonts w:hint="eastAsia"/>
              </w:rPr>
              <w:t>、</w:t>
            </w:r>
            <w:r>
              <w:t>校准</w:t>
            </w:r>
            <w:r>
              <w:rPr>
                <w:rFonts w:hint="eastAsia"/>
              </w:rPr>
              <w:t>、</w:t>
            </w:r>
            <w:r>
              <w:t>检查等工作认真负责</w:t>
            </w:r>
            <w:r>
              <w:rPr>
                <w:rFonts w:hint="eastAsia"/>
              </w:rPr>
              <w:t>，</w:t>
            </w:r>
            <w:r>
              <w:t>无明显纰漏</w:t>
            </w:r>
            <w:r>
              <w:rPr>
                <w:rFonts w:hint="eastAsia"/>
              </w:rPr>
              <w:t>（</w:t>
            </w:r>
            <w:r>
              <w:rPr>
                <w:rFonts w:hint="eastAsia"/>
                <w:lang w:val="en-US" w:eastAsia="zh-CN"/>
              </w:rPr>
              <w:t>10</w:t>
            </w:r>
            <w:r>
              <w:rPr>
                <w:rFonts w:hint="eastAsia"/>
              </w:rPr>
              <w:t>分）。对于停用仪器，每3个月至少开机运行2次（</w:t>
            </w:r>
            <w:r>
              <w:t>2</w:t>
            </w:r>
            <w:r>
              <w:rPr>
                <w:rFonts w:hint="eastAsia"/>
              </w:rPr>
              <w:t>分）。</w:t>
            </w:r>
          </w:p>
        </w:tc>
        <w:tc>
          <w:tcPr>
            <w:tcW w:w="458" w:type="pct"/>
            <w:noWrap w:val="0"/>
            <w:vAlign w:val="center"/>
          </w:tcPr>
          <w:p w14:paraId="1EF5D85A">
            <w:pPr>
              <w:widowControl w:val="0"/>
              <w:jc w:val="center"/>
              <w:rPr>
                <w:rFonts w:hint="default" w:eastAsia="宋体"/>
                <w:lang w:val="en-US" w:eastAsia="zh-CN"/>
              </w:rPr>
            </w:pPr>
            <w:r>
              <w:rPr>
                <w:rFonts w:hint="eastAsia"/>
                <w:lang w:val="en-US" w:eastAsia="zh-CN"/>
              </w:rPr>
              <w:t>12</w:t>
            </w:r>
          </w:p>
        </w:tc>
        <w:tc>
          <w:tcPr>
            <w:tcW w:w="364" w:type="pct"/>
            <w:noWrap w:val="0"/>
            <w:vAlign w:val="center"/>
          </w:tcPr>
          <w:p w14:paraId="6C2E34B3">
            <w:pPr>
              <w:pStyle w:val="10"/>
              <w:spacing w:line="360" w:lineRule="auto"/>
              <w:ind w:firstLine="0" w:firstLineChars="0"/>
              <w:jc w:val="center"/>
              <w:rPr>
                <w:rFonts w:ascii="宋体" w:hAnsi="宋体"/>
                <w:sz w:val="24"/>
                <w:szCs w:val="24"/>
              </w:rPr>
            </w:pPr>
          </w:p>
        </w:tc>
        <w:tc>
          <w:tcPr>
            <w:tcW w:w="713" w:type="pct"/>
            <w:noWrap w:val="0"/>
            <w:vAlign w:val="center"/>
          </w:tcPr>
          <w:p w14:paraId="6500AD04">
            <w:pPr>
              <w:pStyle w:val="10"/>
              <w:ind w:firstLine="0" w:firstLineChars="0"/>
              <w:jc w:val="center"/>
              <w:rPr>
                <w:rFonts w:ascii="宋体" w:hAnsi="宋体"/>
                <w:sz w:val="24"/>
                <w:szCs w:val="24"/>
              </w:rPr>
            </w:pPr>
          </w:p>
        </w:tc>
      </w:tr>
      <w:tr w14:paraId="5A70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9" w:type="pct"/>
            <w:vMerge w:val="continue"/>
            <w:noWrap w:val="0"/>
            <w:vAlign w:val="center"/>
          </w:tcPr>
          <w:p w14:paraId="2206F7A3">
            <w:pPr>
              <w:widowControl w:val="0"/>
              <w:jc w:val="center"/>
            </w:pPr>
          </w:p>
        </w:tc>
        <w:tc>
          <w:tcPr>
            <w:tcW w:w="542" w:type="pct"/>
            <w:noWrap w:val="0"/>
            <w:vAlign w:val="center"/>
          </w:tcPr>
          <w:p w14:paraId="479AB28C">
            <w:pPr>
              <w:widowControl w:val="0"/>
              <w:jc w:val="center"/>
            </w:pPr>
            <w:r>
              <w:t>仪器</w:t>
            </w:r>
            <w:r>
              <w:rPr>
                <w:rFonts w:hint="eastAsia"/>
                <w:lang w:val="en-US" w:eastAsia="zh-CN"/>
              </w:rPr>
              <w:t>室</w:t>
            </w:r>
            <w:r>
              <w:t>内务管理</w:t>
            </w:r>
          </w:p>
        </w:tc>
        <w:tc>
          <w:tcPr>
            <w:tcW w:w="2550" w:type="pct"/>
            <w:noWrap w:val="0"/>
            <w:vAlign w:val="center"/>
          </w:tcPr>
          <w:p w14:paraId="54CA2FAA">
            <w:pPr>
              <w:widowControl w:val="0"/>
              <w:jc w:val="left"/>
            </w:pPr>
            <w:r>
              <w:rPr>
                <w:rFonts w:hint="eastAsia"/>
              </w:rPr>
              <w:t>1.保持工作环境的整洁，及时做好仪器设备的保洁、保养、归位、保证设备整齐，做好地面卫生工作（2分）。</w:t>
            </w:r>
          </w:p>
          <w:p w14:paraId="2F584817">
            <w:pPr>
              <w:widowControl w:val="0"/>
              <w:jc w:val="left"/>
            </w:pPr>
            <w:r>
              <w:rPr>
                <w:rFonts w:hint="eastAsia"/>
              </w:rPr>
              <w:t>2.仪器</w:t>
            </w:r>
            <w:r>
              <w:rPr>
                <w:rFonts w:hint="eastAsia"/>
                <w:lang w:val="en-US" w:eastAsia="zh-CN"/>
              </w:rPr>
              <w:t>器材室</w:t>
            </w:r>
            <w:r>
              <w:rPr>
                <w:rFonts w:hint="eastAsia"/>
              </w:rPr>
              <w:t>分类存放，仪器房内物品摆放要有序、整齐、美观、标签醒目、易于查看（2分）。</w:t>
            </w:r>
          </w:p>
          <w:p w14:paraId="324957EE">
            <w:pPr>
              <w:widowControl w:val="0"/>
              <w:jc w:val="left"/>
            </w:pPr>
            <w:r>
              <w:rPr>
                <w:rFonts w:hint="eastAsia"/>
              </w:rPr>
              <w:t>3.除</w:t>
            </w:r>
            <w:r>
              <w:rPr>
                <w:rFonts w:hint="eastAsia"/>
                <w:lang w:val="en-US" w:eastAsia="zh-CN"/>
              </w:rPr>
              <w:t>现场监测科、分析测试科</w:t>
            </w:r>
            <w:r>
              <w:rPr>
                <w:rFonts w:hint="eastAsia"/>
              </w:rPr>
              <w:t>人员及有关工作人员外，</w:t>
            </w:r>
            <w:r>
              <w:rPr>
                <w:rFonts w:hint="eastAsia"/>
                <w:lang w:val="en-US" w:eastAsia="zh-CN"/>
              </w:rPr>
              <w:t>其他</w:t>
            </w:r>
            <w:r>
              <w:rPr>
                <w:rFonts w:hint="eastAsia"/>
              </w:rPr>
              <w:t>人员不得擅自进入仪器</w:t>
            </w:r>
            <w:r>
              <w:rPr>
                <w:rFonts w:hint="eastAsia"/>
                <w:lang w:val="en-US" w:eastAsia="zh-CN"/>
              </w:rPr>
              <w:t>室</w:t>
            </w:r>
            <w:r>
              <w:rPr>
                <w:rFonts w:hint="eastAsia"/>
              </w:rPr>
              <w:t>。外单位来人参观或学习，必须经科室负责人批准，并由专人陪同（</w:t>
            </w:r>
            <w:r>
              <w:rPr>
                <w:rFonts w:hint="eastAsia"/>
                <w:lang w:val="en-US" w:eastAsia="zh-CN"/>
              </w:rPr>
              <w:t>2</w:t>
            </w:r>
            <w:r>
              <w:rPr>
                <w:rFonts w:hint="eastAsia"/>
              </w:rPr>
              <w:t>分）。</w:t>
            </w:r>
          </w:p>
        </w:tc>
        <w:tc>
          <w:tcPr>
            <w:tcW w:w="458" w:type="pct"/>
            <w:noWrap w:val="0"/>
            <w:vAlign w:val="center"/>
          </w:tcPr>
          <w:p w14:paraId="2DFD3E50">
            <w:pPr>
              <w:widowControl w:val="0"/>
              <w:jc w:val="center"/>
              <w:rPr>
                <w:rFonts w:hint="eastAsia" w:eastAsia="宋体"/>
                <w:lang w:eastAsia="zh-CN"/>
              </w:rPr>
            </w:pPr>
            <w:r>
              <w:rPr>
                <w:rFonts w:hint="eastAsia"/>
                <w:lang w:val="en-US" w:eastAsia="zh-CN"/>
              </w:rPr>
              <w:t>6</w:t>
            </w:r>
          </w:p>
        </w:tc>
        <w:tc>
          <w:tcPr>
            <w:tcW w:w="364" w:type="pct"/>
            <w:noWrap w:val="0"/>
            <w:vAlign w:val="center"/>
          </w:tcPr>
          <w:p w14:paraId="502192F8">
            <w:pPr>
              <w:pStyle w:val="10"/>
              <w:spacing w:line="360" w:lineRule="auto"/>
              <w:ind w:firstLine="0" w:firstLineChars="0"/>
              <w:jc w:val="center"/>
              <w:rPr>
                <w:rFonts w:ascii="宋体" w:hAnsi="宋体"/>
                <w:sz w:val="24"/>
                <w:szCs w:val="24"/>
              </w:rPr>
            </w:pPr>
          </w:p>
        </w:tc>
        <w:tc>
          <w:tcPr>
            <w:tcW w:w="713" w:type="pct"/>
            <w:noWrap w:val="0"/>
            <w:vAlign w:val="center"/>
          </w:tcPr>
          <w:p w14:paraId="4A3B666E">
            <w:pPr>
              <w:pStyle w:val="10"/>
              <w:ind w:firstLine="0" w:firstLineChars="0"/>
              <w:jc w:val="center"/>
              <w:rPr>
                <w:rFonts w:ascii="宋体" w:hAnsi="宋体"/>
                <w:sz w:val="24"/>
                <w:szCs w:val="24"/>
              </w:rPr>
            </w:pPr>
          </w:p>
        </w:tc>
      </w:tr>
      <w:tr w14:paraId="2E47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369" w:type="pct"/>
            <w:vMerge w:val="continue"/>
            <w:noWrap w:val="0"/>
            <w:vAlign w:val="center"/>
          </w:tcPr>
          <w:p w14:paraId="56436AB8">
            <w:pPr>
              <w:widowControl w:val="0"/>
              <w:jc w:val="center"/>
            </w:pPr>
          </w:p>
        </w:tc>
        <w:tc>
          <w:tcPr>
            <w:tcW w:w="542" w:type="pct"/>
            <w:noWrap w:val="0"/>
            <w:vAlign w:val="center"/>
          </w:tcPr>
          <w:p w14:paraId="7BED6E27">
            <w:pPr>
              <w:widowControl w:val="0"/>
              <w:jc w:val="center"/>
            </w:pPr>
            <w:r>
              <w:t>仪器房安全管理</w:t>
            </w:r>
          </w:p>
        </w:tc>
        <w:tc>
          <w:tcPr>
            <w:tcW w:w="2550" w:type="pct"/>
            <w:noWrap w:val="0"/>
            <w:vAlign w:val="center"/>
          </w:tcPr>
          <w:p w14:paraId="13EF94CB">
            <w:pPr>
              <w:widowControl w:val="0"/>
              <w:jc w:val="left"/>
            </w:pPr>
            <w:r>
              <w:rPr>
                <w:rFonts w:hint="eastAsia"/>
              </w:rPr>
              <w:t>每天要认真检查水源、电源、气源、</w:t>
            </w:r>
            <w:r>
              <w:t>及时关闭门窗</w:t>
            </w:r>
            <w:r>
              <w:rPr>
                <w:rFonts w:hint="eastAsia"/>
              </w:rPr>
              <w:t>，</w:t>
            </w:r>
            <w:r>
              <w:t>标准气体及气罐放在远离易燃易爆物品的安全地方</w:t>
            </w:r>
            <w:r>
              <w:rPr>
                <w:rFonts w:hint="eastAsia"/>
              </w:rPr>
              <w:t>，</w:t>
            </w:r>
            <w:r>
              <w:t>做好防火防盗防爆措施</w:t>
            </w:r>
            <w:r>
              <w:rPr>
                <w:rFonts w:hint="eastAsia"/>
              </w:rPr>
              <w:t>（4分）。</w:t>
            </w:r>
          </w:p>
        </w:tc>
        <w:tc>
          <w:tcPr>
            <w:tcW w:w="458" w:type="pct"/>
            <w:noWrap w:val="0"/>
            <w:vAlign w:val="center"/>
          </w:tcPr>
          <w:p w14:paraId="69037BA1">
            <w:pPr>
              <w:widowControl w:val="0"/>
              <w:jc w:val="center"/>
            </w:pPr>
            <w:r>
              <w:rPr>
                <w:rFonts w:hint="eastAsia"/>
              </w:rPr>
              <w:t>4</w:t>
            </w:r>
          </w:p>
        </w:tc>
        <w:tc>
          <w:tcPr>
            <w:tcW w:w="364" w:type="pct"/>
            <w:noWrap w:val="0"/>
            <w:vAlign w:val="center"/>
          </w:tcPr>
          <w:p w14:paraId="780EDC7D">
            <w:pPr>
              <w:pStyle w:val="10"/>
              <w:spacing w:line="360" w:lineRule="auto"/>
              <w:ind w:firstLine="0" w:firstLineChars="0"/>
              <w:jc w:val="center"/>
              <w:rPr>
                <w:rFonts w:ascii="宋体" w:hAnsi="宋体"/>
                <w:sz w:val="24"/>
                <w:szCs w:val="24"/>
              </w:rPr>
            </w:pPr>
          </w:p>
        </w:tc>
        <w:tc>
          <w:tcPr>
            <w:tcW w:w="713" w:type="pct"/>
            <w:noWrap w:val="0"/>
            <w:vAlign w:val="center"/>
          </w:tcPr>
          <w:p w14:paraId="0C804852">
            <w:pPr>
              <w:pStyle w:val="10"/>
              <w:spacing w:line="360" w:lineRule="auto"/>
              <w:ind w:firstLine="0" w:firstLineChars="0"/>
              <w:jc w:val="center"/>
              <w:rPr>
                <w:rFonts w:ascii="宋体" w:hAnsi="宋体"/>
                <w:sz w:val="24"/>
                <w:szCs w:val="24"/>
              </w:rPr>
            </w:pPr>
          </w:p>
        </w:tc>
      </w:tr>
      <w:tr w14:paraId="1E87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69" w:type="pct"/>
            <w:vMerge w:val="continue"/>
            <w:noWrap w:val="0"/>
            <w:vAlign w:val="center"/>
          </w:tcPr>
          <w:p w14:paraId="28352139">
            <w:pPr>
              <w:widowControl w:val="0"/>
              <w:jc w:val="center"/>
            </w:pPr>
          </w:p>
        </w:tc>
        <w:tc>
          <w:tcPr>
            <w:tcW w:w="542" w:type="pct"/>
            <w:noWrap w:val="0"/>
            <w:vAlign w:val="center"/>
          </w:tcPr>
          <w:p w14:paraId="4B774307">
            <w:pPr>
              <w:widowControl w:val="0"/>
              <w:jc w:val="center"/>
            </w:pPr>
            <w:r>
              <w:t>数据保密</w:t>
            </w:r>
          </w:p>
        </w:tc>
        <w:tc>
          <w:tcPr>
            <w:tcW w:w="2550" w:type="pct"/>
            <w:noWrap w:val="0"/>
            <w:vAlign w:val="center"/>
          </w:tcPr>
          <w:p w14:paraId="63AC79D8">
            <w:pPr>
              <w:widowControl w:val="0"/>
              <w:jc w:val="left"/>
            </w:pPr>
            <w:r>
              <w:rPr>
                <w:rFonts w:hint="eastAsia"/>
                <w:lang w:val="en-US" w:eastAsia="zh-CN"/>
              </w:rPr>
              <w:t>做好线上线下仪器设备基础信息维护（18分</w:t>
            </w:r>
            <w:bookmarkStart w:id="0" w:name="_GoBack"/>
            <w:bookmarkEnd w:id="0"/>
            <w:r>
              <w:rPr>
                <w:rFonts w:hint="eastAsia"/>
                <w:lang w:val="en-US" w:eastAsia="zh-CN"/>
              </w:rPr>
              <w:t>）</w:t>
            </w:r>
            <w:r>
              <w:rPr>
                <w:rFonts w:hint="eastAsia"/>
              </w:rPr>
              <w:t>，</w:t>
            </w:r>
            <w:r>
              <w:t>乙方应承担监测数据的保密责任</w:t>
            </w:r>
            <w:r>
              <w:rPr>
                <w:rFonts w:hint="eastAsia"/>
              </w:rPr>
              <w:t>；</w:t>
            </w:r>
            <w:r>
              <w:t>均不得以任何方式和渠道向外界传递任何监测数据</w:t>
            </w:r>
            <w:r>
              <w:rPr>
                <w:rFonts w:hint="eastAsia"/>
              </w:rPr>
              <w:t>（</w:t>
            </w:r>
            <w:r>
              <w:rPr>
                <w:rFonts w:hint="eastAsia"/>
                <w:lang w:val="en-US" w:eastAsia="zh-CN"/>
              </w:rPr>
              <w:t>10</w:t>
            </w:r>
            <w:r>
              <w:rPr>
                <w:rFonts w:hint="eastAsia"/>
              </w:rPr>
              <w:t>分）。</w:t>
            </w:r>
          </w:p>
        </w:tc>
        <w:tc>
          <w:tcPr>
            <w:tcW w:w="458" w:type="pct"/>
            <w:noWrap w:val="0"/>
            <w:vAlign w:val="center"/>
          </w:tcPr>
          <w:p w14:paraId="56732353">
            <w:pPr>
              <w:widowControl w:val="0"/>
              <w:jc w:val="center"/>
              <w:rPr>
                <w:rFonts w:hint="default" w:eastAsia="宋体"/>
                <w:lang w:val="en-US" w:eastAsia="zh-CN"/>
              </w:rPr>
            </w:pPr>
            <w:r>
              <w:rPr>
                <w:rFonts w:hint="eastAsia"/>
                <w:lang w:val="en-US" w:eastAsia="zh-CN"/>
              </w:rPr>
              <w:t>28</w:t>
            </w:r>
          </w:p>
        </w:tc>
        <w:tc>
          <w:tcPr>
            <w:tcW w:w="364" w:type="pct"/>
            <w:noWrap w:val="0"/>
            <w:vAlign w:val="center"/>
          </w:tcPr>
          <w:p w14:paraId="2A861E5E">
            <w:pPr>
              <w:pStyle w:val="10"/>
              <w:spacing w:line="360" w:lineRule="auto"/>
              <w:ind w:firstLine="0" w:firstLineChars="0"/>
              <w:jc w:val="center"/>
              <w:rPr>
                <w:rFonts w:ascii="宋体" w:hAnsi="宋体"/>
                <w:sz w:val="24"/>
                <w:szCs w:val="24"/>
              </w:rPr>
            </w:pPr>
          </w:p>
        </w:tc>
        <w:tc>
          <w:tcPr>
            <w:tcW w:w="713" w:type="pct"/>
            <w:noWrap w:val="0"/>
            <w:vAlign w:val="center"/>
          </w:tcPr>
          <w:p w14:paraId="4EA2700F">
            <w:pPr>
              <w:pStyle w:val="10"/>
              <w:spacing w:line="360" w:lineRule="auto"/>
              <w:ind w:firstLine="0" w:firstLineChars="0"/>
              <w:jc w:val="center"/>
              <w:rPr>
                <w:rFonts w:ascii="宋体" w:hAnsi="宋体"/>
                <w:sz w:val="24"/>
                <w:szCs w:val="24"/>
              </w:rPr>
            </w:pPr>
          </w:p>
        </w:tc>
      </w:tr>
      <w:tr w14:paraId="37B4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369" w:type="pct"/>
            <w:vMerge w:val="continue"/>
            <w:noWrap w:val="0"/>
            <w:vAlign w:val="center"/>
          </w:tcPr>
          <w:p w14:paraId="3A6122E6">
            <w:pPr>
              <w:widowControl w:val="0"/>
              <w:jc w:val="center"/>
            </w:pPr>
          </w:p>
        </w:tc>
        <w:tc>
          <w:tcPr>
            <w:tcW w:w="542" w:type="pct"/>
            <w:noWrap w:val="0"/>
            <w:vAlign w:val="center"/>
          </w:tcPr>
          <w:p w14:paraId="34744790">
            <w:pPr>
              <w:widowControl w:val="0"/>
              <w:jc w:val="center"/>
            </w:pPr>
            <w:r>
              <w:t>记录</w:t>
            </w:r>
          </w:p>
        </w:tc>
        <w:tc>
          <w:tcPr>
            <w:tcW w:w="2550" w:type="pct"/>
            <w:noWrap w:val="0"/>
            <w:vAlign w:val="center"/>
          </w:tcPr>
          <w:p w14:paraId="38BC8DC1">
            <w:pPr>
              <w:widowControl w:val="0"/>
              <w:jc w:val="left"/>
            </w:pPr>
            <w:r>
              <w:t>按规范要求做好日常相关记录表格</w:t>
            </w:r>
            <w:r>
              <w:rPr>
                <w:rFonts w:hint="eastAsia"/>
              </w:rPr>
              <w:t>，</w:t>
            </w:r>
            <w:r>
              <w:t>每月交一次所有记录给</w:t>
            </w:r>
            <w:r>
              <w:rPr>
                <w:rFonts w:hint="eastAsia"/>
              </w:rPr>
              <w:t>甲方</w:t>
            </w:r>
            <w:r>
              <w:t>审查</w:t>
            </w:r>
            <w:r>
              <w:rPr>
                <w:rFonts w:hint="eastAsia"/>
              </w:rPr>
              <w:t>（3分）。甲方</w:t>
            </w:r>
            <w:r>
              <w:t>可随时抽查记录内容</w:t>
            </w:r>
            <w:r>
              <w:rPr>
                <w:rFonts w:hint="eastAsia"/>
              </w:rPr>
              <w:t>，乙方</w:t>
            </w:r>
            <w:r>
              <w:t>须及时提供</w:t>
            </w:r>
            <w:r>
              <w:rPr>
                <w:rFonts w:hint="eastAsia"/>
              </w:rPr>
              <w:t>，</w:t>
            </w:r>
            <w:r>
              <w:t>不得阻挠</w:t>
            </w:r>
            <w:r>
              <w:rPr>
                <w:rFonts w:hint="eastAsia"/>
              </w:rPr>
              <w:t>、</w:t>
            </w:r>
            <w:r>
              <w:t>拖延</w:t>
            </w:r>
            <w:r>
              <w:rPr>
                <w:rFonts w:hint="eastAsia"/>
              </w:rPr>
              <w:t>、</w:t>
            </w:r>
            <w:r>
              <w:t>伪造</w:t>
            </w:r>
            <w:r>
              <w:rPr>
                <w:rFonts w:hint="eastAsia"/>
              </w:rPr>
              <w:t>（10分）。</w:t>
            </w:r>
          </w:p>
        </w:tc>
        <w:tc>
          <w:tcPr>
            <w:tcW w:w="458" w:type="pct"/>
            <w:noWrap w:val="0"/>
            <w:vAlign w:val="center"/>
          </w:tcPr>
          <w:p w14:paraId="405B4FA0">
            <w:pPr>
              <w:widowControl w:val="0"/>
              <w:jc w:val="center"/>
            </w:pPr>
            <w:r>
              <w:rPr>
                <w:rFonts w:hint="eastAsia"/>
              </w:rPr>
              <w:t>13</w:t>
            </w:r>
          </w:p>
        </w:tc>
        <w:tc>
          <w:tcPr>
            <w:tcW w:w="364" w:type="pct"/>
            <w:noWrap w:val="0"/>
            <w:vAlign w:val="center"/>
          </w:tcPr>
          <w:p w14:paraId="711C7F41">
            <w:pPr>
              <w:pStyle w:val="10"/>
              <w:spacing w:line="360" w:lineRule="auto"/>
              <w:ind w:firstLine="0" w:firstLineChars="0"/>
              <w:jc w:val="center"/>
              <w:rPr>
                <w:rFonts w:ascii="宋体" w:hAnsi="宋体"/>
                <w:sz w:val="24"/>
                <w:szCs w:val="24"/>
              </w:rPr>
            </w:pPr>
          </w:p>
        </w:tc>
        <w:tc>
          <w:tcPr>
            <w:tcW w:w="713" w:type="pct"/>
            <w:noWrap w:val="0"/>
            <w:vAlign w:val="center"/>
          </w:tcPr>
          <w:p w14:paraId="290032D4">
            <w:pPr>
              <w:pStyle w:val="10"/>
              <w:ind w:firstLine="0" w:firstLineChars="0"/>
              <w:jc w:val="center"/>
              <w:rPr>
                <w:rFonts w:ascii="宋体" w:hAnsi="宋体"/>
                <w:sz w:val="24"/>
                <w:szCs w:val="24"/>
              </w:rPr>
            </w:pPr>
          </w:p>
        </w:tc>
      </w:tr>
      <w:tr w14:paraId="1C14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69" w:type="pct"/>
            <w:vMerge w:val="continue"/>
            <w:noWrap w:val="0"/>
            <w:vAlign w:val="center"/>
          </w:tcPr>
          <w:p w14:paraId="6FEFA049">
            <w:pPr>
              <w:widowControl w:val="0"/>
              <w:jc w:val="center"/>
            </w:pPr>
          </w:p>
        </w:tc>
        <w:tc>
          <w:tcPr>
            <w:tcW w:w="542" w:type="pct"/>
            <w:noWrap w:val="0"/>
            <w:vAlign w:val="center"/>
          </w:tcPr>
          <w:p w14:paraId="5E73776A">
            <w:pPr>
              <w:widowControl w:val="0"/>
              <w:jc w:val="center"/>
            </w:pPr>
            <w:r>
              <w:t>废弃物与废液处置</w:t>
            </w:r>
          </w:p>
        </w:tc>
        <w:tc>
          <w:tcPr>
            <w:tcW w:w="2550" w:type="pct"/>
            <w:noWrap w:val="0"/>
            <w:vAlign w:val="center"/>
          </w:tcPr>
          <w:p w14:paraId="32B534BE">
            <w:pPr>
              <w:widowControl w:val="0"/>
              <w:jc w:val="left"/>
            </w:pPr>
            <w:r>
              <w:t>按照国家相关规定对仪器维护保养产生的废弃物和废液进行分类收集</w:t>
            </w:r>
            <w:r>
              <w:rPr>
                <w:rFonts w:hint="eastAsia"/>
              </w:rPr>
              <w:t>、</w:t>
            </w:r>
            <w:r>
              <w:t>标识和处置</w:t>
            </w:r>
            <w:r>
              <w:rPr>
                <w:rFonts w:hint="eastAsia"/>
              </w:rPr>
              <w:t>，</w:t>
            </w:r>
            <w:r>
              <w:t>不得超标排放未经处理的废弃物与废液</w:t>
            </w:r>
            <w:r>
              <w:rPr>
                <w:rFonts w:hint="eastAsia"/>
              </w:rPr>
              <w:t>（3分）。</w:t>
            </w:r>
          </w:p>
        </w:tc>
        <w:tc>
          <w:tcPr>
            <w:tcW w:w="458" w:type="pct"/>
            <w:noWrap w:val="0"/>
            <w:vAlign w:val="center"/>
          </w:tcPr>
          <w:p w14:paraId="1508182F">
            <w:pPr>
              <w:widowControl w:val="0"/>
              <w:jc w:val="center"/>
            </w:pPr>
            <w:r>
              <w:rPr>
                <w:rFonts w:hint="eastAsia"/>
              </w:rPr>
              <w:t>3</w:t>
            </w:r>
          </w:p>
        </w:tc>
        <w:tc>
          <w:tcPr>
            <w:tcW w:w="364" w:type="pct"/>
            <w:noWrap w:val="0"/>
            <w:vAlign w:val="center"/>
          </w:tcPr>
          <w:p w14:paraId="18D1EE53">
            <w:pPr>
              <w:pStyle w:val="10"/>
              <w:spacing w:line="360" w:lineRule="auto"/>
              <w:ind w:firstLine="0" w:firstLineChars="0"/>
              <w:jc w:val="center"/>
              <w:rPr>
                <w:rFonts w:ascii="宋体" w:hAnsi="宋体"/>
                <w:sz w:val="24"/>
                <w:szCs w:val="24"/>
              </w:rPr>
            </w:pPr>
          </w:p>
        </w:tc>
        <w:tc>
          <w:tcPr>
            <w:tcW w:w="713" w:type="pct"/>
            <w:noWrap w:val="0"/>
            <w:vAlign w:val="center"/>
          </w:tcPr>
          <w:p w14:paraId="50A0AEE6">
            <w:pPr>
              <w:pStyle w:val="10"/>
              <w:spacing w:line="360" w:lineRule="auto"/>
              <w:ind w:firstLine="0" w:firstLineChars="0"/>
              <w:jc w:val="center"/>
              <w:rPr>
                <w:rFonts w:ascii="宋体" w:hAnsi="宋体"/>
                <w:sz w:val="24"/>
                <w:szCs w:val="24"/>
              </w:rPr>
            </w:pPr>
          </w:p>
        </w:tc>
      </w:tr>
      <w:tr w14:paraId="7E4D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369" w:type="pct"/>
            <w:vMerge w:val="continue"/>
            <w:noWrap w:val="0"/>
            <w:vAlign w:val="center"/>
          </w:tcPr>
          <w:p w14:paraId="6C358C5B">
            <w:pPr>
              <w:widowControl w:val="0"/>
              <w:jc w:val="center"/>
            </w:pPr>
          </w:p>
        </w:tc>
        <w:tc>
          <w:tcPr>
            <w:tcW w:w="542" w:type="pct"/>
            <w:noWrap w:val="0"/>
            <w:vAlign w:val="center"/>
          </w:tcPr>
          <w:p w14:paraId="74AAA196">
            <w:pPr>
              <w:widowControl w:val="0"/>
              <w:jc w:val="center"/>
            </w:pPr>
            <w:r>
              <w:rPr>
                <w:rFonts w:hint="eastAsia"/>
              </w:rPr>
              <w:t>资产管理维护</w:t>
            </w:r>
          </w:p>
        </w:tc>
        <w:tc>
          <w:tcPr>
            <w:tcW w:w="2550" w:type="pct"/>
            <w:noWrap w:val="0"/>
            <w:vAlign w:val="center"/>
          </w:tcPr>
          <w:p w14:paraId="079F571E">
            <w:pPr>
              <w:widowControl w:val="0"/>
              <w:jc w:val="left"/>
            </w:pPr>
            <w:r>
              <w:rPr>
                <w:rFonts w:hint="eastAsia"/>
              </w:rPr>
              <w:t>按时、按质、按量协助甲方工作人员做好固定资产的清查、规整、标识等工作，不得无故推诿（5分）；甲方布置的工作，未按照要求完成，造成严重后果的，追究乙方责任（10分）。</w:t>
            </w:r>
          </w:p>
        </w:tc>
        <w:tc>
          <w:tcPr>
            <w:tcW w:w="458" w:type="pct"/>
            <w:noWrap w:val="0"/>
            <w:vAlign w:val="center"/>
          </w:tcPr>
          <w:p w14:paraId="37661F6E">
            <w:pPr>
              <w:widowControl w:val="0"/>
              <w:jc w:val="center"/>
            </w:pPr>
            <w:r>
              <w:rPr>
                <w:rFonts w:hint="eastAsia"/>
              </w:rPr>
              <w:t>15</w:t>
            </w:r>
          </w:p>
        </w:tc>
        <w:tc>
          <w:tcPr>
            <w:tcW w:w="364" w:type="pct"/>
            <w:noWrap w:val="0"/>
            <w:vAlign w:val="center"/>
          </w:tcPr>
          <w:p w14:paraId="4757B94C">
            <w:pPr>
              <w:pStyle w:val="10"/>
              <w:spacing w:line="360" w:lineRule="auto"/>
              <w:ind w:firstLine="0" w:firstLineChars="0"/>
              <w:jc w:val="center"/>
              <w:rPr>
                <w:rFonts w:ascii="宋体" w:hAnsi="宋体"/>
                <w:sz w:val="24"/>
                <w:szCs w:val="24"/>
              </w:rPr>
            </w:pPr>
          </w:p>
        </w:tc>
        <w:tc>
          <w:tcPr>
            <w:tcW w:w="713" w:type="pct"/>
            <w:noWrap w:val="0"/>
            <w:vAlign w:val="center"/>
          </w:tcPr>
          <w:p w14:paraId="3EA2DC34">
            <w:pPr>
              <w:pStyle w:val="10"/>
              <w:spacing w:line="360" w:lineRule="auto"/>
              <w:ind w:firstLine="0" w:firstLineChars="0"/>
              <w:jc w:val="center"/>
              <w:rPr>
                <w:rFonts w:ascii="宋体" w:hAnsi="宋体"/>
                <w:sz w:val="24"/>
                <w:szCs w:val="24"/>
              </w:rPr>
            </w:pPr>
          </w:p>
        </w:tc>
      </w:tr>
      <w:tr w14:paraId="0F41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369" w:type="pct"/>
            <w:vMerge w:val="restart"/>
            <w:noWrap w:val="0"/>
            <w:vAlign w:val="center"/>
          </w:tcPr>
          <w:p w14:paraId="4439589D">
            <w:pPr>
              <w:widowControl w:val="0"/>
              <w:jc w:val="center"/>
            </w:pPr>
            <w:r>
              <w:t>服务质量</w:t>
            </w:r>
          </w:p>
        </w:tc>
        <w:tc>
          <w:tcPr>
            <w:tcW w:w="542" w:type="pct"/>
            <w:noWrap w:val="0"/>
            <w:vAlign w:val="center"/>
          </w:tcPr>
          <w:p w14:paraId="1BFD9944">
            <w:pPr>
              <w:widowControl w:val="0"/>
              <w:jc w:val="center"/>
            </w:pPr>
            <w:r>
              <w:t>服务态度</w:t>
            </w:r>
          </w:p>
        </w:tc>
        <w:tc>
          <w:tcPr>
            <w:tcW w:w="2550" w:type="pct"/>
            <w:noWrap w:val="0"/>
            <w:vAlign w:val="center"/>
          </w:tcPr>
          <w:p w14:paraId="546F4C90">
            <w:pPr>
              <w:widowControl w:val="0"/>
              <w:jc w:val="left"/>
            </w:pPr>
            <w:r>
              <w:t>服务人员按要求</w:t>
            </w:r>
            <w:r>
              <w:rPr>
                <w:rFonts w:hint="eastAsia"/>
              </w:rPr>
              <w:t>积极</w:t>
            </w:r>
            <w:r>
              <w:t>配合</w:t>
            </w:r>
            <w:r>
              <w:rPr>
                <w:rFonts w:hint="eastAsia"/>
              </w:rPr>
              <w:t>甲方</w:t>
            </w:r>
            <w:r>
              <w:t>开展各项工作</w:t>
            </w:r>
            <w:r>
              <w:rPr>
                <w:rFonts w:hint="eastAsia"/>
              </w:rPr>
              <w:t>（</w:t>
            </w:r>
            <w:r>
              <w:t>5</w:t>
            </w:r>
            <w:r>
              <w:rPr>
                <w:rFonts w:hint="eastAsia"/>
              </w:rPr>
              <w:t>分）。</w:t>
            </w:r>
          </w:p>
        </w:tc>
        <w:tc>
          <w:tcPr>
            <w:tcW w:w="458" w:type="pct"/>
            <w:noWrap w:val="0"/>
            <w:vAlign w:val="center"/>
          </w:tcPr>
          <w:p w14:paraId="43A9E9D9">
            <w:pPr>
              <w:widowControl w:val="0"/>
              <w:jc w:val="center"/>
            </w:pPr>
            <w:r>
              <w:t>5</w:t>
            </w:r>
          </w:p>
        </w:tc>
        <w:tc>
          <w:tcPr>
            <w:tcW w:w="364" w:type="pct"/>
            <w:noWrap w:val="0"/>
            <w:vAlign w:val="center"/>
          </w:tcPr>
          <w:p w14:paraId="35FCEE0D">
            <w:pPr>
              <w:pStyle w:val="10"/>
              <w:spacing w:line="360" w:lineRule="auto"/>
              <w:ind w:firstLine="0" w:firstLineChars="0"/>
              <w:jc w:val="center"/>
              <w:rPr>
                <w:rFonts w:ascii="宋体" w:hAnsi="宋体"/>
                <w:sz w:val="24"/>
                <w:szCs w:val="24"/>
              </w:rPr>
            </w:pPr>
          </w:p>
        </w:tc>
        <w:tc>
          <w:tcPr>
            <w:tcW w:w="713" w:type="pct"/>
            <w:noWrap w:val="0"/>
            <w:vAlign w:val="center"/>
          </w:tcPr>
          <w:p w14:paraId="1B331885">
            <w:pPr>
              <w:pStyle w:val="10"/>
              <w:spacing w:line="360" w:lineRule="auto"/>
              <w:ind w:firstLine="0" w:firstLineChars="0"/>
              <w:jc w:val="center"/>
              <w:rPr>
                <w:rFonts w:ascii="宋体" w:hAnsi="宋体"/>
                <w:sz w:val="24"/>
                <w:szCs w:val="24"/>
              </w:rPr>
            </w:pPr>
          </w:p>
        </w:tc>
      </w:tr>
      <w:tr w14:paraId="40B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69" w:type="pct"/>
            <w:vMerge w:val="continue"/>
            <w:noWrap w:val="0"/>
            <w:vAlign w:val="center"/>
          </w:tcPr>
          <w:p w14:paraId="0FB3BD77">
            <w:pPr>
              <w:widowControl w:val="0"/>
              <w:jc w:val="center"/>
            </w:pPr>
          </w:p>
        </w:tc>
        <w:tc>
          <w:tcPr>
            <w:tcW w:w="542" w:type="pct"/>
            <w:noWrap w:val="0"/>
            <w:vAlign w:val="center"/>
          </w:tcPr>
          <w:p w14:paraId="2CB2F74E">
            <w:pPr>
              <w:widowControl w:val="0"/>
              <w:jc w:val="center"/>
            </w:pPr>
            <w:r>
              <w:rPr>
                <w:rFonts w:hint="eastAsia"/>
              </w:rPr>
              <w:t>记录、报告规范</w:t>
            </w:r>
          </w:p>
        </w:tc>
        <w:tc>
          <w:tcPr>
            <w:tcW w:w="2550" w:type="pct"/>
            <w:noWrap w:val="0"/>
            <w:vAlign w:val="center"/>
          </w:tcPr>
          <w:p w14:paraId="45598E0E">
            <w:pPr>
              <w:widowControl w:val="0"/>
              <w:jc w:val="center"/>
            </w:pPr>
            <w:r>
              <w:rPr>
                <w:rFonts w:hint="eastAsia"/>
              </w:rPr>
              <w:t>所有记录须字体清晰，不得模糊潦草，并按规范填写相应内容（</w:t>
            </w:r>
            <w:r>
              <w:t>6</w:t>
            </w:r>
            <w:r>
              <w:rPr>
                <w:rFonts w:hint="eastAsia"/>
              </w:rPr>
              <w:t>分）。</w:t>
            </w:r>
          </w:p>
        </w:tc>
        <w:tc>
          <w:tcPr>
            <w:tcW w:w="458" w:type="pct"/>
            <w:noWrap w:val="0"/>
            <w:vAlign w:val="center"/>
          </w:tcPr>
          <w:p w14:paraId="2C196813">
            <w:pPr>
              <w:widowControl w:val="0"/>
              <w:jc w:val="center"/>
            </w:pPr>
            <w:r>
              <w:t>6</w:t>
            </w:r>
          </w:p>
        </w:tc>
        <w:tc>
          <w:tcPr>
            <w:tcW w:w="364" w:type="pct"/>
            <w:noWrap w:val="0"/>
            <w:vAlign w:val="center"/>
          </w:tcPr>
          <w:p w14:paraId="72D0C72F">
            <w:pPr>
              <w:pStyle w:val="10"/>
              <w:spacing w:line="360" w:lineRule="auto"/>
              <w:ind w:firstLine="0" w:firstLineChars="0"/>
              <w:jc w:val="center"/>
              <w:rPr>
                <w:rFonts w:ascii="宋体" w:hAnsi="宋体"/>
                <w:sz w:val="24"/>
                <w:szCs w:val="24"/>
              </w:rPr>
            </w:pPr>
          </w:p>
        </w:tc>
        <w:tc>
          <w:tcPr>
            <w:tcW w:w="713" w:type="pct"/>
            <w:noWrap w:val="0"/>
            <w:vAlign w:val="center"/>
          </w:tcPr>
          <w:p w14:paraId="1CFDA657">
            <w:pPr>
              <w:pStyle w:val="10"/>
              <w:spacing w:line="360" w:lineRule="auto"/>
              <w:ind w:firstLine="0" w:firstLineChars="0"/>
              <w:jc w:val="center"/>
              <w:rPr>
                <w:rFonts w:ascii="宋体" w:hAnsi="宋体"/>
                <w:sz w:val="24"/>
                <w:szCs w:val="24"/>
              </w:rPr>
            </w:pPr>
          </w:p>
        </w:tc>
      </w:tr>
      <w:tr w14:paraId="65C1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63" w:type="pct"/>
            <w:gridSpan w:val="3"/>
            <w:noWrap w:val="0"/>
            <w:vAlign w:val="center"/>
          </w:tcPr>
          <w:p w14:paraId="37E0A1F3">
            <w:pPr>
              <w:widowControl w:val="0"/>
              <w:jc w:val="center"/>
            </w:pPr>
            <w:r>
              <w:rPr>
                <w:rFonts w:hint="eastAsia"/>
              </w:rPr>
              <w:t>合计</w:t>
            </w:r>
          </w:p>
        </w:tc>
        <w:tc>
          <w:tcPr>
            <w:tcW w:w="458" w:type="pct"/>
            <w:noWrap w:val="0"/>
            <w:vAlign w:val="center"/>
          </w:tcPr>
          <w:p w14:paraId="10EB24FF">
            <w:pPr>
              <w:widowControl w:val="0"/>
              <w:jc w:val="center"/>
            </w:pPr>
            <w:r>
              <w:rPr>
                <w:rFonts w:hint="eastAsia"/>
              </w:rPr>
              <w:t>100</w:t>
            </w:r>
          </w:p>
        </w:tc>
        <w:tc>
          <w:tcPr>
            <w:tcW w:w="364" w:type="pct"/>
            <w:noWrap w:val="0"/>
            <w:vAlign w:val="center"/>
          </w:tcPr>
          <w:p w14:paraId="225C50CA">
            <w:pPr>
              <w:pStyle w:val="10"/>
              <w:spacing w:line="360" w:lineRule="auto"/>
              <w:ind w:firstLine="0" w:firstLineChars="0"/>
              <w:jc w:val="center"/>
              <w:rPr>
                <w:rFonts w:ascii="宋体" w:hAnsi="宋体"/>
                <w:sz w:val="24"/>
                <w:szCs w:val="24"/>
              </w:rPr>
            </w:pPr>
          </w:p>
        </w:tc>
        <w:tc>
          <w:tcPr>
            <w:tcW w:w="713" w:type="pct"/>
            <w:noWrap w:val="0"/>
            <w:vAlign w:val="center"/>
          </w:tcPr>
          <w:p w14:paraId="69E64C23">
            <w:pPr>
              <w:pStyle w:val="10"/>
              <w:spacing w:line="360" w:lineRule="auto"/>
              <w:ind w:firstLine="0" w:firstLineChars="0"/>
              <w:jc w:val="center"/>
              <w:rPr>
                <w:rFonts w:ascii="宋体" w:hAnsi="宋体"/>
                <w:sz w:val="24"/>
                <w:szCs w:val="24"/>
              </w:rPr>
            </w:pPr>
          </w:p>
        </w:tc>
      </w:tr>
      <w:tr w14:paraId="2917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63" w:type="pct"/>
            <w:gridSpan w:val="3"/>
            <w:noWrap w:val="0"/>
            <w:vAlign w:val="center"/>
          </w:tcPr>
          <w:p w14:paraId="1C4573E2">
            <w:pPr>
              <w:pStyle w:val="10"/>
              <w:spacing w:line="360" w:lineRule="auto"/>
              <w:ind w:firstLine="0" w:firstLineChars="0"/>
              <w:jc w:val="center"/>
              <w:rPr>
                <w:rFonts w:ascii="宋体" w:hAnsi="宋体"/>
                <w:sz w:val="24"/>
                <w:szCs w:val="24"/>
              </w:rPr>
            </w:pPr>
            <w:r>
              <w:rPr>
                <w:rFonts w:hint="eastAsia" w:ascii="宋体" w:hAnsi="宋体"/>
                <w:sz w:val="24"/>
                <w:szCs w:val="24"/>
              </w:rPr>
              <w:t>本次考核总分得分</w:t>
            </w:r>
          </w:p>
        </w:tc>
        <w:tc>
          <w:tcPr>
            <w:tcW w:w="1536" w:type="pct"/>
            <w:gridSpan w:val="3"/>
            <w:noWrap w:val="0"/>
            <w:vAlign w:val="center"/>
          </w:tcPr>
          <w:p w14:paraId="52E718D0">
            <w:pPr>
              <w:pStyle w:val="10"/>
              <w:spacing w:line="360" w:lineRule="auto"/>
              <w:ind w:firstLine="0" w:firstLineChars="0"/>
              <w:jc w:val="center"/>
              <w:rPr>
                <w:rFonts w:ascii="宋体" w:hAnsi="宋体"/>
                <w:sz w:val="24"/>
                <w:szCs w:val="24"/>
              </w:rPr>
            </w:pPr>
          </w:p>
        </w:tc>
      </w:tr>
    </w:tbl>
    <w:p w14:paraId="6D47E5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060D3"/>
    <w:multiLevelType w:val="multilevel"/>
    <w:tmpl w:val="395060D3"/>
    <w:lvl w:ilvl="0" w:tentative="0">
      <w:start w:val="1"/>
      <w:numFmt w:val="bullet"/>
      <w:pStyle w:val="2"/>
      <w:lvlText w:val=""/>
      <w:lvlJc w:val="left"/>
      <w:pPr>
        <w:tabs>
          <w:tab w:val="left" w:pos="562"/>
        </w:tabs>
        <w:ind w:left="562" w:hanging="420"/>
      </w:pPr>
      <w:rPr>
        <w:rFonts w:hint="default" w:ascii="Wingdings" w:hAnsi="Wingdings"/>
      </w:rPr>
    </w:lvl>
    <w:lvl w:ilvl="1" w:tentative="0">
      <w:start w:val="1"/>
      <w:numFmt w:val="bullet"/>
      <w:lvlText w:val=""/>
      <w:lvlJc w:val="left"/>
      <w:pPr>
        <w:tabs>
          <w:tab w:val="left" w:pos="982"/>
        </w:tabs>
        <w:ind w:left="982" w:hanging="420"/>
      </w:pPr>
      <w:rPr>
        <w:rFonts w:hint="default" w:ascii="Wingdings" w:hAnsi="Wingdings"/>
      </w:rPr>
    </w:lvl>
    <w:lvl w:ilvl="2" w:tentative="0">
      <w:start w:val="1"/>
      <w:numFmt w:val="bullet"/>
      <w:lvlText w:val=""/>
      <w:lvlJc w:val="left"/>
      <w:pPr>
        <w:tabs>
          <w:tab w:val="left" w:pos="1402"/>
        </w:tabs>
        <w:ind w:left="1402" w:hanging="420"/>
      </w:pPr>
      <w:rPr>
        <w:rFonts w:hint="default" w:ascii="Wingdings" w:hAnsi="Wingdings"/>
      </w:rPr>
    </w:lvl>
    <w:lvl w:ilvl="3" w:tentative="0">
      <w:start w:val="1"/>
      <w:numFmt w:val="bullet"/>
      <w:lvlText w:val=""/>
      <w:lvlJc w:val="left"/>
      <w:pPr>
        <w:tabs>
          <w:tab w:val="left" w:pos="1822"/>
        </w:tabs>
        <w:ind w:left="1822" w:hanging="420"/>
      </w:pPr>
      <w:rPr>
        <w:rFonts w:hint="default" w:ascii="Wingdings" w:hAnsi="Wingdings"/>
      </w:rPr>
    </w:lvl>
    <w:lvl w:ilvl="4" w:tentative="0">
      <w:start w:val="1"/>
      <w:numFmt w:val="bullet"/>
      <w:lvlText w:val=""/>
      <w:lvlJc w:val="left"/>
      <w:pPr>
        <w:tabs>
          <w:tab w:val="left" w:pos="2242"/>
        </w:tabs>
        <w:ind w:left="2242" w:hanging="420"/>
      </w:pPr>
      <w:rPr>
        <w:rFonts w:hint="default" w:ascii="Wingdings" w:hAnsi="Wingdings"/>
      </w:rPr>
    </w:lvl>
    <w:lvl w:ilvl="5" w:tentative="0">
      <w:start w:val="1"/>
      <w:numFmt w:val="bullet"/>
      <w:lvlText w:val=""/>
      <w:lvlJc w:val="left"/>
      <w:pPr>
        <w:tabs>
          <w:tab w:val="left" w:pos="2662"/>
        </w:tabs>
        <w:ind w:left="2662" w:hanging="420"/>
      </w:pPr>
      <w:rPr>
        <w:rFonts w:hint="default" w:ascii="Wingdings" w:hAnsi="Wingdings"/>
      </w:rPr>
    </w:lvl>
    <w:lvl w:ilvl="6" w:tentative="0">
      <w:start w:val="1"/>
      <w:numFmt w:val="bullet"/>
      <w:lvlText w:val=""/>
      <w:lvlJc w:val="left"/>
      <w:pPr>
        <w:tabs>
          <w:tab w:val="left" w:pos="3082"/>
        </w:tabs>
        <w:ind w:left="3082" w:hanging="420"/>
      </w:pPr>
      <w:rPr>
        <w:rFonts w:hint="default" w:ascii="Wingdings" w:hAnsi="Wingdings"/>
      </w:rPr>
    </w:lvl>
    <w:lvl w:ilvl="7" w:tentative="0">
      <w:start w:val="1"/>
      <w:numFmt w:val="bullet"/>
      <w:lvlText w:val=""/>
      <w:lvlJc w:val="left"/>
      <w:pPr>
        <w:tabs>
          <w:tab w:val="left" w:pos="3502"/>
        </w:tabs>
        <w:ind w:left="3502" w:hanging="420"/>
      </w:pPr>
      <w:rPr>
        <w:rFonts w:hint="default" w:ascii="Wingdings" w:hAnsi="Wingdings"/>
      </w:rPr>
    </w:lvl>
    <w:lvl w:ilvl="8" w:tentative="0">
      <w:start w:val="1"/>
      <w:numFmt w:val="bullet"/>
      <w:lvlText w:val=""/>
      <w:lvlJc w:val="left"/>
      <w:pPr>
        <w:tabs>
          <w:tab w:val="left" w:pos="3922"/>
        </w:tabs>
        <w:ind w:left="392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84D1C"/>
    <w:rsid w:val="0CB67574"/>
    <w:rsid w:val="18981030"/>
    <w:rsid w:val="19906026"/>
    <w:rsid w:val="20E9246E"/>
    <w:rsid w:val="43684D1C"/>
    <w:rsid w:val="5F984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1"/>
    <w:basedOn w:val="3"/>
    <w:next w:val="3"/>
    <w:autoRedefine/>
    <w:qFormat/>
    <w:uiPriority w:val="0"/>
    <w:pPr>
      <w:numPr>
        <w:ilvl w:val="0"/>
        <w:numId w:val="1"/>
      </w:numPr>
      <w:tabs>
        <w:tab w:val="left" w:pos="1800"/>
      </w:tabs>
      <w:spacing w:line="360" w:lineRule="auto"/>
    </w:pPr>
    <w:rPr>
      <w:rFonts w:ascii="宋体" w:hAnsi="宋体" w:cs="Arial"/>
      <w:szCs w:val="21"/>
    </w:rPr>
  </w:style>
  <w:style w:type="paragraph" w:customStyle="1" w:styleId="3">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rFonts w:eastAsia="宋体" w:asciiTheme="minorAscii" w:hAnsiTheme="minorAscii"/>
      <w:sz w:val="28"/>
    </w:rPr>
  </w:style>
  <w:style w:type="paragraph" w:customStyle="1" w:styleId="7">
    <w:name w:val="一级标题"/>
    <w:basedOn w:val="1"/>
    <w:qFormat/>
    <w:uiPriority w:val="0"/>
    <w:pPr>
      <w:spacing w:line="640" w:lineRule="exact"/>
      <w:jc w:val="center"/>
    </w:pPr>
    <w:rPr>
      <w:rFonts w:hint="eastAsia" w:ascii="方正小标宋_GBK" w:hAnsi="方正小标宋_GBK" w:eastAsia="方正小标宋_GBK" w:cs="方正小标宋_GBK"/>
      <w:sz w:val="44"/>
      <w:szCs w:val="44"/>
    </w:rPr>
  </w:style>
  <w:style w:type="paragraph" w:customStyle="1" w:styleId="8">
    <w:name w:val="二级标题"/>
    <w:basedOn w:val="1"/>
    <w:qFormat/>
    <w:uiPriority w:val="0"/>
    <w:pPr>
      <w:spacing w:line="600" w:lineRule="exact"/>
      <w:ind w:firstLine="0" w:firstLineChars="0"/>
    </w:pPr>
    <w:rPr>
      <w:rFonts w:hint="eastAsia" w:ascii="仿宋_GB2312" w:hAnsi="仿宋_GB2312" w:eastAsia="黑体" w:cs="仿宋_GB2312"/>
      <w:sz w:val="32"/>
      <w:szCs w:val="32"/>
    </w:rPr>
  </w:style>
  <w:style w:type="paragraph" w:customStyle="1" w:styleId="9">
    <w:name w:val="正文/三级标题"/>
    <w:basedOn w:val="1"/>
    <w:qFormat/>
    <w:uiPriority w:val="0"/>
    <w:pPr>
      <w:spacing w:line="600" w:lineRule="exact"/>
      <w:ind w:firstLine="640" w:firstLineChars="200"/>
    </w:pPr>
    <w:rPr>
      <w:rFonts w:hint="eastAsia" w:ascii="仿宋_GB2312" w:hAnsi="仿宋_GB2312" w:eastAsia="仿宋_GB2312" w:cs="仿宋_GB2312"/>
      <w:sz w:val="32"/>
      <w:szCs w:val="32"/>
    </w:rPr>
  </w:style>
  <w:style w:type="paragraph" w:styleId="10">
    <w:name w:val="List Paragraph"/>
    <w:basedOn w:val="1"/>
    <w:qFormat/>
    <w:uiPriority w:val="34"/>
    <w:pPr>
      <w:widowControl w:val="0"/>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828</Words>
  <Characters>842</Characters>
  <Lines>0</Lines>
  <Paragraphs>0</Paragraphs>
  <TotalTime>0</TotalTime>
  <ScaleCrop>false</ScaleCrop>
  <LinksUpToDate>false</LinksUpToDate>
  <CharactersWithSpaces>850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2026-03-20T08:09:00Z</dcterms:created>
  <dc:creator>晴天</dc:creator>
  <cp:lastModifiedBy>婷宝贝</cp:lastModifiedBy>
  <dcterms:modified xsi:type="dcterms:W3CDTF">2026-03-23T03:32:32Z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8FE9F07FBC48462298F502945F11A4C6_13</vt:lpwstr>
  </property>
  <property fmtid="{D5CDD505-2E9C-101B-9397-08002B2CF9AE}" pid="4" name="KSOTemplateDocerSaveRecord">
    <vt:lpwstr>eyJoZGlkIjoiYThhZDA4NmY5NDdmYzdlZjc1YzU2YjI2OTljZTY1ZmMiLCJ1c2VySWQiOiI0MTAzODY4NjMifQ==</vt:lpwstr>
  </property>
</Properties>
</file>