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A5D18">
      <w:pPr>
        <w:jc w:val="both"/>
        <w:rPr>
          <w:rFonts w:hint="eastAsia" w:ascii="方正小标宋_GBK" w:hAnsi="方正小标宋_GBK" w:eastAsia="方正小标宋_GBK" w:cs="方正小标宋_GBK"/>
          <w:color w:val="000000"/>
          <w:sz w:val="44"/>
          <w:szCs w:val="44"/>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2：</w:t>
      </w:r>
    </w:p>
    <w:p w14:paraId="4AFA129D">
      <w:p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比选评审标准</w:t>
      </w:r>
    </w:p>
    <w:tbl>
      <w:tblPr>
        <w:tblStyle w:val="15"/>
        <w:tblW w:w="9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760"/>
        <w:gridCol w:w="1323"/>
        <w:gridCol w:w="6192"/>
        <w:gridCol w:w="771"/>
      </w:tblGrid>
      <w:tr w14:paraId="0F068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00" w:hRule="atLeast"/>
        </w:trPr>
        <w:tc>
          <w:tcPr>
            <w:tcW w:w="760" w:type="dxa"/>
            <w:vAlign w:val="center"/>
          </w:tcPr>
          <w:p w14:paraId="6D6455E7">
            <w:pPr>
              <w:spacing w:before="0" w:after="0"/>
              <w:jc w:val="center"/>
            </w:pPr>
            <w:r>
              <w:rPr>
                <w:rFonts w:eastAsia="宋体"/>
                <w:b/>
                <w:sz w:val="24"/>
              </w:rPr>
              <w:t>序号</w:t>
            </w:r>
          </w:p>
        </w:tc>
        <w:tc>
          <w:tcPr>
            <w:tcW w:w="1323" w:type="dxa"/>
            <w:vAlign w:val="center"/>
          </w:tcPr>
          <w:p w14:paraId="74007AA9">
            <w:pPr>
              <w:spacing w:before="0" w:after="0"/>
              <w:jc w:val="center"/>
            </w:pPr>
            <w:r>
              <w:rPr>
                <w:rFonts w:eastAsia="宋体"/>
                <w:b/>
                <w:sz w:val="24"/>
              </w:rPr>
              <w:t>评审因素</w:t>
            </w:r>
          </w:p>
        </w:tc>
        <w:tc>
          <w:tcPr>
            <w:tcW w:w="6192" w:type="dxa"/>
            <w:vAlign w:val="center"/>
          </w:tcPr>
          <w:p w14:paraId="1011F029">
            <w:pPr>
              <w:spacing w:before="0" w:after="0"/>
              <w:jc w:val="center"/>
            </w:pPr>
            <w:r>
              <w:rPr>
                <w:rFonts w:eastAsia="宋体"/>
                <w:b/>
                <w:sz w:val="24"/>
              </w:rPr>
              <w:t>具体内容</w:t>
            </w:r>
          </w:p>
        </w:tc>
        <w:tc>
          <w:tcPr>
            <w:tcW w:w="771" w:type="dxa"/>
            <w:vAlign w:val="center"/>
          </w:tcPr>
          <w:p w14:paraId="14EB5B1D">
            <w:pPr>
              <w:spacing w:before="0" w:after="0"/>
              <w:jc w:val="center"/>
            </w:pPr>
            <w:r>
              <w:rPr>
                <w:rFonts w:eastAsia="宋体"/>
                <w:b/>
                <w:sz w:val="24"/>
              </w:rPr>
              <w:t>分值</w:t>
            </w:r>
          </w:p>
        </w:tc>
      </w:tr>
      <w:tr w14:paraId="67F2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00" w:hRule="atLeast"/>
        </w:trPr>
        <w:tc>
          <w:tcPr>
            <w:tcW w:w="760" w:type="dxa"/>
            <w:vAlign w:val="center"/>
          </w:tcPr>
          <w:p w14:paraId="5B36A182">
            <w:pPr>
              <w:spacing w:before="0" w:after="0"/>
              <w:jc w:val="center"/>
            </w:pPr>
            <w:r>
              <w:rPr>
                <w:rFonts w:eastAsia="宋体"/>
                <w:sz w:val="24"/>
              </w:rPr>
              <w:t>1</w:t>
            </w:r>
          </w:p>
        </w:tc>
        <w:tc>
          <w:tcPr>
            <w:tcW w:w="1323" w:type="dxa"/>
            <w:vAlign w:val="center"/>
          </w:tcPr>
          <w:p w14:paraId="520BBA5B">
            <w:pPr>
              <w:spacing w:before="0" w:after="0"/>
              <w:jc w:val="center"/>
            </w:pPr>
            <w:r>
              <w:rPr>
                <w:rFonts w:eastAsia="宋体"/>
                <w:sz w:val="24"/>
              </w:rPr>
              <w:t>价格</w:t>
            </w:r>
          </w:p>
        </w:tc>
        <w:tc>
          <w:tcPr>
            <w:tcW w:w="6192" w:type="dxa"/>
            <w:vAlign w:val="top"/>
          </w:tcPr>
          <w:p w14:paraId="76952122">
            <w:pPr>
              <w:spacing w:before="60" w:after="60" w:line="280" w:lineRule="auto"/>
            </w:pPr>
            <w:r>
              <w:rPr>
                <w:rFonts w:eastAsia="宋体"/>
                <w:sz w:val="21"/>
              </w:rPr>
              <w:t>价格分计算公式：某供应商价格分=（全部供应商中的最低报价/某供应商投标报价）×20分</w:t>
            </w:r>
          </w:p>
        </w:tc>
        <w:tc>
          <w:tcPr>
            <w:tcW w:w="771" w:type="dxa"/>
            <w:vAlign w:val="center"/>
          </w:tcPr>
          <w:p w14:paraId="33A3D109">
            <w:pPr>
              <w:spacing w:before="0" w:after="0"/>
              <w:jc w:val="center"/>
            </w:pPr>
            <w:r>
              <w:rPr>
                <w:rFonts w:eastAsia="宋体"/>
                <w:sz w:val="24"/>
              </w:rPr>
              <w:t>20</w:t>
            </w:r>
          </w:p>
        </w:tc>
      </w:tr>
      <w:tr w14:paraId="69CC1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400" w:hRule="atLeast"/>
        </w:trPr>
        <w:tc>
          <w:tcPr>
            <w:tcW w:w="760" w:type="dxa"/>
            <w:vAlign w:val="center"/>
          </w:tcPr>
          <w:p w14:paraId="0454966D">
            <w:pPr>
              <w:spacing w:before="0" w:after="0"/>
              <w:jc w:val="center"/>
            </w:pPr>
            <w:r>
              <w:rPr>
                <w:rFonts w:eastAsia="宋体"/>
                <w:sz w:val="24"/>
              </w:rPr>
              <w:t>2</w:t>
            </w:r>
          </w:p>
        </w:tc>
        <w:tc>
          <w:tcPr>
            <w:tcW w:w="1323" w:type="dxa"/>
            <w:vAlign w:val="center"/>
          </w:tcPr>
          <w:p w14:paraId="7C625E19">
            <w:pPr>
              <w:spacing w:before="0" w:after="0"/>
              <w:jc w:val="center"/>
            </w:pPr>
            <w:r>
              <w:rPr>
                <w:rFonts w:eastAsia="宋体"/>
                <w:sz w:val="24"/>
              </w:rPr>
              <w:t>服务方案</w:t>
            </w:r>
          </w:p>
        </w:tc>
        <w:tc>
          <w:tcPr>
            <w:tcW w:w="6192" w:type="dxa"/>
            <w:vAlign w:val="top"/>
          </w:tcPr>
          <w:p w14:paraId="4E709F6B">
            <w:pPr>
              <w:spacing w:before="60" w:after="60" w:line="280" w:lineRule="auto"/>
            </w:pPr>
            <w:r>
              <w:rPr>
                <w:rFonts w:eastAsia="宋体"/>
                <w:sz w:val="21"/>
              </w:rPr>
              <w:t>供应商根据本项目资产盘点和加强资产管理工作要求编制资产盘点服务工作方案（包括但不限于项目组织安排、人员安排、完成任务的质量标准描述、确保按时高质完成资产盘点任务和加强资产管理工作的措施、加强廉政工作纪律措施等），评标委员会各成员对各供应商提交的方案分档打分。</w:t>
            </w:r>
          </w:p>
          <w:p w14:paraId="240B353C">
            <w:pPr>
              <w:spacing w:before="60" w:after="60" w:line="280" w:lineRule="auto"/>
            </w:pPr>
            <w:r>
              <w:rPr>
                <w:rFonts w:eastAsia="宋体"/>
                <w:sz w:val="21"/>
              </w:rPr>
              <w:t>一档（5分）：方案简单，内容不完整，缺乏针对性</w:t>
            </w:r>
            <w:r>
              <w:rPr>
                <w:rFonts w:hint="eastAsia"/>
                <w:sz w:val="21"/>
                <w:lang w:eastAsia="zh-CN"/>
              </w:rPr>
              <w:t>，</w:t>
            </w:r>
            <w:r>
              <w:rPr>
                <w:rFonts w:hint="eastAsia"/>
                <w:sz w:val="21"/>
                <w:lang w:val="en-US" w:eastAsia="zh-CN"/>
              </w:rPr>
              <w:t>勉强</w:t>
            </w:r>
            <w:r>
              <w:rPr>
                <w:rFonts w:eastAsia="宋体"/>
                <w:sz w:val="21"/>
              </w:rPr>
              <w:t>满足采购需求。</w:t>
            </w:r>
          </w:p>
          <w:p w14:paraId="7AB05316">
            <w:pPr>
              <w:spacing w:before="60" w:after="60" w:line="280" w:lineRule="auto"/>
            </w:pPr>
            <w:r>
              <w:rPr>
                <w:rFonts w:eastAsia="宋体"/>
                <w:sz w:val="21"/>
              </w:rPr>
              <w:t>二档（15分）：方案基本完整，</w:t>
            </w:r>
            <w:r>
              <w:rPr>
                <w:rFonts w:hint="eastAsia"/>
                <w:sz w:val="21"/>
                <w:lang w:val="en-US" w:eastAsia="zh-CN"/>
              </w:rPr>
              <w:t>简单贴合本项目需求，有基础盘点、核对、人员安排等内容，关键实操细节（如</w:t>
            </w:r>
            <w:r>
              <w:rPr>
                <w:rFonts w:hint="eastAsia"/>
                <w:sz w:val="21"/>
              </w:rPr>
              <w:t>盘点时效、照片规格、台账字段、误差容错率</w:t>
            </w:r>
            <w:r>
              <w:rPr>
                <w:rFonts w:hint="eastAsia"/>
                <w:sz w:val="21"/>
                <w:lang w:eastAsia="zh-CN"/>
              </w:rPr>
              <w:t>、</w:t>
            </w:r>
            <w:r>
              <w:rPr>
                <w:rFonts w:hint="eastAsia"/>
                <w:sz w:val="21"/>
                <w:lang w:val="en-US" w:eastAsia="zh-CN"/>
              </w:rPr>
              <w:t>问题判断依据等）</w:t>
            </w:r>
            <w:r>
              <w:rPr>
                <w:rFonts w:eastAsia="宋体"/>
                <w:sz w:val="21"/>
              </w:rPr>
              <w:t>描述不够详细</w:t>
            </w:r>
            <w:r>
              <w:rPr>
                <w:rFonts w:hint="eastAsia"/>
                <w:sz w:val="21"/>
                <w:lang w:eastAsia="zh-CN"/>
              </w:rPr>
              <w:t>，</w:t>
            </w:r>
            <w:r>
              <w:rPr>
                <w:rFonts w:hint="eastAsia"/>
                <w:sz w:val="21"/>
                <w:lang w:val="en-US" w:eastAsia="zh-CN"/>
              </w:rPr>
              <w:t>基本满足采购需求</w:t>
            </w:r>
            <w:r>
              <w:rPr>
                <w:rFonts w:eastAsia="宋体"/>
                <w:sz w:val="21"/>
              </w:rPr>
              <w:t>。</w:t>
            </w:r>
          </w:p>
          <w:p w14:paraId="1E38A3F1">
            <w:pPr>
              <w:spacing w:before="60" w:after="60" w:line="280" w:lineRule="auto"/>
            </w:pPr>
            <w:r>
              <w:rPr>
                <w:rFonts w:eastAsia="宋体"/>
                <w:sz w:val="21"/>
              </w:rPr>
              <w:t>三档（25分）：方案内容完整，</w:t>
            </w:r>
            <w:r>
              <w:rPr>
                <w:rFonts w:hint="eastAsia"/>
                <w:sz w:val="21"/>
                <w:lang w:val="en-US" w:eastAsia="zh-CN"/>
              </w:rPr>
              <w:t>对广西行政事业单位国资系统与实验仪器盘点等方面</w:t>
            </w:r>
            <w:r>
              <w:rPr>
                <w:rFonts w:eastAsia="宋体"/>
                <w:sz w:val="21"/>
              </w:rPr>
              <w:t>针对性强，</w:t>
            </w:r>
            <w:r>
              <w:rPr>
                <w:rFonts w:hint="eastAsia"/>
                <w:sz w:val="21"/>
                <w:lang w:val="en-US" w:eastAsia="zh-CN"/>
              </w:rPr>
              <w:t>关键实操细节（如</w:t>
            </w:r>
            <w:r>
              <w:rPr>
                <w:rFonts w:hint="eastAsia"/>
                <w:sz w:val="21"/>
              </w:rPr>
              <w:t>盘点时效、照片规格、台账字段、误差容错率</w:t>
            </w:r>
            <w:r>
              <w:rPr>
                <w:rFonts w:hint="eastAsia"/>
                <w:sz w:val="21"/>
                <w:lang w:eastAsia="zh-CN"/>
              </w:rPr>
              <w:t>、</w:t>
            </w:r>
            <w:r>
              <w:rPr>
                <w:rFonts w:hint="eastAsia"/>
                <w:sz w:val="21"/>
                <w:lang w:val="en-US" w:eastAsia="zh-CN"/>
              </w:rPr>
              <w:t>问题判断依据等）描述清晰具体可落地</w:t>
            </w:r>
            <w:r>
              <w:rPr>
                <w:rFonts w:eastAsia="宋体"/>
                <w:sz w:val="21"/>
              </w:rPr>
              <w:t>，</w:t>
            </w:r>
            <w:r>
              <w:rPr>
                <w:rFonts w:hint="eastAsia"/>
                <w:sz w:val="21"/>
                <w:lang w:val="en-US" w:eastAsia="zh-CN"/>
              </w:rPr>
              <w:t>包含质量控制、工期、人员分工、廉政保密措施等内容</w:t>
            </w:r>
            <w:r>
              <w:rPr>
                <w:rFonts w:eastAsia="宋体"/>
                <w:sz w:val="21"/>
              </w:rPr>
              <w:t>能较好地满足采购需求。</w:t>
            </w:r>
          </w:p>
          <w:p w14:paraId="1F48627D">
            <w:pPr>
              <w:spacing w:before="60" w:after="60" w:line="280" w:lineRule="auto"/>
              <w:rPr>
                <w:rFonts w:hint="eastAsia"/>
                <w:sz w:val="21"/>
                <w:lang w:val="en-US" w:eastAsia="zh-CN"/>
              </w:rPr>
            </w:pPr>
            <w:r>
              <w:rPr>
                <w:rFonts w:eastAsia="宋体"/>
                <w:sz w:val="21"/>
              </w:rPr>
              <w:t>四档（30分）：</w:t>
            </w:r>
            <w:r>
              <w:rPr>
                <w:rFonts w:hint="eastAsia"/>
                <w:sz w:val="21"/>
                <w:lang w:val="en-US" w:eastAsia="zh-CN"/>
              </w:rPr>
              <w:t>在三档的基础上</w:t>
            </w:r>
            <w:r>
              <w:rPr>
                <w:rFonts w:eastAsia="宋体"/>
                <w:sz w:val="21"/>
              </w:rPr>
              <w:t>，</w:t>
            </w:r>
            <w:r>
              <w:rPr>
                <w:rFonts w:hint="eastAsia"/>
                <w:sz w:val="21"/>
                <w:lang w:val="en-US" w:eastAsia="zh-CN"/>
              </w:rPr>
              <w:t>提出资产盘点或资产管理工作（如优化盘点溯源、快速对账、长效资产管理机制等方面）的创新思路。</w:t>
            </w:r>
          </w:p>
          <w:p w14:paraId="574BCED5">
            <w:pPr>
              <w:spacing w:before="60" w:after="60" w:line="280" w:lineRule="auto"/>
            </w:pPr>
            <w:r>
              <w:rPr>
                <w:rFonts w:hint="eastAsia"/>
                <w:sz w:val="21"/>
                <w:lang w:val="en-US" w:eastAsia="zh-CN"/>
              </w:rPr>
              <w:t>备注：供应商需提供相关服务方案供评分，未提供的不得分。</w:t>
            </w:r>
          </w:p>
        </w:tc>
        <w:tc>
          <w:tcPr>
            <w:tcW w:w="771" w:type="dxa"/>
            <w:vAlign w:val="center"/>
          </w:tcPr>
          <w:p w14:paraId="33BA7782">
            <w:pPr>
              <w:spacing w:before="0" w:after="0"/>
              <w:jc w:val="center"/>
            </w:pPr>
            <w:r>
              <w:rPr>
                <w:rFonts w:eastAsia="宋体"/>
                <w:sz w:val="24"/>
              </w:rPr>
              <w:t>30</w:t>
            </w:r>
          </w:p>
        </w:tc>
      </w:tr>
      <w:tr w14:paraId="4953B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00" w:hRule="atLeast"/>
        </w:trPr>
        <w:tc>
          <w:tcPr>
            <w:tcW w:w="760" w:type="dxa"/>
            <w:vAlign w:val="center"/>
          </w:tcPr>
          <w:p w14:paraId="28567946">
            <w:pPr>
              <w:spacing w:before="0" w:after="0"/>
              <w:jc w:val="center"/>
            </w:pPr>
            <w:r>
              <w:rPr>
                <w:rFonts w:eastAsia="宋体"/>
                <w:sz w:val="24"/>
              </w:rPr>
              <w:t>3</w:t>
            </w:r>
          </w:p>
        </w:tc>
        <w:tc>
          <w:tcPr>
            <w:tcW w:w="1323" w:type="dxa"/>
            <w:vAlign w:val="center"/>
          </w:tcPr>
          <w:p w14:paraId="07A793A7">
            <w:pPr>
              <w:spacing w:before="0" w:after="0"/>
              <w:jc w:val="center"/>
            </w:pPr>
            <w:r>
              <w:rPr>
                <w:rFonts w:eastAsia="宋体"/>
                <w:sz w:val="24"/>
              </w:rPr>
              <w:t>服务承诺</w:t>
            </w:r>
          </w:p>
        </w:tc>
        <w:tc>
          <w:tcPr>
            <w:tcW w:w="6192" w:type="dxa"/>
            <w:vAlign w:val="top"/>
          </w:tcPr>
          <w:p w14:paraId="5BD7F399">
            <w:pPr>
              <w:spacing w:before="60" w:after="60" w:line="280" w:lineRule="auto"/>
            </w:pPr>
            <w:r>
              <w:rPr>
                <w:rFonts w:eastAsia="宋体"/>
                <w:sz w:val="21"/>
              </w:rPr>
              <w:t>一档（3分）：服务承诺方案不完整，</w:t>
            </w:r>
            <w:r>
              <w:rPr>
                <w:rFonts w:hint="eastAsia"/>
                <w:sz w:val="21"/>
                <w:lang w:val="en-US" w:eastAsia="zh-CN"/>
              </w:rPr>
              <w:t>仅为通用模板化表述，</w:t>
            </w:r>
            <w:r>
              <w:rPr>
                <w:rFonts w:eastAsia="宋体"/>
                <w:sz w:val="21"/>
              </w:rPr>
              <w:t>缺少关键承诺内容</w:t>
            </w:r>
            <w:r>
              <w:rPr>
                <w:rFonts w:hint="eastAsia"/>
                <w:sz w:val="21"/>
                <w:lang w:eastAsia="zh-CN"/>
              </w:rPr>
              <w:t>（</w:t>
            </w:r>
            <w:r>
              <w:rPr>
                <w:rFonts w:hint="eastAsia"/>
                <w:sz w:val="21"/>
                <w:lang w:val="en-US" w:eastAsia="zh-CN"/>
              </w:rPr>
              <w:t>如</w:t>
            </w:r>
            <w:r>
              <w:rPr>
                <w:rFonts w:eastAsia="宋体"/>
                <w:sz w:val="21"/>
              </w:rPr>
              <w:t>完成时间、服务态度、报告质量</w:t>
            </w:r>
            <w:r>
              <w:rPr>
                <w:rFonts w:hint="eastAsia"/>
                <w:sz w:val="21"/>
                <w:lang w:eastAsia="zh-CN"/>
              </w:rPr>
              <w:t>、</w:t>
            </w:r>
            <w:r>
              <w:rPr>
                <w:rFonts w:hint="eastAsia"/>
                <w:sz w:val="21"/>
                <w:lang w:val="en-US" w:eastAsia="zh-CN"/>
              </w:rPr>
              <w:t>廉洁纪律等</w:t>
            </w:r>
            <w:r>
              <w:rPr>
                <w:rFonts w:hint="eastAsia"/>
                <w:sz w:val="21"/>
                <w:lang w:eastAsia="zh-CN"/>
              </w:rPr>
              <w:t>）</w:t>
            </w:r>
            <w:r>
              <w:rPr>
                <w:rFonts w:eastAsia="宋体"/>
                <w:sz w:val="21"/>
              </w:rPr>
              <w:t>。</w:t>
            </w:r>
          </w:p>
          <w:p w14:paraId="5A78B760">
            <w:pPr>
              <w:spacing w:before="60" w:after="60" w:line="280" w:lineRule="auto"/>
            </w:pPr>
            <w:r>
              <w:rPr>
                <w:rFonts w:eastAsia="宋体"/>
                <w:sz w:val="21"/>
              </w:rPr>
              <w:t>二档（8分）：服务承诺方案基本完整，</w:t>
            </w:r>
            <w:r>
              <w:rPr>
                <w:rFonts w:hint="eastAsia"/>
                <w:sz w:val="21"/>
                <w:lang w:val="en-US" w:eastAsia="zh-CN"/>
              </w:rPr>
              <w:t>覆盖基础服务事项，仅对</w:t>
            </w:r>
            <w:r>
              <w:rPr>
                <w:rFonts w:eastAsia="宋体"/>
                <w:sz w:val="21"/>
              </w:rPr>
              <w:t>完成时间、服务态度、报告质量</w:t>
            </w:r>
            <w:r>
              <w:rPr>
                <w:rFonts w:hint="eastAsia"/>
                <w:sz w:val="21"/>
                <w:lang w:eastAsia="zh-CN"/>
              </w:rPr>
              <w:t>、</w:t>
            </w:r>
            <w:r>
              <w:rPr>
                <w:rFonts w:hint="eastAsia"/>
                <w:sz w:val="21"/>
                <w:lang w:val="en-US" w:eastAsia="zh-CN"/>
              </w:rPr>
              <w:t>廉洁纪律</w:t>
            </w:r>
            <w:r>
              <w:rPr>
                <w:rFonts w:eastAsia="宋体"/>
                <w:sz w:val="21"/>
              </w:rPr>
              <w:t>等</w:t>
            </w:r>
            <w:r>
              <w:rPr>
                <w:rFonts w:hint="eastAsia"/>
                <w:sz w:val="21"/>
                <w:lang w:val="en-US" w:eastAsia="zh-CN"/>
              </w:rPr>
              <w:t>作出</w:t>
            </w:r>
            <w:r>
              <w:rPr>
                <w:rFonts w:eastAsia="宋体"/>
                <w:sz w:val="21"/>
              </w:rPr>
              <w:t>基本承诺。</w:t>
            </w:r>
          </w:p>
          <w:p w14:paraId="20CF9DB6">
            <w:pPr>
              <w:spacing w:before="60" w:after="60" w:line="280" w:lineRule="auto"/>
            </w:pPr>
            <w:r>
              <w:rPr>
                <w:rFonts w:eastAsia="宋体"/>
                <w:sz w:val="21"/>
              </w:rPr>
              <w:t>三档（12分）：服务承诺方案完整，包含完成时间、盘点步骤、盘点深度、目标实现、服务态度、报告质量、廉洁</w:t>
            </w:r>
            <w:r>
              <w:rPr>
                <w:rFonts w:hint="eastAsia"/>
                <w:sz w:val="21"/>
                <w:lang w:val="en-US" w:eastAsia="zh-CN"/>
              </w:rPr>
              <w:t>纪律</w:t>
            </w:r>
            <w:r>
              <w:rPr>
                <w:rFonts w:eastAsia="宋体"/>
                <w:sz w:val="21"/>
              </w:rPr>
              <w:t>等具体内容</w:t>
            </w:r>
            <w:r>
              <w:rPr>
                <w:rFonts w:hint="eastAsia"/>
                <w:sz w:val="21"/>
                <w:lang w:eastAsia="zh-CN"/>
              </w:rPr>
              <w:t>，</w:t>
            </w:r>
            <w:r>
              <w:rPr>
                <w:rFonts w:hint="eastAsia"/>
                <w:sz w:val="21"/>
                <w:lang w:val="en-US" w:eastAsia="zh-CN"/>
              </w:rPr>
              <w:t>有专人对接服务，承诺落实专人负责日常工作对接，以及在工期内对每日工作完成情况进行汇报</w:t>
            </w:r>
            <w:r>
              <w:rPr>
                <w:rFonts w:eastAsia="宋体"/>
                <w:sz w:val="21"/>
              </w:rPr>
              <w:t>。</w:t>
            </w:r>
          </w:p>
          <w:p w14:paraId="2988BBFC">
            <w:pPr>
              <w:spacing w:before="60" w:after="60" w:line="280" w:lineRule="auto"/>
              <w:rPr>
                <w:rFonts w:hint="eastAsia"/>
                <w:sz w:val="21"/>
                <w:lang w:val="en-US" w:eastAsia="zh-CN"/>
              </w:rPr>
            </w:pPr>
            <w:r>
              <w:rPr>
                <w:rFonts w:eastAsia="宋体"/>
                <w:sz w:val="21"/>
              </w:rPr>
              <w:t>四档（15分）：</w:t>
            </w:r>
            <w:r>
              <w:rPr>
                <w:rFonts w:hint="eastAsia"/>
                <w:sz w:val="21"/>
                <w:lang w:val="en-US" w:eastAsia="zh-CN"/>
              </w:rPr>
              <w:t>在三档的基础上，</w:t>
            </w:r>
            <w:r>
              <w:rPr>
                <w:rFonts w:eastAsia="宋体"/>
                <w:sz w:val="21"/>
              </w:rPr>
              <w:t>各项承诺内容量化可考核，</w:t>
            </w:r>
            <w:r>
              <w:rPr>
                <w:rFonts w:hint="eastAsia"/>
                <w:sz w:val="21"/>
                <w:lang w:val="en-US" w:eastAsia="zh-CN"/>
              </w:rPr>
              <w:t>无模糊表述，部分承诺贴合环科院精密实验设备、专项资产盘点的特殊性，具备针对性优化措施。</w:t>
            </w:r>
          </w:p>
          <w:p w14:paraId="4FB5C188">
            <w:pPr>
              <w:spacing w:before="60" w:after="60" w:line="280" w:lineRule="auto"/>
            </w:pPr>
            <w:r>
              <w:rPr>
                <w:rFonts w:hint="eastAsia"/>
                <w:sz w:val="21"/>
                <w:lang w:val="en-US" w:eastAsia="zh-CN"/>
              </w:rPr>
              <w:t>备注：供应商需提供相关服务承诺供评分，不提供的不得分。</w:t>
            </w:r>
          </w:p>
        </w:tc>
        <w:tc>
          <w:tcPr>
            <w:tcW w:w="771" w:type="dxa"/>
            <w:vAlign w:val="center"/>
          </w:tcPr>
          <w:p w14:paraId="7B9B6D22">
            <w:pPr>
              <w:spacing w:before="0" w:after="0"/>
              <w:jc w:val="center"/>
            </w:pPr>
            <w:r>
              <w:rPr>
                <w:rFonts w:eastAsia="宋体"/>
                <w:sz w:val="24"/>
              </w:rPr>
              <w:t>15</w:t>
            </w:r>
          </w:p>
        </w:tc>
      </w:tr>
      <w:tr w14:paraId="31DA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00" w:hRule="atLeast"/>
        </w:trPr>
        <w:tc>
          <w:tcPr>
            <w:tcW w:w="760" w:type="dxa"/>
            <w:vAlign w:val="center"/>
          </w:tcPr>
          <w:p w14:paraId="70A80406">
            <w:pPr>
              <w:spacing w:before="0" w:after="0"/>
              <w:jc w:val="center"/>
            </w:pPr>
            <w:r>
              <w:rPr>
                <w:rFonts w:eastAsia="宋体"/>
                <w:sz w:val="24"/>
              </w:rPr>
              <w:t>4</w:t>
            </w:r>
          </w:p>
        </w:tc>
        <w:tc>
          <w:tcPr>
            <w:tcW w:w="1323" w:type="dxa"/>
            <w:vAlign w:val="center"/>
          </w:tcPr>
          <w:p w14:paraId="60A85B38">
            <w:pPr>
              <w:spacing w:before="0" w:after="0"/>
              <w:jc w:val="center"/>
            </w:pPr>
            <w:r>
              <w:rPr>
                <w:rFonts w:eastAsia="宋体"/>
                <w:sz w:val="24"/>
              </w:rPr>
              <w:t>人员配备</w:t>
            </w:r>
          </w:p>
        </w:tc>
        <w:tc>
          <w:tcPr>
            <w:tcW w:w="6192" w:type="dxa"/>
            <w:vAlign w:val="top"/>
          </w:tcPr>
          <w:p w14:paraId="5BFA7837">
            <w:pPr>
              <w:spacing w:before="60" w:after="60" w:line="280" w:lineRule="auto"/>
            </w:pPr>
            <w:r>
              <w:rPr>
                <w:rFonts w:eastAsia="宋体"/>
                <w:sz w:val="21"/>
              </w:rPr>
              <w:t>（1）人员数量（8分）：拟投入本项目人员2人（含2人）得4分；3人得6分；4人及以上得8分。</w:t>
            </w:r>
          </w:p>
          <w:p w14:paraId="5507EBDD">
            <w:pPr>
              <w:spacing w:before="60" w:after="60" w:line="280" w:lineRule="auto"/>
            </w:pPr>
            <w:r>
              <w:rPr>
                <w:rFonts w:eastAsia="宋体"/>
                <w:sz w:val="21"/>
              </w:rPr>
              <w:t>（2）项目负责人资质（6分）：具有5年及以上注册会计师（或高级会计师）执业资格得3分；具有高级经济师职称加2分；具有资产评估师资格加1分。</w:t>
            </w:r>
          </w:p>
          <w:p w14:paraId="44F77FE8">
            <w:pPr>
              <w:spacing w:before="60" w:after="60" w:line="280" w:lineRule="auto"/>
              <w:rPr>
                <w:rFonts w:eastAsia="宋体"/>
                <w:sz w:val="21"/>
              </w:rPr>
            </w:pPr>
            <w:r>
              <w:rPr>
                <w:rFonts w:eastAsia="宋体"/>
                <w:sz w:val="21"/>
              </w:rPr>
              <w:t>（3）团队成员资质（6分）：拟投入人员（除项目负责人外）为注册会计师（或高级会计师或资产评估师）的，每人得2分。</w:t>
            </w:r>
            <w:r>
              <w:rPr>
                <w:rFonts w:hint="eastAsia" w:eastAsia="宋体"/>
                <w:sz w:val="21"/>
                <w:lang w:val="en-US" w:eastAsia="zh-CN"/>
              </w:rPr>
              <w:t>团队成员如满足中级职称的也可以给与加分，如会计、审计、经济、资产评估等专业满足中级职称的，每有1人得1分</w:t>
            </w:r>
            <w:r>
              <w:rPr>
                <w:rFonts w:hint="eastAsia"/>
                <w:sz w:val="21"/>
                <w:lang w:val="en-US" w:eastAsia="zh-CN"/>
              </w:rPr>
              <w:t>，</w:t>
            </w:r>
            <w:bookmarkStart w:id="0" w:name="_GoBack"/>
            <w:bookmarkEnd w:id="0"/>
            <w:r>
              <w:rPr>
                <w:rFonts w:eastAsia="宋体"/>
                <w:sz w:val="21"/>
              </w:rPr>
              <w:t>最高得6分</w:t>
            </w:r>
          </w:p>
          <w:p w14:paraId="013AD3BB">
            <w:pPr>
              <w:spacing w:before="60" w:after="60" w:line="280" w:lineRule="auto"/>
              <w:rPr>
                <w:rFonts w:eastAsia="宋体"/>
                <w:sz w:val="21"/>
              </w:rPr>
            </w:pPr>
            <w:r>
              <w:rPr>
                <w:rFonts w:eastAsia="宋体"/>
                <w:sz w:val="21"/>
              </w:rPr>
              <w:t>注：</w:t>
            </w:r>
            <w:r>
              <w:rPr>
                <w:rFonts w:hint="eastAsia"/>
                <w:sz w:val="21"/>
                <w:lang w:val="en-US" w:eastAsia="zh-CN"/>
              </w:rPr>
              <w:t>1、</w:t>
            </w:r>
            <w:r>
              <w:rPr>
                <w:rFonts w:eastAsia="宋体"/>
                <w:sz w:val="21"/>
              </w:rPr>
              <w:t>供应商未经采购人同意，成交供应商不得随意更换资产盘点人员。</w:t>
            </w:r>
          </w:p>
          <w:p w14:paraId="5EC23B23">
            <w:pPr>
              <w:spacing w:before="60" w:after="60" w:line="280" w:lineRule="auto"/>
              <w:rPr>
                <w:rFonts w:hint="default" w:eastAsia="宋体"/>
                <w:sz w:val="21"/>
                <w:lang w:val="en-US" w:eastAsia="zh-CN"/>
              </w:rPr>
            </w:pPr>
            <w:r>
              <w:rPr>
                <w:rFonts w:hint="eastAsia"/>
                <w:sz w:val="21"/>
                <w:lang w:val="en-US" w:eastAsia="zh-CN"/>
              </w:rPr>
              <w:t>2、供应商需提供拟投入本项目人员一览表，并标注各人员与本评分项相关内容信息，以及相关证件等佐证材料，未提供的不得分。</w:t>
            </w:r>
          </w:p>
        </w:tc>
        <w:tc>
          <w:tcPr>
            <w:tcW w:w="771" w:type="dxa"/>
            <w:vAlign w:val="center"/>
          </w:tcPr>
          <w:p w14:paraId="7C7938F4">
            <w:pPr>
              <w:spacing w:before="0" w:after="0"/>
              <w:jc w:val="center"/>
            </w:pPr>
            <w:r>
              <w:rPr>
                <w:rFonts w:eastAsia="宋体"/>
                <w:sz w:val="24"/>
              </w:rPr>
              <w:t>20</w:t>
            </w:r>
          </w:p>
        </w:tc>
      </w:tr>
      <w:tr w14:paraId="298E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00" w:hRule="atLeast"/>
        </w:trPr>
        <w:tc>
          <w:tcPr>
            <w:tcW w:w="760" w:type="dxa"/>
            <w:vAlign w:val="center"/>
          </w:tcPr>
          <w:p w14:paraId="49EF703D">
            <w:pPr>
              <w:spacing w:before="0" w:after="0"/>
              <w:jc w:val="center"/>
            </w:pPr>
            <w:r>
              <w:rPr>
                <w:rFonts w:eastAsia="宋体"/>
                <w:sz w:val="24"/>
              </w:rPr>
              <w:t>5</w:t>
            </w:r>
          </w:p>
        </w:tc>
        <w:tc>
          <w:tcPr>
            <w:tcW w:w="1323" w:type="dxa"/>
            <w:vAlign w:val="center"/>
          </w:tcPr>
          <w:p w14:paraId="3A27CC30">
            <w:pPr>
              <w:spacing w:before="0" w:after="0"/>
              <w:jc w:val="center"/>
            </w:pPr>
            <w:r>
              <w:rPr>
                <w:rFonts w:eastAsia="宋体"/>
                <w:sz w:val="24"/>
              </w:rPr>
              <w:t>业绩</w:t>
            </w:r>
          </w:p>
        </w:tc>
        <w:tc>
          <w:tcPr>
            <w:tcW w:w="6192" w:type="dxa"/>
            <w:vAlign w:val="top"/>
          </w:tcPr>
          <w:p w14:paraId="16E40444">
            <w:pPr>
              <w:spacing w:before="60" w:after="60" w:line="280" w:lineRule="auto"/>
            </w:pPr>
            <w:r>
              <w:rPr>
                <w:rFonts w:hint="eastAsia"/>
                <w:sz w:val="21"/>
                <w:lang w:val="en-US" w:eastAsia="zh-CN"/>
              </w:rPr>
              <w:t>自2023年1月</w:t>
            </w:r>
            <w:r>
              <w:rPr>
                <w:rFonts w:eastAsia="宋体"/>
                <w:sz w:val="21"/>
              </w:rPr>
              <w:t>至</w:t>
            </w:r>
            <w:r>
              <w:rPr>
                <w:rFonts w:hint="eastAsia"/>
                <w:sz w:val="21"/>
                <w:lang w:val="en-US" w:eastAsia="zh-CN"/>
              </w:rPr>
              <w:t>今</w:t>
            </w:r>
            <w:r>
              <w:rPr>
                <w:rFonts w:eastAsia="宋体"/>
                <w:sz w:val="21"/>
              </w:rPr>
              <w:t>，供应商或项目负责人</w:t>
            </w:r>
            <w:r>
              <w:rPr>
                <w:rFonts w:hint="eastAsia"/>
                <w:sz w:val="21"/>
                <w:lang w:val="en-US" w:eastAsia="zh-CN"/>
              </w:rPr>
              <w:t>具有</w:t>
            </w:r>
            <w:r>
              <w:rPr>
                <w:rFonts w:eastAsia="宋体"/>
                <w:sz w:val="21"/>
              </w:rPr>
              <w:t>完成资产盘点、资产清查、财务审计等相关项目</w:t>
            </w:r>
            <w:r>
              <w:rPr>
                <w:rFonts w:hint="eastAsia"/>
                <w:sz w:val="21"/>
                <w:lang w:val="en-US" w:eastAsia="zh-CN"/>
              </w:rPr>
              <w:t>业绩</w:t>
            </w:r>
            <w:r>
              <w:rPr>
                <w:rFonts w:eastAsia="宋体"/>
                <w:sz w:val="21"/>
              </w:rPr>
              <w:t>的，每项</w:t>
            </w:r>
            <w:r>
              <w:rPr>
                <w:rFonts w:hint="eastAsia"/>
                <w:sz w:val="21"/>
                <w:lang w:val="en-US" w:eastAsia="zh-CN"/>
              </w:rPr>
              <w:t>得</w:t>
            </w:r>
            <w:r>
              <w:rPr>
                <w:rFonts w:eastAsia="宋体"/>
                <w:sz w:val="21"/>
              </w:rPr>
              <w:t>3分，</w:t>
            </w:r>
            <w:r>
              <w:rPr>
                <w:rFonts w:hint="eastAsia"/>
                <w:sz w:val="21"/>
                <w:lang w:val="en-US" w:eastAsia="zh-CN"/>
              </w:rPr>
              <w:t>本项满分</w:t>
            </w:r>
            <w:r>
              <w:rPr>
                <w:rFonts w:eastAsia="宋体"/>
                <w:sz w:val="21"/>
              </w:rPr>
              <w:t>15分。</w:t>
            </w:r>
          </w:p>
          <w:p w14:paraId="43C62093">
            <w:pPr>
              <w:spacing w:before="60" w:after="60" w:line="280" w:lineRule="auto"/>
            </w:pPr>
            <w:r>
              <w:rPr>
                <w:rFonts w:hint="eastAsia"/>
                <w:sz w:val="21"/>
                <w:lang w:val="en-US" w:eastAsia="zh-CN"/>
              </w:rPr>
              <w:t>备注：供应商需</w:t>
            </w:r>
            <w:r>
              <w:rPr>
                <w:rFonts w:eastAsia="宋体"/>
                <w:sz w:val="21"/>
              </w:rPr>
              <w:t>提供</w:t>
            </w:r>
            <w:r>
              <w:rPr>
                <w:rFonts w:hint="eastAsia"/>
                <w:sz w:val="21"/>
                <w:lang w:val="en-US" w:eastAsia="zh-CN"/>
              </w:rPr>
              <w:t>业绩相关的</w:t>
            </w:r>
            <w:r>
              <w:rPr>
                <w:rFonts w:eastAsia="宋体"/>
                <w:sz w:val="21"/>
              </w:rPr>
              <w:t>合同复印件，不提供</w:t>
            </w:r>
            <w:r>
              <w:rPr>
                <w:rFonts w:hint="eastAsia"/>
                <w:sz w:val="21"/>
                <w:lang w:val="en-US" w:eastAsia="zh-CN"/>
              </w:rPr>
              <w:t>的</w:t>
            </w:r>
            <w:r>
              <w:rPr>
                <w:rFonts w:eastAsia="宋体"/>
                <w:sz w:val="21"/>
              </w:rPr>
              <w:t>不得分。</w:t>
            </w:r>
          </w:p>
        </w:tc>
        <w:tc>
          <w:tcPr>
            <w:tcW w:w="771" w:type="dxa"/>
            <w:vAlign w:val="center"/>
          </w:tcPr>
          <w:p w14:paraId="61A9823B">
            <w:pPr>
              <w:spacing w:before="0" w:after="0"/>
              <w:jc w:val="center"/>
            </w:pPr>
            <w:r>
              <w:rPr>
                <w:rFonts w:eastAsia="宋体"/>
                <w:sz w:val="24"/>
              </w:rPr>
              <w:t>15</w:t>
            </w:r>
          </w:p>
        </w:tc>
      </w:tr>
      <w:tr w14:paraId="7383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00" w:hRule="atLeast"/>
        </w:trPr>
        <w:tc>
          <w:tcPr>
            <w:tcW w:w="2083" w:type="dxa"/>
            <w:gridSpan w:val="2"/>
            <w:vAlign w:val="center"/>
          </w:tcPr>
          <w:p w14:paraId="28130FEC">
            <w:pPr>
              <w:spacing w:before="0" w:after="0"/>
              <w:jc w:val="center"/>
            </w:pPr>
            <w:r>
              <w:rPr>
                <w:rFonts w:eastAsia="宋体"/>
                <w:b/>
                <w:sz w:val="24"/>
              </w:rPr>
              <w:t>合 计</w:t>
            </w:r>
          </w:p>
        </w:tc>
        <w:tc>
          <w:tcPr>
            <w:tcW w:w="6192" w:type="dxa"/>
            <w:vAlign w:val="center"/>
          </w:tcPr>
          <w:p w14:paraId="247C5BA5">
            <w:pPr>
              <w:spacing w:before="0" w:after="0"/>
              <w:jc w:val="left"/>
            </w:pPr>
          </w:p>
        </w:tc>
        <w:tc>
          <w:tcPr>
            <w:tcW w:w="771" w:type="dxa"/>
            <w:vAlign w:val="center"/>
          </w:tcPr>
          <w:p w14:paraId="210F2678">
            <w:pPr>
              <w:spacing w:before="0" w:after="0"/>
              <w:jc w:val="center"/>
            </w:pPr>
            <w:r>
              <w:rPr>
                <w:rFonts w:eastAsia="宋体"/>
                <w:sz w:val="24"/>
              </w:rPr>
              <w:t>100</w:t>
            </w:r>
          </w:p>
        </w:tc>
      </w:tr>
    </w:tbl>
    <w:p w14:paraId="19C764AD"/>
    <w:sectPr>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6F54E1D"/>
    <w:rsid w:val="0ADB1968"/>
    <w:rsid w:val="0DCC2BA8"/>
    <w:rsid w:val="13FA1639"/>
    <w:rsid w:val="15650342"/>
    <w:rsid w:val="1C580F08"/>
    <w:rsid w:val="1CAE2016"/>
    <w:rsid w:val="1E0927D8"/>
    <w:rsid w:val="221E75BD"/>
    <w:rsid w:val="2C721334"/>
    <w:rsid w:val="2EDB6C5C"/>
    <w:rsid w:val="35E12C8E"/>
    <w:rsid w:val="38D273C9"/>
    <w:rsid w:val="3A791F70"/>
    <w:rsid w:val="47EF3CFA"/>
    <w:rsid w:val="48EE4BD9"/>
    <w:rsid w:val="4ABA39FF"/>
    <w:rsid w:val="4C3A2F49"/>
    <w:rsid w:val="5958358E"/>
    <w:rsid w:val="5AEBA96C"/>
    <w:rsid w:val="638C457E"/>
    <w:rsid w:val="65C8A2FF"/>
    <w:rsid w:val="6A9B2674"/>
    <w:rsid w:val="726D5762"/>
    <w:rsid w:val="753137D8"/>
    <w:rsid w:val="7584790B"/>
    <w:rsid w:val="77EF6E15"/>
    <w:rsid w:val="781C53CF"/>
    <w:rsid w:val="7B4D4C5D"/>
    <w:rsid w:val="7FFDD99A"/>
    <w:rsid w:val="A27B0058"/>
    <w:rsid w:val="BBFDE281"/>
    <w:rsid w:val="BECF2068"/>
    <w:rsid w:val="BEDF69E2"/>
    <w:rsid w:val="BFFF069E"/>
    <w:rsid w:val="EFF33DF1"/>
    <w:rsid w:val="F7D88D13"/>
    <w:rsid w:val="FFFFF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pPr>
    <w:rPr>
      <w:rFonts w:ascii="宋体" w:hAnsi="宋体" w:eastAsia="宋体" w:cstheme="minorBidi"/>
      <w:sz w:val="24"/>
      <w:szCs w:val="24"/>
    </w:rPr>
  </w:style>
  <w:style w:type="paragraph" w:styleId="2">
    <w:name w:val="heading 1"/>
    <w:next w:val="1"/>
    <w:qFormat/>
    <w:uiPriority w:val="0"/>
    <w:pPr>
      <w:widowControl w:val="0"/>
      <w:adjustRightInd w:val="0"/>
      <w:spacing w:before="100" w:after="100" w:line="360" w:lineRule="auto"/>
      <w:jc w:val="both"/>
      <w:outlineLvl w:val="0"/>
    </w:pPr>
    <w:rPr>
      <w:rFonts w:ascii="Times New Roman" w:hAnsi="Times New Roman" w:eastAsia="宋体" w:cs="Times New Roman"/>
      <w:b/>
      <w:color w:val="000000"/>
      <w:kern w:val="44"/>
      <w:sz w:val="32"/>
      <w:szCs w:val="44"/>
      <w:lang w:bidi="ar-SA"/>
    </w:rPr>
  </w:style>
  <w:style w:type="paragraph" w:styleId="3">
    <w:name w:val="heading 2"/>
    <w:next w:val="1"/>
    <w:semiHidden/>
    <w:unhideWhenUsed/>
    <w:qFormat/>
    <w:uiPriority w:val="0"/>
    <w:pPr>
      <w:widowControl w:val="0"/>
      <w:adjustRightInd w:val="0"/>
      <w:spacing w:before="100" w:after="100" w:line="360" w:lineRule="auto"/>
      <w:jc w:val="both"/>
      <w:outlineLvl w:val="1"/>
    </w:pPr>
    <w:rPr>
      <w:rFonts w:ascii="Times New Roman" w:hAnsi="Times New Roman" w:eastAsia="宋体" w:cs="Times New Roman"/>
      <w:b/>
      <w:kern w:val="2"/>
      <w:sz w:val="30"/>
      <w:szCs w:val="32"/>
      <w:lang w:bidi="ar-SA"/>
    </w:rPr>
  </w:style>
  <w:style w:type="paragraph" w:styleId="4">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bidi="ar-SA"/>
    </w:rPr>
  </w:style>
  <w:style w:type="paragraph" w:styleId="5">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8">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0">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4">
    <w:name w:val="Title"/>
    <w:qFormat/>
    <w:uiPriority w:val="0"/>
    <w:pPr>
      <w:widowControl w:val="0"/>
      <w:spacing w:line="600" w:lineRule="exact"/>
      <w:jc w:val="center"/>
      <w:outlineLvl w:val="9"/>
    </w:pPr>
    <w:rPr>
      <w:rFonts w:ascii="方正小标宋_GBK" w:hAnsi="方正小标宋_GBK" w:eastAsia="方正小标宋_GBK" w:cs="方正小标宋_GBK"/>
      <w:color w:val="000000"/>
      <w:kern w:val="2"/>
      <w:sz w:val="44"/>
      <w:szCs w:val="4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1277</Words>
  <Characters>1294</Characters>
  <TotalTime>6</TotalTime>
  <ScaleCrop>false</ScaleCrop>
  <LinksUpToDate>false</LinksUpToDate>
  <CharactersWithSpaces>1295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2026-02-27T08:01:00Z</dcterms:created>
  <dc:creator>Data</dc:creator>
  <cp:lastModifiedBy>婷宝贝</cp:lastModifiedBy>
  <dcterms:modified xsi:type="dcterms:W3CDTF">2026-03-23T08:08:52Z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18588C9F9F144CF0BAE654458A5F862E_13</vt:lpwstr>
  </property>
  <property fmtid="{D5CDD505-2E9C-101B-9397-08002B2CF9AE}" pid="4" name="KSOTemplateDocerSaveRecord">
    <vt:lpwstr>eyJoZGlkIjoiYThhZDA4NmY5NDdmYzdlZjc1YzU2YjI2OTljZTY1ZmMiLCJ1c2VySWQiOiI0MTAzODY4NjMifQ==</vt:lpwstr>
  </property>
</Properties>
</file>