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0"/>
        </w:tabs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 服务采购需求</w:t>
      </w:r>
    </w:p>
    <w:tbl>
      <w:tblPr>
        <w:tblStyle w:val="6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663"/>
        <w:gridCol w:w="6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663" w:type="dxa"/>
            <w:noWrap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6910" w:type="dxa"/>
            <w:noWrap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广西壮族自治区柳州生态环境监测中心</w:t>
            </w:r>
          </w:p>
          <w:p>
            <w:pPr>
              <w:widowControl w:val="0"/>
              <w:tabs>
                <w:tab w:val="left" w:pos="0"/>
              </w:tabs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AI赋能环境监测实验室第一期项目</w:t>
            </w:r>
          </w:p>
          <w:p>
            <w:pPr>
              <w:widowControl w:val="0"/>
              <w:tabs>
                <w:tab w:val="left" w:pos="0"/>
              </w:tabs>
              <w:spacing w:before="156" w:beforeLines="50" w:after="156" w:afterLines="50"/>
              <w:jc w:val="center"/>
            </w:pPr>
            <w:r>
              <w:rPr>
                <w:rFonts w:hint="eastAsia" w:ascii="宋体" w:hAnsi="宋体" w:eastAsia="宋体" w:cs="宋体"/>
                <w:szCs w:val="21"/>
              </w:rPr>
              <w:t>服务采购需求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03" w:type="dxa"/>
            <w:noWrap/>
            <w:vAlign w:val="center"/>
          </w:tcPr>
          <w:p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广西壮族自治区柳州生态环境监测中心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AI赋能环境监测实验室第一期项目</w:t>
            </w:r>
          </w:p>
        </w:tc>
        <w:tc>
          <w:tcPr>
            <w:tcW w:w="6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1次</w:t>
            </w:r>
          </w:p>
        </w:tc>
        <w:tc>
          <w:tcPr>
            <w:tcW w:w="6910" w:type="dxa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一、</w:t>
            </w:r>
            <w:r>
              <w:rPr>
                <w:rFonts w:ascii="Times New Roman" w:hAnsi="Times New Roman"/>
                <w:b/>
                <w:bCs/>
                <w:szCs w:val="21"/>
              </w:rPr>
              <w:t>项目概况</w:t>
            </w:r>
          </w:p>
          <w:p>
            <w:pPr>
              <w:spacing w:before="160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按照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生态环境监测规划的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推进落实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《生态环境监测条例》（国务院令第820号）关于构建现代化生态环境监测体系的战略部署，为促进生态环境监测领域从传统向数字化、智能化转型，通过技术创新提升环境监测效率、保障数据安全、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推动实验室质量控制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，我中心计划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一套基于国产化技术底座的人工智能轻量化多模态大模型系统，构建一套自主可控的AI本地化部署体系，系统将实现对监测数据的多模态理解能力、知识推理能力、智能分析能力，确保环境监测数据的“真、准、全、快、新”。</w:t>
            </w:r>
          </w:p>
          <w:p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 xml:space="preserve">二、项目内容  </w:t>
            </w:r>
          </w:p>
          <w:p>
            <w:pPr>
              <w:widowControl w:val="0"/>
              <w:spacing w:before="160" w:line="278" w:lineRule="auto"/>
              <w:ind w:firstLine="422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一是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具备</w:t>
            </w:r>
            <w:r>
              <w:rPr>
                <w:rFonts w:ascii="Times New Roman" w:hAnsi="Times New Roman"/>
                <w:szCs w:val="21"/>
              </w:rPr>
              <w:t>多模态数据理解与处理</w:t>
            </w:r>
            <w:r>
              <w:rPr>
                <w:rFonts w:hint="eastAsia" w:ascii="Times New Roman" w:hAnsi="Times New Roman"/>
                <w:szCs w:val="21"/>
              </w:rPr>
              <w:t>能力：</w:t>
            </w:r>
            <w:r>
              <w:rPr>
                <w:rFonts w:ascii="Times New Roman" w:hAnsi="Times New Roman"/>
                <w:szCs w:val="21"/>
              </w:rPr>
              <w:t>系统支持对环境监测数据的多维度理解，包括水质参数、空气质量指数、土壤成分等结构化数据，以及环境监测报告文档等非结构化数据。通过多模态融合技术，实现跨数据源的关联分析与综合研判。</w:t>
            </w:r>
          </w:p>
          <w:p>
            <w:pPr>
              <w:widowControl w:val="0"/>
              <w:spacing w:before="160" w:line="278" w:lineRule="auto"/>
              <w:ind w:firstLine="422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二是</w:t>
            </w:r>
            <w:r>
              <w:rPr>
                <w:rFonts w:hint="eastAsia" w:ascii="Times New Roman" w:hAnsi="Times New Roman"/>
                <w:szCs w:val="21"/>
              </w:rPr>
              <w:t>建设</w:t>
            </w:r>
            <w:r>
              <w:rPr>
                <w:rFonts w:ascii="Times New Roman" w:hAnsi="Times New Roman"/>
                <w:szCs w:val="21"/>
              </w:rPr>
              <w:t>环境监测知识库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</w:rPr>
              <w:t>系统</w:t>
            </w:r>
            <w:r>
              <w:rPr>
                <w:rFonts w:hint="eastAsia" w:ascii="Times New Roman" w:hAnsi="Times New Roman"/>
                <w:szCs w:val="21"/>
              </w:rPr>
              <w:t>需</w:t>
            </w:r>
            <w:r>
              <w:rPr>
                <w:rFonts w:ascii="Times New Roman" w:hAnsi="Times New Roman"/>
                <w:szCs w:val="21"/>
              </w:rPr>
              <w:t>整合生态环境质量监测标准、污染源排放限值、环境应急处置预案、监测技术规范等专业文档，构建</w:t>
            </w:r>
            <w:r>
              <w:rPr>
                <w:rFonts w:hint="eastAsia" w:ascii="Times New Roman" w:hAnsi="Times New Roman"/>
                <w:szCs w:val="21"/>
              </w:rPr>
              <w:t>环境</w:t>
            </w:r>
            <w:r>
              <w:rPr>
                <w:rFonts w:ascii="Times New Roman" w:hAnsi="Times New Roman"/>
                <w:szCs w:val="21"/>
              </w:rPr>
              <w:t>领域知识图谱，形成环境监测领域的专业智慧大脑。知识库支持持续更新与优化，确保与最新政策法规保持同步。</w:t>
            </w:r>
          </w:p>
          <w:p>
            <w:pPr>
              <w:widowControl w:val="0"/>
              <w:spacing w:before="160" w:line="278" w:lineRule="auto"/>
              <w:ind w:firstLine="422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三是</w:t>
            </w:r>
            <w:r>
              <w:rPr>
                <w:rFonts w:hint="eastAsia" w:ascii="Times New Roman" w:hAnsi="Times New Roman"/>
                <w:szCs w:val="21"/>
              </w:rPr>
              <w:t>运用</w:t>
            </w:r>
            <w:r>
              <w:rPr>
                <w:rFonts w:ascii="Times New Roman" w:hAnsi="Times New Roman"/>
                <w:szCs w:val="21"/>
              </w:rPr>
              <w:t>轻量化多模态推理引擎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</w:rPr>
              <w:t>针对环境监测业务场景，对基础大模型进行定向压缩与优化，构建轻量化推理引擎。该引擎可在常规办公设备上高效运行，降低算力资源消耗，同时保持与大模型相当的推理能力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  <w:p>
            <w:pPr>
              <w:widowControl w:val="0"/>
              <w:spacing w:before="160" w:line="278" w:lineRule="auto"/>
              <w:ind w:firstLine="422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四</w:t>
            </w:r>
            <w:r>
              <w:rPr>
                <w:rFonts w:ascii="Times New Roman" w:hAnsi="Times New Roman"/>
                <w:b/>
                <w:bCs/>
                <w:szCs w:val="21"/>
              </w:rPr>
              <w:t>是</w:t>
            </w:r>
            <w:r>
              <w:rPr>
                <w:rFonts w:ascii="Times New Roman" w:hAnsi="Times New Roman"/>
                <w:szCs w:val="21"/>
              </w:rPr>
              <w:t>实验室质量控制全流程智能管控服务：围绕《检验检测机构资质认定评审准则》</w:t>
            </w:r>
            <w:r>
              <w:rPr>
                <w:rFonts w:hint="eastAsia" w:ascii="Times New Roman" w:hAnsi="Times New Roman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《生态环境监测机构评审补充要求》等规范，构建AI驱动的全流程质控智能监管体系。AI可自动匹配监测项目对应的质控要求，对平行样相对偏差、加标回收率、标准曲线相关系数、空白测试值、有证标准物质测试结果等关键质控指标进行校验与智能评判，生成质控统计报表与趋势分析报告；同时可基于历史质控数据构建漂移预警模型，对质控指标异常趋势预警，辅助管理人员及时排查风险，确保实验室分析数据全流程合规可控。</w:t>
            </w:r>
            <w:r>
              <w:rPr>
                <w:rFonts w:hint="eastAsia" w:ascii="Times New Roman" w:hAnsi="Times New Roman"/>
                <w:szCs w:val="21"/>
              </w:rPr>
              <w:t>同时针对实验室构建</w:t>
            </w:r>
            <w:r>
              <w:rPr>
                <w:rFonts w:ascii="Times New Roman" w:hAnsi="Times New Roman"/>
                <w:szCs w:val="21"/>
              </w:rPr>
              <w:t>环境监测智能应用矩阵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开发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三</w:t>
            </w:r>
            <w:r>
              <w:rPr>
                <w:rFonts w:ascii="Times New Roman" w:hAnsi="Times New Roman"/>
                <w:szCs w:val="21"/>
              </w:rPr>
              <w:t>大核心应用场景：</w:t>
            </w:r>
          </w:p>
          <w:p>
            <w:pPr>
              <w:numPr>
                <w:ilvl w:val="0"/>
                <w:numId w:val="2"/>
              </w:numPr>
              <w:spacing w:before="160"/>
              <w:ind w:left="210" w:leftChars="0" w:firstLine="420" w:firstLineChars="0"/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环境监测数据智能分析与异常检测平台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</w:rPr>
              <w:t>构建环境监测数据的智能分析平台，支持对实验室历史监测数据的多维度分析、趋势预测和异常检测。平台应能自动识别监测数据中的异常波动，分析可能的原因，</w:t>
            </w:r>
            <w:r>
              <w:rPr>
                <w:rFonts w:hint="eastAsia" w:ascii="Times New Roman" w:hAnsi="Times New Roman"/>
                <w:szCs w:val="21"/>
              </w:rPr>
              <w:t>提醒实验人员进行实验期间的流程操作，</w:t>
            </w:r>
            <w:r>
              <w:rPr>
                <w:rFonts w:ascii="Times New Roman" w:hAnsi="Times New Roman"/>
                <w:szCs w:val="21"/>
              </w:rPr>
              <w:t>并提供有针对性的检测建议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pacing w:before="160"/>
              <w:ind w:left="210" w:leftChars="0" w:firstLine="420"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环境实验室知识库构建与智能问答系统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</w:rPr>
              <w:t>建立环境实验室专业知识库，并开发相应的智能问答系统。知识库包含实验室操作规范、仪器使用说明书、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标准方法</w:t>
            </w:r>
            <w:r>
              <w:rPr>
                <w:rFonts w:ascii="Times New Roman" w:hAnsi="Times New Roman"/>
                <w:szCs w:val="21"/>
              </w:rPr>
              <w:t>、质量控制标准等内容，系统能对用户的问题进行精准理解与回答，并提供相关文档的快速定位。采用混合云架构，构建结构化与非结构化相结合的实验室知识库，支持文档的自动分类、摘要生成和语义检索。系统支持PDF、Word、Excel等多格式文档的解析与存储</w:t>
            </w:r>
            <w:r>
              <w:rPr>
                <w:rFonts w:hint="eastAsia" w:ascii="Times New Roman" w:hAnsi="Times New Roman"/>
                <w:szCs w:val="21"/>
              </w:rPr>
              <w:t>。模型可给</w:t>
            </w:r>
            <w:r>
              <w:rPr>
                <w:rFonts w:ascii="Times New Roman" w:hAnsi="Times New Roman"/>
                <w:szCs w:val="21"/>
              </w:rPr>
              <w:t>实验室人员解决"翻文件半小时，找答案一分钟"的低效</w:t>
            </w:r>
            <w:r>
              <w:rPr>
                <w:rFonts w:hint="eastAsia" w:ascii="Times New Roman" w:hAnsi="Times New Roman"/>
                <w:szCs w:val="21"/>
              </w:rPr>
              <w:t>查询</w:t>
            </w:r>
            <w:r>
              <w:rPr>
                <w:rFonts w:ascii="Times New Roman" w:hAnsi="Times New Roman"/>
                <w:szCs w:val="21"/>
              </w:rPr>
              <w:t>问题，将知识检索时间从小时级缩短至秒级；通过智能问答系统提供精准、专业的操作指导，减少实验过程中的操作失误；促进实验室知识的积累与共享，提升整体技术水平和工作效率。</w:t>
            </w:r>
          </w:p>
          <w:p>
            <w:pPr>
              <w:spacing w:before="160"/>
              <w:ind w:firstLine="420" w:firstLineChars="200"/>
              <w:rPr>
                <w:rFonts w:hint="eastAsia" w:ascii="Times New Roman" w:hAnsi="Times New Roman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3.分析记录</w:t>
            </w:r>
            <w:r>
              <w:rPr>
                <w:rFonts w:hint="eastAsia" w:ascii="Times New Roman" w:hAnsi="Times New Roman"/>
                <w:szCs w:val="21"/>
              </w:rPr>
              <w:t>自动审核：</w:t>
            </w:r>
            <w:r>
              <w:rPr>
                <w:rFonts w:ascii="Segoe UI" w:hAnsi="Segoe UI" w:cs="Segoe UI"/>
                <w:color w:val="060A26"/>
                <w:shd w:val="clear" w:color="auto" w:fill="FFFFFF"/>
              </w:rPr>
              <w:t>系统具备法规依据查询、数据合理性评估、错别字识别、单位校验、逻辑矛盾检测等核心功能，可自动比对30项以上审核要点并提供可视化审核报告与专家级修改建议，支持PDF、Word、Excel等多格式输出。</w:t>
            </w:r>
            <w:r>
              <w:rPr>
                <w:rFonts w:hint="eastAsia" w:ascii="Times New Roman" w:hAnsi="Times New Roman"/>
                <w:szCs w:val="21"/>
              </w:rPr>
              <w:t>通过严谨的审核流程，全方位保障分析记录数据的精确性与可靠性，为后续决策提供坚实的数据支撑。</w:t>
            </w:r>
            <w:r>
              <w:rPr>
                <w:rFonts w:ascii="Segoe UI" w:hAnsi="Segoe UI" w:cs="Segoe UI"/>
                <w:color w:val="060A26"/>
                <w:shd w:val="clear" w:color="auto" w:fill="FFFFFF"/>
              </w:rPr>
              <w:t>平台建成后，</w:t>
            </w:r>
            <w:r>
              <w:rPr>
                <w:rFonts w:ascii="Segoe UI" w:hAnsi="Segoe UI" w:cs="Segoe UI"/>
                <w:color w:val="auto"/>
                <w:shd w:val="clear" w:color="auto" w:fill="FFFFFF"/>
              </w:rPr>
              <w:t>提升审核效率，显著降低人工审核工作量与人为错误率</w:t>
            </w:r>
            <w:r>
              <w:rPr>
                <w:rFonts w:hint="eastAsia" w:ascii="Segoe UI" w:hAnsi="Segoe UI" w:cs="Segoe UI"/>
                <w:color w:val="auto"/>
                <w:shd w:val="clear" w:color="auto" w:fill="FFFFFF"/>
                <w:lang w:eastAsia="zh-CN"/>
              </w:rPr>
              <w:t>。</w:t>
            </w:r>
          </w:p>
          <w:p>
            <w:pPr>
              <w:widowControl w:val="0"/>
              <w:spacing w:before="160" w:line="278" w:lineRule="auto"/>
              <w:ind w:firstLine="422" w:firstLineChars="200"/>
              <w:jc w:val="left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  <w:lang w:val="en-US" w:eastAsia="zh-CN"/>
              </w:rPr>
              <w:t>五</w:t>
            </w: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是</w:t>
            </w: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  <w:lang w:val="en-US" w:eastAsia="zh-CN"/>
              </w:rPr>
              <w:t>提供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“中国移动私有服务+算力”混合部署模式。运用算力服务和私有服务共同协作的新模式，保证数据的安全传输与存储。</w:t>
            </w:r>
          </w:p>
          <w:p>
            <w:pPr>
              <w:spacing w:before="16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三、工作要求</w:t>
            </w:r>
            <w:r>
              <w:rPr>
                <w:rFonts w:hint="eastAsia" w:ascii="Times New Roman" w:hAnsi="Times New Roman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本项目工作要求包括环境准备、模型部署、知识库搭建、应用场景开发、系统集成、测试验收等全流程环节，确保系统能够满足</w:t>
            </w:r>
            <w:r>
              <w:rPr>
                <w:rFonts w:hint="eastAsia" w:ascii="Times New Roman" w:hAnsi="Times New Roman"/>
                <w:szCs w:val="21"/>
              </w:rPr>
              <w:t>多</w:t>
            </w:r>
            <w:r>
              <w:rPr>
                <w:rFonts w:ascii="Times New Roman" w:hAnsi="Times New Roman"/>
                <w:szCs w:val="21"/>
              </w:rPr>
              <w:t>人同时在线推理访问需求，实现环境监测数据的高效处理与分析，为环境监测中心提升工作效率、优化业务流程、加速应急响应提供全面支持。</w:t>
            </w:r>
          </w:p>
          <w:p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详细要求如下：   </w:t>
            </w:r>
          </w:p>
          <w:p>
            <w:pPr>
              <w:widowControl w:val="0"/>
              <w:spacing w:before="160" w:line="278" w:lineRule="auto"/>
              <w:ind w:firstLine="420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</w:t>
            </w:r>
            <w:r>
              <w:rPr>
                <w:rFonts w:ascii="Times New Roman" w:hAnsi="Times New Roman"/>
                <w:szCs w:val="21"/>
              </w:rPr>
              <w:t>环境准备与硬件配置</w:t>
            </w:r>
          </w:p>
          <w:p>
            <w:pPr>
              <w:widowControl w:val="0"/>
              <w:spacing w:before="160" w:line="278" w:lineRule="auto"/>
              <w:ind w:firstLine="630" w:firstLineChars="3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1.1</w:t>
            </w:r>
            <w:r>
              <w:rPr>
                <w:rFonts w:ascii="Times New Roman" w:hAnsi="Times New Roman"/>
                <w:szCs w:val="21"/>
              </w:rPr>
              <w:t>完成集群配置，包括国产化</w:t>
            </w:r>
            <w:r>
              <w:rPr>
                <w:rFonts w:hint="eastAsia" w:ascii="Times New Roman" w:hAnsi="Times New Roman"/>
                <w:szCs w:val="21"/>
              </w:rPr>
              <w:t>轻量化大语言模型</w:t>
            </w:r>
            <w:r>
              <w:rPr>
                <w:rFonts w:ascii="Times New Roman" w:hAnsi="Times New Roman"/>
                <w:szCs w:val="21"/>
              </w:rPr>
              <w:t>、网络设备及存储设备的安装调试</w:t>
            </w:r>
            <w:r>
              <w:rPr>
                <w:rFonts w:hint="eastAsia" w:ascii="Times New Roman" w:hAnsi="Times New Roman"/>
                <w:szCs w:val="21"/>
              </w:rPr>
              <w:t>；</w:t>
            </w:r>
          </w:p>
          <w:p>
            <w:pPr>
              <w:widowControl w:val="0"/>
              <w:spacing w:before="160" w:line="278" w:lineRule="auto"/>
              <w:ind w:firstLine="630" w:firstLineChars="3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1.2使用</w:t>
            </w:r>
            <w:r>
              <w:rPr>
                <w:rFonts w:ascii="Times New Roman" w:hAnsi="Times New Roman"/>
                <w:szCs w:val="21"/>
              </w:rPr>
              <w:t>符合国家信息安全等级保护第三级</w:t>
            </w:r>
            <w:r>
              <w:rPr>
                <w:rFonts w:hint="eastAsia" w:ascii="Times New Roman" w:hAnsi="Times New Roman"/>
                <w:szCs w:val="21"/>
              </w:rPr>
              <w:t>测评认证</w:t>
            </w:r>
            <w:r>
              <w:rPr>
                <w:rFonts w:ascii="Times New Roman" w:hAnsi="Times New Roman"/>
                <w:szCs w:val="21"/>
              </w:rPr>
              <w:t>的安全防护体系</w:t>
            </w:r>
            <w:r>
              <w:rPr>
                <w:rFonts w:hint="eastAsia" w:ascii="Times New Roman" w:hAnsi="Times New Roman"/>
                <w:szCs w:val="21"/>
              </w:rPr>
              <w:t>；</w:t>
            </w:r>
          </w:p>
          <w:p>
            <w:pPr>
              <w:widowControl w:val="0"/>
              <w:spacing w:before="160" w:line="278" w:lineRule="auto"/>
              <w:ind w:firstLine="630" w:firstLineChars="30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1.3</w:t>
            </w:r>
            <w:r>
              <w:rPr>
                <w:rFonts w:ascii="Times New Roman" w:hAnsi="Times New Roman"/>
                <w:szCs w:val="21"/>
              </w:rPr>
              <w:t>配置VPN访问系统，支持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人</w:t>
            </w:r>
            <w:r>
              <w:rPr>
                <w:rFonts w:ascii="Times New Roman" w:hAnsi="Times New Roman"/>
                <w:szCs w:val="21"/>
              </w:rPr>
              <w:t>通过外</w:t>
            </w:r>
            <w:r>
              <w:rPr>
                <w:rFonts w:hint="eastAsia" w:ascii="Times New Roman" w:hAnsi="Times New Roman"/>
                <w:szCs w:val="21"/>
              </w:rPr>
              <w:t>部</w:t>
            </w:r>
            <w:r>
              <w:rPr>
                <w:rFonts w:ascii="Times New Roman" w:hAnsi="Times New Roman"/>
                <w:szCs w:val="21"/>
              </w:rPr>
              <w:t>网络访问内网本地部署的大模型及业务系统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  <w:p>
            <w:pPr>
              <w:widowControl w:val="0"/>
              <w:spacing w:before="160" w:line="278" w:lineRule="auto"/>
              <w:ind w:firstLine="630" w:firstLineChars="300"/>
              <w:jc w:val="left"/>
              <w:rPr>
                <w:rFonts w:hint="eastAsia" w:ascii="Times New Roman" w:hAnsi="Times New Roman"/>
                <w:color w:val="auto"/>
                <w:szCs w:val="21"/>
              </w:rPr>
            </w:pPr>
            <w:bookmarkStart w:id="0" w:name="_GoBack"/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1.4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提供为期1年</w:t>
            </w: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按实际开始使用起</w:t>
            </w: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的算力服务支持，不低于2 PFLOPS（FP16）的算力规模服务。</w:t>
            </w:r>
          </w:p>
          <w:bookmarkEnd w:id="0"/>
          <w:p>
            <w:pPr>
              <w:widowControl w:val="0"/>
              <w:spacing w:before="160" w:line="278" w:lineRule="auto"/>
              <w:ind w:left="44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2.</w:t>
            </w:r>
            <w:r>
              <w:rPr>
                <w:rFonts w:ascii="Times New Roman" w:hAnsi="Times New Roman"/>
                <w:szCs w:val="21"/>
              </w:rPr>
              <w:t>模型部署与优化</w:t>
            </w:r>
          </w:p>
          <w:p>
            <w:pPr>
              <w:widowControl w:val="0"/>
              <w:spacing w:before="160" w:line="278" w:lineRule="auto"/>
              <w:ind w:firstLine="630" w:firstLineChars="3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2.1</w:t>
            </w:r>
            <w:r>
              <w:rPr>
                <w:rFonts w:ascii="Times New Roman" w:hAnsi="Times New Roman"/>
                <w:szCs w:val="21"/>
              </w:rPr>
              <w:t>完成人工智能多模态大模型的本地化部署</w:t>
            </w:r>
            <w:r>
              <w:rPr>
                <w:rFonts w:hint="eastAsia" w:ascii="Times New Roman" w:hAnsi="Times New Roman"/>
                <w:szCs w:val="21"/>
              </w:rPr>
              <w:t>；</w:t>
            </w:r>
          </w:p>
          <w:p>
            <w:pPr>
              <w:widowControl w:val="0"/>
              <w:spacing w:before="160" w:line="278" w:lineRule="auto"/>
              <w:ind w:firstLine="630" w:firstLineChars="3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2.2</w:t>
            </w:r>
            <w:r>
              <w:rPr>
                <w:rFonts w:ascii="Times New Roman" w:hAnsi="Times New Roman"/>
                <w:szCs w:val="21"/>
              </w:rPr>
              <w:t>对基础大模型进行定向压缩与优化，构建轻量化推理引擎</w:t>
            </w:r>
            <w:r>
              <w:rPr>
                <w:rFonts w:hint="eastAsia" w:ascii="Times New Roman" w:hAnsi="Times New Roman"/>
                <w:szCs w:val="21"/>
              </w:rPr>
              <w:t>；</w:t>
            </w:r>
          </w:p>
          <w:p>
            <w:pPr>
              <w:widowControl w:val="0"/>
              <w:spacing w:before="160" w:line="278" w:lineRule="auto"/>
              <w:ind w:firstLine="630" w:firstLineChars="3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Cs w:val="21"/>
              </w:rPr>
              <w:t>建立模型版本管理机制，支持模型的持续迭代与优化</w:t>
            </w:r>
          </w:p>
          <w:p>
            <w:pPr>
              <w:widowControl w:val="0"/>
              <w:spacing w:before="160" w:line="278" w:lineRule="auto"/>
              <w:ind w:firstLine="420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3.</w:t>
            </w:r>
            <w:r>
              <w:rPr>
                <w:rFonts w:ascii="Times New Roman" w:hAnsi="Times New Roman"/>
                <w:szCs w:val="21"/>
              </w:rPr>
              <w:t>知识库构建与管理</w:t>
            </w:r>
          </w:p>
          <w:p>
            <w:pPr>
              <w:widowControl w:val="0"/>
              <w:spacing w:before="160" w:line="278" w:lineRule="auto"/>
              <w:ind w:firstLine="630" w:firstLineChars="3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3.1</w:t>
            </w:r>
            <w:r>
              <w:rPr>
                <w:rFonts w:ascii="Times New Roman" w:hAnsi="Times New Roman"/>
                <w:szCs w:val="21"/>
              </w:rPr>
              <w:t>收集整理生态环境监测相关法规政策、技术标准、监测报告等文档</w:t>
            </w:r>
            <w:r>
              <w:rPr>
                <w:rFonts w:hint="eastAsia" w:ascii="Times New Roman" w:hAnsi="Times New Roman"/>
                <w:szCs w:val="21"/>
              </w:rPr>
              <w:t>；</w:t>
            </w:r>
          </w:p>
          <w:p>
            <w:pPr>
              <w:widowControl w:val="0"/>
              <w:spacing w:before="160" w:line="278" w:lineRule="auto"/>
              <w:ind w:firstLine="630" w:firstLineChars="3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3.2</w:t>
            </w:r>
            <w:r>
              <w:rPr>
                <w:rFonts w:ascii="Times New Roman" w:hAnsi="Times New Roman"/>
                <w:szCs w:val="21"/>
              </w:rPr>
              <w:t>构建环境监测领域知识图谱，形成专业智慧大脑</w:t>
            </w:r>
            <w:r>
              <w:rPr>
                <w:rFonts w:hint="eastAsia" w:ascii="Times New Roman" w:hAnsi="Times New Roman"/>
                <w:szCs w:val="21"/>
              </w:rPr>
              <w:t>；</w:t>
            </w:r>
          </w:p>
          <w:p>
            <w:pPr>
              <w:widowControl w:val="0"/>
              <w:spacing w:before="160" w:line="278" w:lineRule="auto"/>
              <w:ind w:firstLine="630" w:firstLineChars="3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3.3</w:t>
            </w:r>
            <w:r>
              <w:rPr>
                <w:rFonts w:ascii="Times New Roman" w:hAnsi="Times New Roman"/>
                <w:szCs w:val="21"/>
              </w:rPr>
              <w:t>开发知识库管理平台，支持管理员实时添加、编辑知识库</w:t>
            </w:r>
            <w:r>
              <w:rPr>
                <w:rFonts w:hint="eastAsia" w:ascii="Times New Roman" w:hAnsi="Times New Roman"/>
                <w:szCs w:val="21"/>
              </w:rPr>
              <w:t>；</w:t>
            </w:r>
          </w:p>
          <w:p>
            <w:pPr>
              <w:widowControl w:val="0"/>
              <w:spacing w:before="160" w:line="278" w:lineRule="auto"/>
              <w:ind w:firstLine="630" w:firstLineChars="3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3.4</w:t>
            </w:r>
            <w:r>
              <w:rPr>
                <w:rFonts w:ascii="Times New Roman" w:hAnsi="Times New Roman"/>
                <w:szCs w:val="21"/>
              </w:rPr>
              <w:t>实现知识库与大模型的无缝对接，确保推理输出的准确性与专业性</w:t>
            </w:r>
            <w:r>
              <w:rPr>
                <w:rFonts w:hint="eastAsia" w:ascii="Times New Roman" w:hAnsi="Times New Roman"/>
                <w:szCs w:val="21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spacing w:before="160" w:line="278" w:lineRule="auto"/>
              <w:ind w:firstLine="420" w:firstLineChars="20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4.</w:t>
            </w:r>
            <w:r>
              <w:rPr>
                <w:rFonts w:hint="eastAsia" w:ascii="Times New Roman" w:hAnsi="Times New Roman"/>
                <w:szCs w:val="21"/>
              </w:rPr>
              <w:t>应用场景开发与集成</w:t>
            </w:r>
          </w:p>
          <w:p>
            <w:pPr>
              <w:widowControl w:val="0"/>
              <w:numPr>
                <w:ilvl w:val="0"/>
                <w:numId w:val="0"/>
              </w:numPr>
              <w:spacing w:before="160" w:line="278" w:lineRule="auto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5.安全防护体系建设</w:t>
            </w:r>
          </w:p>
          <w:p>
            <w:pPr>
              <w:widowControl w:val="0"/>
              <w:spacing w:before="160" w:line="278" w:lineRule="auto"/>
              <w:ind w:firstLine="630" w:firstLineChars="300"/>
              <w:jc w:val="distribute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spacing w:val="0"/>
                <w:w w:val="90"/>
                <w:kern w:val="0"/>
                <w:szCs w:val="21"/>
                <w:fitText w:val="5670" w:id="-476379648"/>
              </w:rPr>
              <w:t>实施数据分类分级管理，对敏感数据实施最高级别加密与访问控制</w:t>
            </w:r>
            <w:r>
              <w:rPr>
                <w:rFonts w:hint="eastAsia" w:ascii="Times New Roman" w:hAnsi="Times New Roman"/>
                <w:spacing w:val="5"/>
                <w:w w:val="90"/>
                <w:kern w:val="0"/>
                <w:szCs w:val="21"/>
                <w:fitText w:val="5670" w:id="-476379648"/>
              </w:rPr>
              <w:t>；</w:t>
            </w:r>
          </w:p>
          <w:p>
            <w:pPr>
              <w:widowControl w:val="0"/>
              <w:spacing w:before="160" w:line="278" w:lineRule="auto"/>
              <w:ind w:firstLine="630" w:firstLineChars="3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5.2</w:t>
            </w:r>
            <w:r>
              <w:rPr>
                <w:rFonts w:ascii="Times New Roman" w:hAnsi="Times New Roman"/>
                <w:szCs w:val="21"/>
              </w:rPr>
              <w:t>部署加密传输系统，采用</w:t>
            </w:r>
            <w:r>
              <w:rPr>
                <w:rFonts w:hint="eastAsia" w:ascii="Times New Roman" w:hAnsi="Times New Roman"/>
                <w:szCs w:val="21"/>
              </w:rPr>
              <w:t>AES</w:t>
            </w:r>
            <w:r>
              <w:rPr>
                <w:rFonts w:ascii="Times New Roman" w:hAnsi="Times New Roman"/>
                <w:szCs w:val="21"/>
              </w:rPr>
              <w:t>算法，确保监测数据传输安全</w:t>
            </w:r>
            <w:r>
              <w:rPr>
                <w:rFonts w:hint="eastAsia" w:ascii="Times New Roman" w:hAnsi="Times New Roman"/>
                <w:szCs w:val="21"/>
              </w:rPr>
              <w:t>；</w:t>
            </w:r>
          </w:p>
          <w:p>
            <w:pPr>
              <w:widowControl w:val="0"/>
              <w:spacing w:before="160" w:line="278" w:lineRule="auto"/>
              <w:ind w:firstLine="630" w:firstLineChars="3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5.3</w:t>
            </w:r>
            <w:r>
              <w:rPr>
                <w:rFonts w:ascii="Times New Roman" w:hAnsi="Times New Roman"/>
                <w:szCs w:val="21"/>
              </w:rPr>
              <w:t>建立专网隔离机制，确保环境监测数据</w:t>
            </w:r>
            <w:r>
              <w:rPr>
                <w:rFonts w:hint="eastAsia" w:ascii="Times New Roman" w:hAnsi="Times New Roman"/>
                <w:szCs w:val="21"/>
              </w:rPr>
              <w:t>“</w:t>
            </w:r>
            <w:r>
              <w:rPr>
                <w:rFonts w:ascii="Times New Roman" w:hAnsi="Times New Roman"/>
                <w:szCs w:val="21"/>
              </w:rPr>
              <w:t>不出城、不跨境</w:t>
            </w:r>
            <w:r>
              <w:rPr>
                <w:rFonts w:hint="eastAsia" w:ascii="Times New Roman" w:hAnsi="Times New Roman"/>
                <w:szCs w:val="21"/>
              </w:rPr>
              <w:t>”；</w:t>
            </w:r>
          </w:p>
          <w:p>
            <w:pPr>
              <w:spacing w:after="312" w:afterLines="100" w:line="500" w:lineRule="exact"/>
              <w:ind w:firstLine="630" w:firstLineChars="300"/>
              <w:rPr>
                <w:rFonts w:hint="default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6.</w:t>
            </w:r>
            <w:r>
              <w:rPr>
                <w:rFonts w:ascii="Times New Roman" w:hAnsi="Times New Roman"/>
                <w:color w:val="auto"/>
                <w:szCs w:val="21"/>
              </w:rPr>
              <w:t>测试验收与运维服务</w:t>
            </w: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乙方需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提交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测试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报告</w:t>
            </w: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系统需在真实网络环境下稳定运行</w:t>
            </w: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），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并进行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现场答辩与系统功能演示。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甲方组织人员依据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《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验收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评分细则》进行评分</w:t>
            </w: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并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出具验收意见：形成验收结论。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验收项目如下：</w:t>
            </w:r>
          </w:p>
          <w:p>
            <w:pPr>
              <w:ind w:firstLine="630" w:firstLineChars="300"/>
              <w:rPr>
                <w:rFonts w:hint="default" w:ascii="Times New Roman" w:hAnsi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6.1</w:t>
            </w:r>
            <w:r>
              <w:rPr>
                <w:rFonts w:ascii="Times New Roman" w:hAnsi="Times New Roman"/>
                <w:szCs w:val="21"/>
              </w:rPr>
              <w:t>开展系统功能测试，验证各应用场景的实现效果</w:t>
            </w:r>
          </w:p>
          <w:p>
            <w:pPr>
              <w:widowControl w:val="0"/>
              <w:spacing w:before="160" w:line="278" w:lineRule="auto"/>
              <w:ind w:firstLine="630" w:firstLineChars="3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6.2</w:t>
            </w:r>
            <w:r>
              <w:rPr>
                <w:rFonts w:ascii="Times New Roman" w:hAnsi="Times New Roman"/>
                <w:szCs w:val="21"/>
              </w:rPr>
              <w:t>进行压力测试，确保系统能够支持</w:t>
            </w:r>
            <w:r>
              <w:rPr>
                <w:rFonts w:hint="eastAsia" w:ascii="Times New Roman" w:hAnsi="Times New Roman"/>
                <w:szCs w:val="21"/>
              </w:rPr>
              <w:t>多</w:t>
            </w:r>
            <w:r>
              <w:rPr>
                <w:rFonts w:ascii="Times New Roman" w:hAnsi="Times New Roman"/>
                <w:szCs w:val="21"/>
              </w:rPr>
              <w:t>人同时在线推理访问</w:t>
            </w:r>
            <w:r>
              <w:rPr>
                <w:rFonts w:hint="eastAsia" w:ascii="Times New Roman" w:hAnsi="Times New Roman"/>
                <w:szCs w:val="21"/>
              </w:rPr>
              <w:t>；</w:t>
            </w:r>
          </w:p>
          <w:p>
            <w:pPr>
              <w:widowControl w:val="0"/>
              <w:spacing w:before="160" w:line="278" w:lineRule="auto"/>
              <w:ind w:firstLine="630" w:firstLineChars="3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6.3</w:t>
            </w:r>
            <w:r>
              <w:rPr>
                <w:rFonts w:ascii="Times New Roman" w:hAnsi="Times New Roman"/>
                <w:szCs w:val="21"/>
              </w:rPr>
              <w:t>实施安全测试，验证系统安全防护措施的有效性</w:t>
            </w:r>
            <w:r>
              <w:rPr>
                <w:rFonts w:hint="eastAsia" w:ascii="Times New Roman" w:hAnsi="Times New Roman"/>
                <w:szCs w:val="21"/>
              </w:rPr>
              <w:t>；</w:t>
            </w:r>
          </w:p>
          <w:p>
            <w:pPr>
              <w:widowControl w:val="0"/>
              <w:spacing w:before="160" w:line="278" w:lineRule="auto"/>
              <w:ind w:firstLine="630" w:firstLineChars="3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6.4</w:t>
            </w:r>
            <w:r>
              <w:rPr>
                <w:rFonts w:ascii="Times New Roman" w:hAnsi="Times New Roman"/>
                <w:szCs w:val="21"/>
              </w:rPr>
              <w:t>组织业务培训，提升环境监测中心人员的系统使用能力</w:t>
            </w:r>
            <w:r>
              <w:rPr>
                <w:rFonts w:hint="eastAsia" w:ascii="Times New Roman" w:hAnsi="Times New Roman"/>
                <w:szCs w:val="21"/>
              </w:rPr>
              <w:t>；</w:t>
            </w:r>
          </w:p>
          <w:p>
            <w:pPr>
              <w:widowControl w:val="0"/>
              <w:spacing w:before="160" w:line="278" w:lineRule="auto"/>
              <w:ind w:firstLine="630" w:firstLineChars="3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6.5</w:t>
            </w:r>
            <w:r>
              <w:rPr>
                <w:rFonts w:ascii="Times New Roman" w:hAnsi="Times New Roman"/>
                <w:szCs w:val="21"/>
              </w:rPr>
              <w:t>提供</w:t>
            </w: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年运维服务，包括系统维护、故障处理、性能优化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>
            <w:pPr>
              <w:spacing w:line="360" w:lineRule="exact"/>
              <w:ind w:firstLine="422" w:firstLineChars="200"/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1、报价要求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总报价不超过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19</w:t>
            </w:r>
            <w:r>
              <w:rPr>
                <w:rFonts w:ascii="Times New Roman" w:hAnsi="Times New Roman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00</w:t>
            </w:r>
            <w:r>
              <w:rPr>
                <w:rFonts w:ascii="Times New Roman" w:hAnsi="Times New Roman"/>
                <w:szCs w:val="21"/>
              </w:rPr>
              <w:t>万元。报价为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甲方</w:t>
            </w:r>
            <w:r>
              <w:rPr>
                <w:rFonts w:ascii="Times New Roman" w:hAnsi="Times New Roman"/>
                <w:szCs w:val="21"/>
              </w:rPr>
              <w:t>指定服务范围内的全部价格，至少包括：（1）服务的价格（包括人工、材料、设备等）；（2）必要的保险费用和各项税金；（3）验收及专家评估费用等。（4）与本项目有关的其他一切费用。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甲方</w:t>
            </w:r>
            <w:r>
              <w:rPr>
                <w:rFonts w:ascii="Times New Roman" w:hAnsi="Times New Roman"/>
                <w:szCs w:val="21"/>
              </w:rPr>
              <w:t>不再支付成交价格以外的任何费用。</w:t>
            </w:r>
          </w:p>
          <w:p>
            <w:pPr>
              <w:pStyle w:val="10"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项目服务时间及服务地点</w:t>
            </w:r>
          </w:p>
          <w:p>
            <w:pPr>
              <w:pStyle w:val="10"/>
              <w:spacing w:line="360" w:lineRule="exact"/>
              <w:ind w:left="105" w:firstLine="315" w:firstLineChars="15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（1）服务期限：自</w:t>
            </w:r>
            <w:r>
              <w:rPr>
                <w:rFonts w:hint="eastAsia" w:ascii="Times New Roman" w:hAnsi="Times New Roman"/>
                <w:szCs w:val="21"/>
              </w:rPr>
              <w:t>合同签订</w:t>
            </w:r>
            <w:r>
              <w:rPr>
                <w:rFonts w:ascii="Times New Roman" w:hAnsi="Times New Roman"/>
                <w:szCs w:val="21"/>
              </w:rPr>
              <w:t>之日起</w:t>
            </w:r>
            <w:r>
              <w:rPr>
                <w:rFonts w:hint="eastAsia" w:ascii="Times New Roman" w:hAnsi="Times New Roman"/>
                <w:szCs w:val="21"/>
              </w:rPr>
              <w:t>180天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/>
                <w:szCs w:val="21"/>
              </w:rPr>
              <w:t>因甲方原因（包括但不限于需求变更、审核验收延迟、资料提供不及时、配合义务未履行等）导致项目进度延误的，乙方工期相应顺延，顺延时间以实际延误天数计算。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（2）服务地点：广西柳州市三中路70号</w:t>
            </w:r>
          </w:p>
          <w:p>
            <w:pPr>
              <w:pStyle w:val="4"/>
              <w:numPr>
                <w:ilvl w:val="0"/>
                <w:numId w:val="0"/>
              </w:numPr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szCs w:val="21"/>
              </w:rPr>
              <w:t>3</w:t>
            </w:r>
            <w:r>
              <w:rPr>
                <w:rFonts w:ascii="Times New Roman" w:hAnsi="Times New Roman"/>
                <w:b/>
                <w:szCs w:val="21"/>
              </w:rPr>
              <w:t>、合同签订时间</w:t>
            </w:r>
          </w:p>
          <w:p>
            <w:pPr>
              <w:pStyle w:val="4"/>
              <w:numPr>
                <w:ilvl w:val="0"/>
                <w:numId w:val="0"/>
              </w:numPr>
              <w:spacing w:line="360" w:lineRule="exact"/>
              <w:ind w:firstLine="420" w:firstLineChars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自通知成交结果发出之日起7个工作日内。</w:t>
            </w:r>
          </w:p>
          <w:p>
            <w:pPr>
              <w:spacing w:line="360" w:lineRule="exact"/>
              <w:ind w:firstLine="422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4</w:t>
            </w:r>
            <w:r>
              <w:rPr>
                <w:rFonts w:ascii="Times New Roman" w:hAnsi="Times New Roman"/>
                <w:b/>
                <w:szCs w:val="21"/>
              </w:rPr>
              <w:t>、付款条件</w:t>
            </w:r>
            <w:r>
              <w:rPr>
                <w:rFonts w:ascii="Times New Roman" w:hAnsi="Times New Roman"/>
                <w:b/>
                <w:szCs w:val="21"/>
              </w:rPr>
              <w:br w:type="textWrapping"/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>第一期付款：合同签订后，</w:t>
            </w:r>
            <w:r>
              <w:rPr>
                <w:rFonts w:ascii="Times New Roman" w:hAnsi="Times New Roman"/>
                <w:szCs w:val="21"/>
              </w:rPr>
              <w:t>向甲方提出付款申请，甲方在收到</w:t>
            </w:r>
            <w:r>
              <w:rPr>
                <w:rFonts w:hint="eastAsia" w:ascii="Times New Roman" w:hAnsi="Times New Roman"/>
                <w:szCs w:val="21"/>
              </w:rPr>
              <w:t>请款函和发票</w:t>
            </w:r>
            <w:r>
              <w:rPr>
                <w:rFonts w:ascii="Times New Roman" w:hAnsi="Times New Roman"/>
                <w:szCs w:val="21"/>
              </w:rPr>
              <w:t>后</w:t>
            </w:r>
            <w:r>
              <w:rPr>
                <w:rFonts w:hint="eastAsia" w:ascii="Times New Roman" w:hAnsi="Times New Roman"/>
                <w:szCs w:val="21"/>
              </w:rPr>
              <w:t>7个工作日内甲方向乙方支付合同款总金额50%；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第二期付款：项目通过最终验收且甲方收到乙方请款函和发票后10个工作日内，支付合同款总金额50%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szCs w:val="21"/>
              </w:rPr>
              <w:br w:type="textWrapping"/>
            </w:r>
            <w:r>
              <w:rPr>
                <w:rFonts w:ascii="Times New Roman" w:hAnsi="Times New Roman"/>
                <w:b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szCs w:val="21"/>
              </w:rPr>
              <w:t>5</w:t>
            </w:r>
            <w:r>
              <w:rPr>
                <w:rFonts w:ascii="Times New Roman" w:hAnsi="Times New Roman"/>
                <w:b/>
                <w:szCs w:val="21"/>
              </w:rPr>
              <w:t>、保密要求</w:t>
            </w:r>
            <w:r>
              <w:rPr>
                <w:rFonts w:ascii="Times New Roman" w:hAnsi="Times New Roman"/>
                <w:szCs w:val="21"/>
              </w:rPr>
              <w:br w:type="textWrapping"/>
            </w:r>
            <w:r>
              <w:rPr>
                <w:rFonts w:ascii="Times New Roman" w:hAnsi="Times New Roman"/>
                <w:szCs w:val="21"/>
              </w:rPr>
              <w:t xml:space="preserve">    要求</w:t>
            </w:r>
            <w:r>
              <w:rPr>
                <w:rFonts w:hint="eastAsia" w:ascii="Times New Roman" w:hAnsi="Times New Roman"/>
                <w:szCs w:val="21"/>
              </w:rPr>
              <w:t>提供服务单位</w:t>
            </w:r>
            <w:r>
              <w:rPr>
                <w:rFonts w:ascii="Times New Roman" w:hAnsi="Times New Roman"/>
                <w:szCs w:val="21"/>
              </w:rPr>
              <w:t>严格执行国家有关的保密法律法规及规章制度</w:t>
            </w:r>
            <w:r>
              <w:rPr>
                <w:rFonts w:hint="eastAsia" w:ascii="Times New Roman" w:hAnsi="Times New Roman"/>
                <w:szCs w:val="21"/>
              </w:rPr>
              <w:t>，并签订数据保密协议</w:t>
            </w:r>
            <w:r>
              <w:rPr>
                <w:rFonts w:ascii="Times New Roman" w:hAnsi="Times New Roman"/>
                <w:szCs w:val="21"/>
              </w:rPr>
              <w:t>。对采购单位提供的各种管理资料，</w:t>
            </w:r>
            <w:r>
              <w:rPr>
                <w:rFonts w:hint="eastAsia" w:ascii="Times New Roman" w:hAnsi="Times New Roman"/>
                <w:szCs w:val="21"/>
              </w:rPr>
              <w:t>服务单位</w:t>
            </w:r>
            <w:r>
              <w:rPr>
                <w:rFonts w:ascii="Times New Roman" w:hAnsi="Times New Roman"/>
                <w:szCs w:val="21"/>
              </w:rPr>
              <w:t>应妥善保管，不得向第三方提供、转述该资料的任何部分，否则，造成严重后果的，追究其法律责任。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0860A8"/>
    <w:multiLevelType w:val="singleLevel"/>
    <w:tmpl w:val="8F0860A8"/>
    <w:lvl w:ilvl="0" w:tentative="0">
      <w:start w:val="1"/>
      <w:numFmt w:val="decimal"/>
      <w:suff w:val="space"/>
      <w:lvlText w:val="%1."/>
      <w:lvlJc w:val="left"/>
      <w:pPr>
        <w:ind w:left="210"/>
      </w:pPr>
    </w:lvl>
  </w:abstractNum>
  <w:abstractNum w:abstractNumId="1">
    <w:nsid w:val="284FD847"/>
    <w:multiLevelType w:val="singleLevel"/>
    <w:tmpl w:val="284FD847"/>
    <w:lvl w:ilvl="0" w:tentative="0">
      <w:start w:val="1"/>
      <w:numFmt w:val="decimal"/>
      <w:pStyle w:val="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>
    <w:nsid w:val="771D6273"/>
    <w:multiLevelType w:val="multilevel"/>
    <w:tmpl w:val="771D6273"/>
    <w:lvl w:ilvl="0" w:tentative="0">
      <w:start w:val="2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2" w:hanging="440"/>
      </w:pPr>
    </w:lvl>
    <w:lvl w:ilvl="2" w:tentative="0">
      <w:start w:val="1"/>
      <w:numFmt w:val="lowerRoman"/>
      <w:lvlText w:val="%3."/>
      <w:lvlJc w:val="right"/>
      <w:pPr>
        <w:ind w:left="1742" w:hanging="440"/>
      </w:pPr>
    </w:lvl>
    <w:lvl w:ilvl="3" w:tentative="0">
      <w:start w:val="1"/>
      <w:numFmt w:val="decimal"/>
      <w:lvlText w:val="%4."/>
      <w:lvlJc w:val="left"/>
      <w:pPr>
        <w:ind w:left="2182" w:hanging="440"/>
      </w:pPr>
    </w:lvl>
    <w:lvl w:ilvl="4" w:tentative="0">
      <w:start w:val="1"/>
      <w:numFmt w:val="lowerLetter"/>
      <w:lvlText w:val="%5)"/>
      <w:lvlJc w:val="left"/>
      <w:pPr>
        <w:ind w:left="2622" w:hanging="440"/>
      </w:pPr>
    </w:lvl>
    <w:lvl w:ilvl="5" w:tentative="0">
      <w:start w:val="1"/>
      <w:numFmt w:val="lowerRoman"/>
      <w:lvlText w:val="%6."/>
      <w:lvlJc w:val="right"/>
      <w:pPr>
        <w:ind w:left="3062" w:hanging="440"/>
      </w:pPr>
    </w:lvl>
    <w:lvl w:ilvl="6" w:tentative="0">
      <w:start w:val="1"/>
      <w:numFmt w:val="decimal"/>
      <w:lvlText w:val="%7."/>
      <w:lvlJc w:val="left"/>
      <w:pPr>
        <w:ind w:left="3502" w:hanging="440"/>
      </w:pPr>
    </w:lvl>
    <w:lvl w:ilvl="7" w:tentative="0">
      <w:start w:val="1"/>
      <w:numFmt w:val="lowerLetter"/>
      <w:lvlText w:val="%8)"/>
      <w:lvlJc w:val="left"/>
      <w:pPr>
        <w:ind w:left="3942" w:hanging="440"/>
      </w:pPr>
    </w:lvl>
    <w:lvl w:ilvl="8" w:tentative="0">
      <w:start w:val="1"/>
      <w:numFmt w:val="lowerRoman"/>
      <w:lvlText w:val="%9."/>
      <w:lvlJc w:val="right"/>
      <w:pPr>
        <w:ind w:left="4382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MDgyOTI3YTBmYWI3MTU5ZDBiYjIyOTNiZDU2YWIifQ=="/>
  </w:docVars>
  <w:rsids>
    <w:rsidRoot w:val="49451D89"/>
    <w:rsid w:val="00002773"/>
    <w:rsid w:val="000608D1"/>
    <w:rsid w:val="0007026A"/>
    <w:rsid w:val="000721A1"/>
    <w:rsid w:val="0007506D"/>
    <w:rsid w:val="00090126"/>
    <w:rsid w:val="000E707A"/>
    <w:rsid w:val="00105012"/>
    <w:rsid w:val="001C4071"/>
    <w:rsid w:val="001E6C49"/>
    <w:rsid w:val="001F4A38"/>
    <w:rsid w:val="002364EF"/>
    <w:rsid w:val="00251FD3"/>
    <w:rsid w:val="002819C1"/>
    <w:rsid w:val="002B0544"/>
    <w:rsid w:val="002C0EB4"/>
    <w:rsid w:val="002C3290"/>
    <w:rsid w:val="002D064D"/>
    <w:rsid w:val="002D5F15"/>
    <w:rsid w:val="002E732C"/>
    <w:rsid w:val="002F2A67"/>
    <w:rsid w:val="003114AA"/>
    <w:rsid w:val="00340F81"/>
    <w:rsid w:val="00362CFB"/>
    <w:rsid w:val="00366113"/>
    <w:rsid w:val="003972C2"/>
    <w:rsid w:val="003C0748"/>
    <w:rsid w:val="003D02BC"/>
    <w:rsid w:val="003D1D2F"/>
    <w:rsid w:val="003D64E1"/>
    <w:rsid w:val="003D6DCB"/>
    <w:rsid w:val="003F24E0"/>
    <w:rsid w:val="0042037D"/>
    <w:rsid w:val="004C1146"/>
    <w:rsid w:val="004D1EE5"/>
    <w:rsid w:val="005014E1"/>
    <w:rsid w:val="005125A9"/>
    <w:rsid w:val="0051582A"/>
    <w:rsid w:val="0055099B"/>
    <w:rsid w:val="005C2660"/>
    <w:rsid w:val="00685096"/>
    <w:rsid w:val="0070772A"/>
    <w:rsid w:val="00733618"/>
    <w:rsid w:val="007653D8"/>
    <w:rsid w:val="007958A5"/>
    <w:rsid w:val="007A7D1C"/>
    <w:rsid w:val="00833498"/>
    <w:rsid w:val="00857571"/>
    <w:rsid w:val="008916C1"/>
    <w:rsid w:val="008A7063"/>
    <w:rsid w:val="008D7F1D"/>
    <w:rsid w:val="00920D40"/>
    <w:rsid w:val="00927976"/>
    <w:rsid w:val="0095025A"/>
    <w:rsid w:val="00964BE1"/>
    <w:rsid w:val="009A6E72"/>
    <w:rsid w:val="009C0F45"/>
    <w:rsid w:val="00A23EE6"/>
    <w:rsid w:val="00A819A0"/>
    <w:rsid w:val="00B05B13"/>
    <w:rsid w:val="00B1065C"/>
    <w:rsid w:val="00B5083B"/>
    <w:rsid w:val="00B52F79"/>
    <w:rsid w:val="00BA3F73"/>
    <w:rsid w:val="00BA7A67"/>
    <w:rsid w:val="00BC2C3E"/>
    <w:rsid w:val="00BE6CDC"/>
    <w:rsid w:val="00BF68CB"/>
    <w:rsid w:val="00C10694"/>
    <w:rsid w:val="00C75274"/>
    <w:rsid w:val="00CB1295"/>
    <w:rsid w:val="00CC3A87"/>
    <w:rsid w:val="00D20588"/>
    <w:rsid w:val="00D254A2"/>
    <w:rsid w:val="00D403A6"/>
    <w:rsid w:val="00D673D7"/>
    <w:rsid w:val="00E52CBC"/>
    <w:rsid w:val="00E60A8F"/>
    <w:rsid w:val="00E730A4"/>
    <w:rsid w:val="00E92720"/>
    <w:rsid w:val="00EB2719"/>
    <w:rsid w:val="00EC6F19"/>
    <w:rsid w:val="00ED714F"/>
    <w:rsid w:val="00F96404"/>
    <w:rsid w:val="00FB2E3B"/>
    <w:rsid w:val="00FC0D6F"/>
    <w:rsid w:val="00FF008A"/>
    <w:rsid w:val="00FF2ACC"/>
    <w:rsid w:val="00FF6B83"/>
    <w:rsid w:val="02C32E43"/>
    <w:rsid w:val="04435D8A"/>
    <w:rsid w:val="062159C7"/>
    <w:rsid w:val="07306107"/>
    <w:rsid w:val="07854B6B"/>
    <w:rsid w:val="07962756"/>
    <w:rsid w:val="09D04097"/>
    <w:rsid w:val="0AEC4F01"/>
    <w:rsid w:val="0B8909A2"/>
    <w:rsid w:val="0BAA2F96"/>
    <w:rsid w:val="0C3703FE"/>
    <w:rsid w:val="0C6F6E83"/>
    <w:rsid w:val="0D4E1EA3"/>
    <w:rsid w:val="0F0336F3"/>
    <w:rsid w:val="10EF12A7"/>
    <w:rsid w:val="1154735C"/>
    <w:rsid w:val="11772ECA"/>
    <w:rsid w:val="11A26995"/>
    <w:rsid w:val="12445622"/>
    <w:rsid w:val="1317425D"/>
    <w:rsid w:val="14E22A32"/>
    <w:rsid w:val="16133C89"/>
    <w:rsid w:val="18AC17BB"/>
    <w:rsid w:val="191A70DD"/>
    <w:rsid w:val="1A147FD0"/>
    <w:rsid w:val="1AEF4F55"/>
    <w:rsid w:val="1C9407A6"/>
    <w:rsid w:val="1DB01DBE"/>
    <w:rsid w:val="1E1660C5"/>
    <w:rsid w:val="1EB853CE"/>
    <w:rsid w:val="1ECC341E"/>
    <w:rsid w:val="1F8F130C"/>
    <w:rsid w:val="20605D1D"/>
    <w:rsid w:val="21010555"/>
    <w:rsid w:val="23B95E70"/>
    <w:rsid w:val="24B6415E"/>
    <w:rsid w:val="25036150"/>
    <w:rsid w:val="25FF1B34"/>
    <w:rsid w:val="264B4680"/>
    <w:rsid w:val="26C101AA"/>
    <w:rsid w:val="27392E24"/>
    <w:rsid w:val="29911395"/>
    <w:rsid w:val="2A5E4EB6"/>
    <w:rsid w:val="2AD52E64"/>
    <w:rsid w:val="2AF94DA4"/>
    <w:rsid w:val="2C7D37B3"/>
    <w:rsid w:val="2CB12D13"/>
    <w:rsid w:val="2CD258AD"/>
    <w:rsid w:val="2CFE2B46"/>
    <w:rsid w:val="2DE57862"/>
    <w:rsid w:val="2EC51623"/>
    <w:rsid w:val="30323967"/>
    <w:rsid w:val="312800BB"/>
    <w:rsid w:val="315C1DE1"/>
    <w:rsid w:val="326276D3"/>
    <w:rsid w:val="32A23F73"/>
    <w:rsid w:val="32CC7242"/>
    <w:rsid w:val="32EB3B6C"/>
    <w:rsid w:val="33CD3272"/>
    <w:rsid w:val="33F20F2A"/>
    <w:rsid w:val="344A2B14"/>
    <w:rsid w:val="347656B7"/>
    <w:rsid w:val="371C0798"/>
    <w:rsid w:val="38685317"/>
    <w:rsid w:val="39C944DB"/>
    <w:rsid w:val="3C485B8B"/>
    <w:rsid w:val="3C547EA3"/>
    <w:rsid w:val="3CE52B0A"/>
    <w:rsid w:val="3DBA6615"/>
    <w:rsid w:val="3E642A25"/>
    <w:rsid w:val="3F9F2EEF"/>
    <w:rsid w:val="40030C9F"/>
    <w:rsid w:val="40C94DC1"/>
    <w:rsid w:val="41E049C7"/>
    <w:rsid w:val="432B3B11"/>
    <w:rsid w:val="43BA2E6B"/>
    <w:rsid w:val="43FE1BC4"/>
    <w:rsid w:val="452847AC"/>
    <w:rsid w:val="45BC4644"/>
    <w:rsid w:val="45F83949"/>
    <w:rsid w:val="463A4797"/>
    <w:rsid w:val="46436698"/>
    <w:rsid w:val="46BF2EEE"/>
    <w:rsid w:val="474454F9"/>
    <w:rsid w:val="475E44B5"/>
    <w:rsid w:val="47FF6E96"/>
    <w:rsid w:val="48284019"/>
    <w:rsid w:val="48384D06"/>
    <w:rsid w:val="49451D89"/>
    <w:rsid w:val="49B063F1"/>
    <w:rsid w:val="4C0618CC"/>
    <w:rsid w:val="4C2B7368"/>
    <w:rsid w:val="4C6835B8"/>
    <w:rsid w:val="4EBD4638"/>
    <w:rsid w:val="4F640810"/>
    <w:rsid w:val="516528E4"/>
    <w:rsid w:val="51A0391C"/>
    <w:rsid w:val="55DB3175"/>
    <w:rsid w:val="565F5B54"/>
    <w:rsid w:val="569E585C"/>
    <w:rsid w:val="593C3C03"/>
    <w:rsid w:val="59DF0C90"/>
    <w:rsid w:val="5A1726D0"/>
    <w:rsid w:val="5A8B33BB"/>
    <w:rsid w:val="5ADF1011"/>
    <w:rsid w:val="5B036474"/>
    <w:rsid w:val="5B150ED7"/>
    <w:rsid w:val="5B4C2BEE"/>
    <w:rsid w:val="5BAF4E87"/>
    <w:rsid w:val="5CC2064E"/>
    <w:rsid w:val="5D720862"/>
    <w:rsid w:val="5D924A61"/>
    <w:rsid w:val="5DD010E5"/>
    <w:rsid w:val="5E23390B"/>
    <w:rsid w:val="5EA467FA"/>
    <w:rsid w:val="5EA54320"/>
    <w:rsid w:val="5F076D88"/>
    <w:rsid w:val="60A52CFD"/>
    <w:rsid w:val="60AD3C68"/>
    <w:rsid w:val="60EE0200"/>
    <w:rsid w:val="612A0DCB"/>
    <w:rsid w:val="61AA3AB3"/>
    <w:rsid w:val="62A166BD"/>
    <w:rsid w:val="63307591"/>
    <w:rsid w:val="635A1B7D"/>
    <w:rsid w:val="64F43A40"/>
    <w:rsid w:val="652A37D1"/>
    <w:rsid w:val="657B7B0E"/>
    <w:rsid w:val="65C9123C"/>
    <w:rsid w:val="65D73958"/>
    <w:rsid w:val="66654482"/>
    <w:rsid w:val="669E6224"/>
    <w:rsid w:val="6753700F"/>
    <w:rsid w:val="6B916358"/>
    <w:rsid w:val="6CD164A4"/>
    <w:rsid w:val="6E027099"/>
    <w:rsid w:val="6F0C1D1D"/>
    <w:rsid w:val="6F3F0947"/>
    <w:rsid w:val="6FAE6717"/>
    <w:rsid w:val="6FD83947"/>
    <w:rsid w:val="706C2EEF"/>
    <w:rsid w:val="71CD496F"/>
    <w:rsid w:val="71E07B54"/>
    <w:rsid w:val="729A2BB5"/>
    <w:rsid w:val="73960429"/>
    <w:rsid w:val="73A56E44"/>
    <w:rsid w:val="73B2330F"/>
    <w:rsid w:val="73C0562D"/>
    <w:rsid w:val="743401C8"/>
    <w:rsid w:val="76ED31EC"/>
    <w:rsid w:val="779A47E6"/>
    <w:rsid w:val="77B27D81"/>
    <w:rsid w:val="795D2989"/>
    <w:rsid w:val="7C08699D"/>
    <w:rsid w:val="7CF557A6"/>
    <w:rsid w:val="7D1943FF"/>
    <w:rsid w:val="7F9F6E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眉 字符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2905</Words>
  <Characters>3004</Characters>
  <Lines>80</Lines>
  <Paragraphs>64</Paragraphs>
  <TotalTime>11</TotalTime>
  <ScaleCrop>false</ScaleCrop>
  <LinksUpToDate>false</LinksUpToDate>
  <CharactersWithSpaces>3030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2022-04-26T00:22:00Z</dcterms:created>
  <dc:creator>Administrator</dc:creator>
  <cp:lastModifiedBy>PY</cp:lastModifiedBy>
  <cp:lastPrinted>2025-06-13T03:50:00Z</cp:lastPrinted>
  <dcterms:modified xsi:type="dcterms:W3CDTF">2026-03-27T03:34:46Z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87ECE99B03394918BE12C692D1F48688</vt:lpwstr>
  </property>
  <property fmtid="{D5CDD505-2E9C-101B-9397-08002B2CF9AE}" pid="4" name="commondata">
    <vt:lpwstr>eyJoZGlkIjoiZTJhMmQyZGQ2MWQzMTg0Y2U4Yzg4OWFjNjMyYWExYWMifQ==</vt:lpwstr>
  </property>
  <property fmtid="{D5CDD505-2E9C-101B-9397-08002B2CF9AE}" pid="5" name="KSOTemplateDocerSaveRecord">
    <vt:lpwstr>eyJoZGlkIjoiZGU0NWY3NjM0NTkyMDk2YjU0MzgxNTUzNmY5N2JlMmQiLCJ1c2VySWQiOiIzNDYwNDgzNDcifQ==</vt:lpwstr>
  </property>
</Properties>
</file>