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after="156" w:afterLines="50"/>
        <w:jc w:val="center"/>
        <w:rPr>
          <w:rFonts w:hint="eastAsia" w:ascii="Times New Roman" w:hAnsi="Times New Roman" w:eastAsia="黑体"/>
          <w:sz w:val="32"/>
          <w:szCs w:val="32"/>
        </w:rPr>
      </w:pPr>
      <w:r>
        <w:rPr>
          <w:rFonts w:hint="eastAsia" w:ascii="Times New Roman" w:hAnsi="Times New Roman" w:eastAsia="黑体"/>
          <w:sz w:val="32"/>
          <w:szCs w:val="32"/>
        </w:rPr>
        <w:t>AI赋能环境监测实验室第一期项目</w:t>
      </w:r>
    </w:p>
    <w:p>
      <w:pPr>
        <w:tabs>
          <w:tab w:val="left" w:pos="0"/>
        </w:tabs>
        <w:spacing w:after="156" w:afterLines="50"/>
        <w:jc w:val="center"/>
        <w:rPr>
          <w:rFonts w:ascii="Times New Roman" w:hAnsi="Times New Roman" w:eastAsia="黑体"/>
          <w:sz w:val="32"/>
          <w:szCs w:val="32"/>
        </w:rPr>
      </w:pPr>
      <w:r>
        <w:rPr>
          <w:rFonts w:hint="eastAsia" w:ascii="Times New Roman" w:hAnsi="Times New Roman" w:eastAsia="黑体"/>
          <w:sz w:val="32"/>
          <w:szCs w:val="32"/>
        </w:rPr>
        <w:t>评分标准</w:t>
      </w:r>
    </w:p>
    <w:p>
      <w:pPr>
        <w:spacing w:after="312" w:afterLines="100" w:line="500" w:lineRule="exact"/>
        <w:ind w:firstLine="480" w:firstLineChars="200"/>
        <w:rPr>
          <w:rFonts w:ascii="Times New Roman" w:hAnsi="Times New Roman" w:eastAsia="仿宋" w:cs="宋体"/>
          <w:bCs/>
          <w:kern w:val="0"/>
          <w:sz w:val="24"/>
        </w:rPr>
      </w:pPr>
      <w:r>
        <w:rPr>
          <w:rFonts w:hint="eastAsia" w:ascii="Times New Roman" w:hAnsi="Times New Roman" w:eastAsia="仿宋" w:cs="宋体"/>
          <w:bCs/>
          <w:kern w:val="0"/>
          <w:sz w:val="24"/>
        </w:rPr>
        <w:t>本次AI赋能环境监测实验室第一期项目评分体系共分为四个部分，分别是价格部分、技术部分、商务部分和服务部分，总分值为 100 分。各部分具体权重如下：</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332"/>
        <w:gridCol w:w="5665"/>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15" w:type="pct"/>
            <w:vAlign w:val="center"/>
          </w:tcPr>
          <w:p>
            <w:pPr>
              <w:widowControl w:val="0"/>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782" w:type="pct"/>
            <w:vAlign w:val="center"/>
          </w:tcPr>
          <w:p>
            <w:pPr>
              <w:widowControl w:val="0"/>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评审内容</w:t>
            </w:r>
          </w:p>
        </w:tc>
        <w:tc>
          <w:tcPr>
            <w:tcW w:w="3324" w:type="pct"/>
            <w:vAlign w:val="center"/>
          </w:tcPr>
          <w:p>
            <w:pPr>
              <w:widowControl w:val="0"/>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评审标准得分</w:t>
            </w:r>
          </w:p>
        </w:tc>
        <w:tc>
          <w:tcPr>
            <w:tcW w:w="376" w:type="pct"/>
            <w:vAlign w:val="center"/>
          </w:tcPr>
          <w:p>
            <w:pPr>
              <w:widowControl w:val="0"/>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15" w:type="pct"/>
            <w:vAlign w:val="center"/>
          </w:tcPr>
          <w:p>
            <w:pPr>
              <w:widowControl w:val="0"/>
              <w:snapToGrid w:val="0"/>
              <w:jc w:val="center"/>
              <w:rPr>
                <w:rFonts w:hint="eastAsia" w:asciiTheme="majorEastAsia" w:hAnsiTheme="majorEastAsia" w:eastAsiaTheme="majorEastAsia" w:cstheme="majorEastAsia"/>
                <w:b/>
                <w:bCs/>
              </w:rPr>
            </w:pPr>
          </w:p>
        </w:tc>
        <w:tc>
          <w:tcPr>
            <w:tcW w:w="4107" w:type="pct"/>
            <w:gridSpan w:val="2"/>
            <w:vAlign w:val="center"/>
          </w:tcPr>
          <w:p>
            <w:pPr>
              <w:widowControl w:val="0"/>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一、价格部分（</w:t>
            </w:r>
            <w:r>
              <w:rPr>
                <w:rFonts w:hint="eastAsia" w:asciiTheme="majorEastAsia" w:hAnsiTheme="majorEastAsia" w:eastAsiaTheme="majorEastAsia" w:cstheme="majorEastAsia"/>
                <w:b/>
                <w:bCs/>
                <w:lang w:val="en-US" w:eastAsia="zh-CN"/>
              </w:rPr>
              <w:t>20</w:t>
            </w:r>
            <w:r>
              <w:rPr>
                <w:rFonts w:hint="eastAsia" w:asciiTheme="majorEastAsia" w:hAnsiTheme="majorEastAsia" w:eastAsiaTheme="majorEastAsia" w:cstheme="majorEastAsia"/>
                <w:b/>
                <w:bCs/>
              </w:rPr>
              <w:t>分）</w:t>
            </w:r>
          </w:p>
        </w:tc>
        <w:tc>
          <w:tcPr>
            <w:tcW w:w="376" w:type="pct"/>
            <w:vAlign w:val="center"/>
          </w:tcPr>
          <w:p>
            <w:pPr>
              <w:widowControl w:val="0"/>
              <w:snapToGrid w:val="0"/>
              <w:jc w:val="center"/>
              <w:rPr>
                <w:rFonts w:hint="eastAsia" w:asciiTheme="majorEastAsia" w:hAnsiTheme="majorEastAsia" w:eastAsiaTheme="majorEastAsia" w:cstheme="major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pct"/>
            <w:vAlign w:val="center"/>
          </w:tcPr>
          <w:p>
            <w:pPr>
              <w:widowControl w:val="0"/>
              <w:snapToGrid w:val="0"/>
              <w:jc w:val="center"/>
              <w:rPr>
                <w:rFonts w:ascii="Times New Roman" w:hAnsi="Times New Roman" w:eastAsia="仿宋"/>
                <w:szCs w:val="21"/>
              </w:rPr>
            </w:pPr>
            <w:r>
              <w:rPr>
                <w:rFonts w:ascii="Times New Roman" w:hAnsi="Times New Roman" w:eastAsia="仿宋"/>
                <w:szCs w:val="21"/>
              </w:rPr>
              <w:t>1</w:t>
            </w:r>
          </w:p>
        </w:tc>
        <w:tc>
          <w:tcPr>
            <w:tcW w:w="782" w:type="pct"/>
            <w:vAlign w:val="center"/>
          </w:tcPr>
          <w:p>
            <w:pPr>
              <w:widowControl w:val="0"/>
              <w:snapToGrid w:val="0"/>
              <w:jc w:val="center"/>
              <w:rPr>
                <w:rFonts w:ascii="Times New Roman" w:hAnsi="Times New Roman" w:eastAsia="仿宋"/>
                <w:szCs w:val="21"/>
              </w:rPr>
            </w:pPr>
            <w:r>
              <w:rPr>
                <w:rFonts w:ascii="Times New Roman" w:hAnsi="Times New Roman" w:eastAsia="仿宋"/>
                <w:b/>
                <w:bCs/>
                <w:szCs w:val="21"/>
              </w:rPr>
              <w:t>投标报价（</w:t>
            </w:r>
            <w:r>
              <w:rPr>
                <w:rFonts w:hint="eastAsia" w:ascii="Times New Roman" w:hAnsi="Times New Roman" w:eastAsia="仿宋"/>
                <w:b/>
                <w:bCs/>
                <w:color w:val="auto"/>
                <w:szCs w:val="21"/>
                <w:lang w:val="en-US" w:eastAsia="zh-CN"/>
              </w:rPr>
              <w:t>20</w:t>
            </w:r>
            <w:r>
              <w:rPr>
                <w:rFonts w:ascii="Times New Roman" w:hAnsi="Times New Roman" w:eastAsia="仿宋"/>
                <w:b/>
                <w:bCs/>
                <w:szCs w:val="21"/>
              </w:rPr>
              <w:t>分）</w:t>
            </w:r>
          </w:p>
        </w:tc>
        <w:tc>
          <w:tcPr>
            <w:tcW w:w="3324" w:type="pct"/>
          </w:tcPr>
          <w:p>
            <w:pPr>
              <w:widowControl w:val="0"/>
              <w:ind w:firstLine="210" w:firstLineChars="100"/>
              <w:jc w:val="both"/>
              <w:rPr>
                <w:rFonts w:ascii="Times New Roman" w:hAnsi="Times New Roman" w:eastAsia="仿宋"/>
                <w:szCs w:val="21"/>
              </w:rPr>
            </w:pPr>
            <w:r>
              <w:rPr>
                <w:rFonts w:hint="eastAsia" w:ascii="Times New Roman" w:hAnsi="Times New Roman" w:eastAsia="仿宋"/>
                <w:szCs w:val="21"/>
              </w:rPr>
              <w:t>（1）</w:t>
            </w:r>
            <w:r>
              <w:rPr>
                <w:rFonts w:ascii="Times New Roman" w:hAnsi="Times New Roman" w:eastAsia="仿宋"/>
                <w:szCs w:val="21"/>
              </w:rPr>
              <w:t>确定评标基准价</w:t>
            </w:r>
            <w:r>
              <w:rPr>
                <w:rFonts w:hint="eastAsia" w:ascii="Times New Roman" w:hAnsi="Times New Roman" w:eastAsia="仿宋"/>
                <w:szCs w:val="21"/>
              </w:rPr>
              <w:t>：</w:t>
            </w:r>
            <w:r>
              <w:rPr>
                <w:rFonts w:ascii="Times New Roman" w:hAnsi="Times New Roman" w:eastAsia="仿宋"/>
                <w:szCs w:val="21"/>
              </w:rPr>
              <w:t>以所有通过资格审查和初步评审的有效投标报价中的最低报价作为评标基准价。若出现多家供应商报价相同且均为最低报价的情况，则该最低报价即为评标基准价。​</w:t>
            </w:r>
          </w:p>
          <w:p>
            <w:pPr>
              <w:widowControl w:val="0"/>
              <w:ind w:firstLine="210" w:firstLineChars="100"/>
              <w:jc w:val="both"/>
              <w:rPr>
                <w:rFonts w:ascii="Times New Roman" w:hAnsi="Times New Roman" w:eastAsia="仿宋"/>
                <w:szCs w:val="21"/>
              </w:rPr>
            </w:pPr>
            <w:r>
              <w:rPr>
                <w:rFonts w:hint="eastAsia" w:ascii="Times New Roman" w:hAnsi="Times New Roman" w:eastAsia="仿宋"/>
                <w:szCs w:val="21"/>
              </w:rPr>
              <w:t>（2）</w:t>
            </w:r>
            <w:r>
              <w:rPr>
                <w:rFonts w:ascii="Times New Roman" w:hAnsi="Times New Roman" w:eastAsia="仿宋"/>
                <w:szCs w:val="21"/>
              </w:rPr>
              <w:t>计算投标报价分</w:t>
            </w:r>
            <w:r>
              <w:rPr>
                <w:rFonts w:hint="eastAsia" w:ascii="Times New Roman" w:hAnsi="Times New Roman" w:eastAsia="仿宋"/>
                <w:szCs w:val="21"/>
              </w:rPr>
              <w:t>计算公式：某供应商价格分 = 供应商最低评审报价（金额）/某供应商评审报价（金额）×</w:t>
            </w:r>
            <w:r>
              <w:rPr>
                <w:rFonts w:hint="eastAsia" w:ascii="Times New Roman" w:hAnsi="Times New Roman" w:eastAsia="仿宋"/>
                <w:color w:val="FF0000"/>
                <w:szCs w:val="21"/>
                <w:lang w:val="en-US" w:eastAsia="zh-CN"/>
              </w:rPr>
              <w:t>2</w:t>
            </w:r>
            <w:r>
              <w:rPr>
                <w:rFonts w:hint="eastAsia" w:ascii="Times New Roman" w:hAnsi="Times New Roman" w:eastAsia="仿宋"/>
                <w:szCs w:val="21"/>
              </w:rPr>
              <w:t>0分。</w:t>
            </w:r>
            <w:r>
              <w:rPr>
                <w:rFonts w:hint="eastAsia" w:ascii="仿宋" w:hAnsi="仿宋" w:eastAsia="仿宋"/>
                <w:szCs w:val="21"/>
              </w:rPr>
              <w:t>[</w:t>
            </w:r>
            <w:r>
              <w:rPr>
                <w:rFonts w:hint="eastAsia" w:ascii="Times New Roman" w:hAnsi="Times New Roman" w:eastAsia="仿宋"/>
                <w:szCs w:val="21"/>
              </w:rPr>
              <w:t>中小企业价格扣除：根据《政府采购促进中小企业发展管理办法》（财库〔</w:t>
            </w:r>
            <w:r>
              <w:rPr>
                <w:rFonts w:ascii="Times New Roman" w:hAnsi="Times New Roman" w:eastAsia="仿宋"/>
                <w:szCs w:val="21"/>
              </w:rPr>
              <w:t>2020</w:t>
            </w:r>
            <w:r>
              <w:rPr>
                <w:rFonts w:hint="eastAsia" w:ascii="Times New Roman" w:hAnsi="Times New Roman" w:eastAsia="仿宋"/>
                <w:szCs w:val="21"/>
              </w:rPr>
              <w:t>〕</w:t>
            </w:r>
            <w:r>
              <w:rPr>
                <w:rFonts w:ascii="Times New Roman" w:hAnsi="Times New Roman" w:eastAsia="仿宋"/>
                <w:szCs w:val="21"/>
              </w:rPr>
              <w:t>46</w:t>
            </w:r>
            <w:r>
              <w:rPr>
                <w:rFonts w:hint="eastAsia" w:ascii="Times New Roman" w:hAnsi="Times New Roman" w:eastAsia="仿宋"/>
                <w:szCs w:val="21"/>
              </w:rPr>
              <w:t>号），对符合规定的小微企业报价给予</w:t>
            </w:r>
            <w:r>
              <w:rPr>
                <w:rFonts w:ascii="Times New Roman" w:hAnsi="Times New Roman" w:eastAsia="仿宋"/>
                <w:szCs w:val="21"/>
              </w:rPr>
              <w:t>10%-20%</w:t>
            </w:r>
            <w:r>
              <w:rPr>
                <w:rFonts w:hint="eastAsia" w:ascii="Times New Roman" w:hAnsi="Times New Roman" w:eastAsia="仿宋"/>
                <w:szCs w:val="21"/>
              </w:rPr>
              <w:t>的扣除（具体比例以招标文件为准），符合条件的供应商可用扣除后的价格参与评审，供应商需提供《中小企业声明函》，未提供不得享受价格扣除</w:t>
            </w:r>
            <w:r>
              <w:rPr>
                <w:rFonts w:hint="eastAsia" w:ascii="仿宋" w:hAnsi="仿宋" w:eastAsia="仿宋"/>
                <w:szCs w:val="21"/>
              </w:rPr>
              <w:t>]。</w:t>
            </w:r>
          </w:p>
          <w:p>
            <w:pPr>
              <w:widowControl w:val="0"/>
              <w:ind w:firstLine="210" w:firstLineChars="100"/>
              <w:jc w:val="both"/>
              <w:rPr>
                <w:rFonts w:ascii="Times New Roman" w:hAnsi="Times New Roman" w:eastAsia="仿宋"/>
                <w:szCs w:val="21"/>
              </w:rPr>
            </w:pPr>
            <w:r>
              <w:rPr>
                <w:rFonts w:hint="eastAsia" w:ascii="Times New Roman" w:hAnsi="Times New Roman" w:eastAsia="仿宋"/>
                <w:szCs w:val="21"/>
              </w:rPr>
              <w:t>（3）</w:t>
            </w:r>
            <w:r>
              <w:rPr>
                <w:rFonts w:ascii="Times New Roman" w:hAnsi="Times New Roman" w:eastAsia="仿宋"/>
                <w:szCs w:val="21"/>
              </w:rPr>
              <w:t>特殊情况处理</w:t>
            </w:r>
            <w:r>
              <w:rPr>
                <w:rFonts w:hint="eastAsia" w:ascii="Times New Roman" w:hAnsi="Times New Roman" w:eastAsia="仿宋"/>
                <w:szCs w:val="21"/>
              </w:rPr>
              <w:t>：</w:t>
            </w:r>
            <w:r>
              <w:rPr>
                <w:rFonts w:ascii="Times New Roman" w:hAnsi="Times New Roman" w:eastAsia="仿宋"/>
                <w:szCs w:val="21"/>
              </w:rPr>
              <w:t>若投标报价低于成本价（由评标委员会根据市场行情、生产成本等因素综合判断），该投标文件将被视为无效投标，不参与价格部分评分。</w:t>
            </w:r>
          </w:p>
        </w:tc>
        <w:tc>
          <w:tcPr>
            <w:tcW w:w="376" w:type="pct"/>
          </w:tcPr>
          <w:p>
            <w:pPr>
              <w:widowControl w:val="0"/>
              <w:snapToGrid w:val="0"/>
              <w:ind w:firstLine="420" w:firstLineChars="200"/>
              <w:jc w:val="both"/>
              <w:rPr>
                <w:rFonts w:hint="eastAsia"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000" w:type="pct"/>
            <w:gridSpan w:val="4"/>
            <w:vAlign w:val="center"/>
          </w:tcPr>
          <w:p>
            <w:pPr>
              <w:widowControl w:val="0"/>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二、技术部分</w:t>
            </w:r>
            <w:r>
              <w:rPr>
                <w:rFonts w:hint="eastAsia" w:asciiTheme="majorEastAsia" w:hAnsiTheme="majorEastAsia" w:eastAsiaTheme="majorEastAsia" w:cstheme="majorEastAsia"/>
                <w:b/>
                <w:bCs/>
                <w:color w:val="auto"/>
              </w:rPr>
              <w:t>（</w:t>
            </w:r>
            <w:r>
              <w:rPr>
                <w:rFonts w:hint="eastAsia" w:asciiTheme="majorEastAsia" w:hAnsiTheme="majorEastAsia" w:eastAsiaTheme="majorEastAsia" w:cstheme="majorEastAsia"/>
                <w:b/>
                <w:bCs/>
                <w:color w:val="auto"/>
                <w:lang w:val="en-US" w:eastAsia="zh-CN"/>
              </w:rPr>
              <w:t>55</w:t>
            </w:r>
            <w:r>
              <w:rPr>
                <w:rFonts w:hint="eastAsia" w:asciiTheme="majorEastAsia" w:hAnsiTheme="majorEastAsia" w:eastAsiaTheme="majorEastAsia" w:cstheme="majorEastAsia"/>
                <w:b/>
                <w:bCs/>
                <w:color w:val="auto"/>
              </w:rPr>
              <w:t>分</w:t>
            </w:r>
            <w:r>
              <w:rPr>
                <w:rFonts w:hint="eastAsia" w:asciiTheme="majorEastAsia" w:hAnsiTheme="majorEastAsia" w:eastAsiaTheme="majorEastAsia" w:cstheme="major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5" w:hRule="atLeast"/>
          <w:jc w:val="center"/>
        </w:trPr>
        <w:tc>
          <w:tcPr>
            <w:tcW w:w="515" w:type="pct"/>
            <w:vAlign w:val="center"/>
          </w:tcPr>
          <w:p>
            <w:pPr>
              <w:widowControl w:val="0"/>
              <w:snapToGrid w:val="0"/>
              <w:jc w:val="center"/>
              <w:rPr>
                <w:rFonts w:ascii="Times New Roman" w:hAnsi="Times New Roman" w:eastAsia="仿宋"/>
                <w:b/>
                <w:bCs/>
                <w:szCs w:val="21"/>
              </w:rPr>
            </w:pPr>
            <w:r>
              <w:rPr>
                <w:rFonts w:hint="eastAsia" w:ascii="Times New Roman" w:hAnsi="Times New Roman" w:eastAsia="仿宋"/>
                <w:b/>
                <w:bCs/>
                <w:szCs w:val="21"/>
              </w:rPr>
              <w:t>1</w:t>
            </w:r>
          </w:p>
        </w:tc>
        <w:tc>
          <w:tcPr>
            <w:tcW w:w="782" w:type="pct"/>
            <w:vAlign w:val="center"/>
          </w:tcPr>
          <w:p>
            <w:pPr>
              <w:widowControl w:val="0"/>
              <w:snapToGrid w:val="0"/>
              <w:jc w:val="center"/>
              <w:rPr>
                <w:rFonts w:ascii="Times New Roman" w:hAnsi="Times New Roman" w:eastAsia="仿宋"/>
                <w:b/>
                <w:bCs/>
                <w:szCs w:val="21"/>
              </w:rPr>
            </w:pPr>
          </w:p>
          <w:p>
            <w:pPr>
              <w:widowControl w:val="0"/>
              <w:snapToGrid w:val="0"/>
              <w:jc w:val="center"/>
              <w:rPr>
                <w:rFonts w:ascii="Times New Roman" w:hAnsi="Times New Roman" w:eastAsia="仿宋"/>
                <w:b/>
                <w:bCs/>
                <w:szCs w:val="21"/>
              </w:rPr>
            </w:pPr>
            <w:r>
              <w:rPr>
                <w:rFonts w:hint="eastAsia" w:ascii="Times New Roman" w:hAnsi="Times New Roman" w:eastAsia="仿宋"/>
                <w:b/>
                <w:bCs/>
                <w:szCs w:val="21"/>
              </w:rPr>
              <w:t>服务方案分（5</w:t>
            </w:r>
            <w:r>
              <w:rPr>
                <w:rFonts w:hint="eastAsia" w:ascii="Times New Roman" w:hAnsi="Times New Roman" w:eastAsia="仿宋"/>
                <w:b/>
                <w:bCs/>
                <w:szCs w:val="21"/>
                <w:lang w:val="en-US" w:eastAsia="zh-CN"/>
              </w:rPr>
              <w:t>5</w:t>
            </w:r>
            <w:r>
              <w:rPr>
                <w:rFonts w:hint="eastAsia" w:ascii="Times New Roman" w:hAnsi="Times New Roman" w:eastAsia="仿宋"/>
                <w:b/>
                <w:bCs/>
                <w:szCs w:val="21"/>
              </w:rPr>
              <w:t>分）</w:t>
            </w:r>
          </w:p>
        </w:tc>
        <w:tc>
          <w:tcPr>
            <w:tcW w:w="3324" w:type="pct"/>
            <w:vAlign w:val="center"/>
          </w:tcPr>
          <w:p>
            <w:pPr>
              <w:widowControl w:val="0"/>
              <w:ind w:firstLine="210" w:firstLineChars="100"/>
              <w:jc w:val="both"/>
              <w:rPr>
                <w:rFonts w:ascii="Times New Roman" w:hAnsi="Times New Roman" w:eastAsia="仿宋"/>
                <w:color w:val="auto"/>
                <w:szCs w:val="21"/>
              </w:rPr>
            </w:pPr>
            <w:r>
              <w:rPr>
                <w:rFonts w:hint="eastAsia" w:ascii="Times New Roman" w:hAnsi="Times New Roman" w:eastAsia="仿宋"/>
                <w:color w:val="auto"/>
                <w:szCs w:val="21"/>
              </w:rPr>
              <w:t>（1）项目理解与需求分析（满分</w:t>
            </w:r>
            <w:r>
              <w:rPr>
                <w:rFonts w:hint="eastAsia" w:ascii="Times New Roman" w:hAnsi="Times New Roman" w:eastAsia="仿宋"/>
                <w:color w:val="auto"/>
                <w:szCs w:val="21"/>
                <w:lang w:val="en-US" w:eastAsia="zh-CN"/>
              </w:rPr>
              <w:t>12</w:t>
            </w:r>
            <w:r>
              <w:rPr>
                <w:rFonts w:hint="eastAsia" w:ascii="Times New Roman" w:hAnsi="Times New Roman" w:eastAsia="仿宋"/>
                <w:color w:val="auto"/>
                <w:szCs w:val="21"/>
              </w:rPr>
              <w:t>分）</w:t>
            </w:r>
          </w:p>
          <w:p>
            <w:pPr>
              <w:widowControl w:val="0"/>
              <w:jc w:val="both"/>
              <w:rPr>
                <w:rFonts w:ascii="Times New Roman" w:hAnsi="Times New Roman" w:eastAsia="仿宋"/>
                <w:color w:val="auto"/>
                <w:szCs w:val="21"/>
              </w:rPr>
            </w:pPr>
            <w:r>
              <w:rPr>
                <w:rFonts w:hint="eastAsia" w:ascii="Times New Roman" w:hAnsi="Times New Roman" w:eastAsia="仿宋"/>
                <w:color w:val="auto"/>
                <w:szCs w:val="21"/>
              </w:rPr>
              <w:t>一档（</w:t>
            </w:r>
            <w:r>
              <w:rPr>
                <w:rFonts w:hint="eastAsia" w:ascii="Times New Roman" w:hAnsi="Times New Roman" w:eastAsia="仿宋"/>
                <w:color w:val="auto"/>
                <w:szCs w:val="21"/>
                <w:lang w:val="en-US" w:eastAsia="zh-CN"/>
              </w:rPr>
              <w:t>12</w:t>
            </w:r>
            <w:r>
              <w:rPr>
                <w:rFonts w:hint="eastAsia" w:ascii="Times New Roman" w:hAnsi="Times New Roman" w:eastAsia="仿宋"/>
                <w:color w:val="auto"/>
                <w:szCs w:val="21"/>
              </w:rPr>
              <w:t>分）：对项目背景、生态环境监测实验室流程及业务需求理解深刻，技术方案完整、合理，AI模型架构设计清晰，支持空间-时间推理能力，技术方案完整。有详细的技术实现路径说明。</w:t>
            </w:r>
          </w:p>
          <w:p>
            <w:pPr>
              <w:widowControl w:val="0"/>
              <w:jc w:val="both"/>
              <w:rPr>
                <w:rFonts w:ascii="Times New Roman" w:hAnsi="Times New Roman" w:eastAsia="仿宋"/>
                <w:color w:val="auto"/>
                <w:szCs w:val="21"/>
              </w:rPr>
            </w:pPr>
            <w:r>
              <w:rPr>
                <w:rFonts w:hint="eastAsia" w:ascii="Times New Roman" w:hAnsi="Times New Roman" w:eastAsia="仿宋"/>
                <w:color w:val="auto"/>
                <w:szCs w:val="21"/>
              </w:rPr>
              <w:t>二档（</w:t>
            </w:r>
            <w:r>
              <w:rPr>
                <w:rFonts w:hint="eastAsia" w:ascii="Times New Roman" w:hAnsi="Times New Roman" w:eastAsia="仿宋"/>
                <w:color w:val="auto"/>
                <w:szCs w:val="21"/>
                <w:lang w:val="en-US" w:eastAsia="zh-CN"/>
              </w:rPr>
              <w:t>8</w:t>
            </w:r>
            <w:r>
              <w:rPr>
                <w:rFonts w:hint="eastAsia" w:ascii="Times New Roman" w:hAnsi="Times New Roman" w:eastAsia="仿宋"/>
                <w:color w:val="auto"/>
                <w:szCs w:val="21"/>
              </w:rPr>
              <w:t>分）：项目理解基本到位，技术方案基本完整，架构设计较合理，技术实现路径基本清晰。</w:t>
            </w:r>
          </w:p>
          <w:p>
            <w:pPr>
              <w:widowControl w:val="0"/>
              <w:jc w:val="both"/>
              <w:rPr>
                <w:rFonts w:ascii="Times New Roman" w:hAnsi="Times New Roman" w:eastAsia="仿宋"/>
                <w:color w:val="auto"/>
                <w:szCs w:val="21"/>
              </w:rPr>
            </w:pPr>
            <w:r>
              <w:rPr>
                <w:rFonts w:hint="eastAsia" w:ascii="Times New Roman" w:hAnsi="Times New Roman" w:eastAsia="仿宋"/>
                <w:color w:val="auto"/>
                <w:szCs w:val="21"/>
              </w:rPr>
              <w:t>三档（</w:t>
            </w:r>
            <w:r>
              <w:rPr>
                <w:rFonts w:hint="eastAsia" w:ascii="Times New Roman" w:hAnsi="Times New Roman" w:eastAsia="仿宋"/>
                <w:color w:val="auto"/>
                <w:szCs w:val="21"/>
                <w:lang w:val="en-US" w:eastAsia="zh-CN"/>
              </w:rPr>
              <w:t>0</w:t>
            </w:r>
            <w:r>
              <w:rPr>
                <w:rFonts w:hint="eastAsia" w:ascii="Times New Roman" w:hAnsi="Times New Roman" w:eastAsia="仿宋"/>
                <w:color w:val="auto"/>
                <w:szCs w:val="21"/>
              </w:rPr>
              <w:t>分）：项目理解存在偏差或未提供相关方案内容材料。</w:t>
            </w:r>
          </w:p>
          <w:p>
            <w:pPr>
              <w:widowControl w:val="0"/>
              <w:ind w:firstLine="210" w:firstLineChars="100"/>
              <w:jc w:val="both"/>
              <w:rPr>
                <w:rFonts w:ascii="Times New Roman" w:hAnsi="Times New Roman" w:eastAsia="仿宋"/>
                <w:color w:val="auto"/>
                <w:szCs w:val="21"/>
              </w:rPr>
            </w:pPr>
            <w:r>
              <w:rPr>
                <w:rFonts w:hint="eastAsia" w:ascii="Times New Roman" w:hAnsi="Times New Roman" w:eastAsia="仿宋"/>
                <w:color w:val="auto"/>
                <w:szCs w:val="21"/>
              </w:rPr>
              <w:t>（2）环境监测实验室针对性领域适配程度（满分</w:t>
            </w:r>
            <w:r>
              <w:rPr>
                <w:rFonts w:hint="eastAsia" w:ascii="Times New Roman" w:hAnsi="Times New Roman" w:eastAsia="仿宋"/>
                <w:color w:val="auto"/>
                <w:szCs w:val="21"/>
                <w:lang w:val="en-US" w:eastAsia="zh-CN"/>
              </w:rPr>
              <w:t>12</w:t>
            </w:r>
            <w:r>
              <w:rPr>
                <w:rFonts w:hint="eastAsia" w:ascii="Times New Roman" w:hAnsi="Times New Roman" w:eastAsia="仿宋"/>
                <w:color w:val="auto"/>
                <w:szCs w:val="21"/>
              </w:rPr>
              <w:t>分）</w:t>
            </w:r>
          </w:p>
          <w:p>
            <w:pPr>
              <w:widowControl w:val="0"/>
              <w:jc w:val="both"/>
              <w:rPr>
                <w:rFonts w:ascii="Times New Roman" w:hAnsi="Times New Roman" w:eastAsia="仿宋"/>
                <w:color w:val="auto"/>
                <w:szCs w:val="21"/>
              </w:rPr>
            </w:pPr>
            <w:r>
              <w:rPr>
                <w:rFonts w:hint="eastAsia" w:ascii="Times New Roman" w:hAnsi="Times New Roman" w:eastAsia="仿宋"/>
                <w:color w:val="auto"/>
                <w:szCs w:val="21"/>
              </w:rPr>
              <w:t>一档（1</w:t>
            </w:r>
            <w:r>
              <w:rPr>
                <w:rFonts w:hint="eastAsia" w:ascii="Times New Roman" w:hAnsi="Times New Roman" w:eastAsia="仿宋"/>
                <w:color w:val="auto"/>
                <w:szCs w:val="21"/>
                <w:lang w:val="en-US" w:eastAsia="zh-CN"/>
              </w:rPr>
              <w:t>2</w:t>
            </w:r>
            <w:r>
              <w:rPr>
                <w:rFonts w:hint="eastAsia" w:ascii="Times New Roman" w:hAnsi="Times New Roman" w:eastAsia="仿宋"/>
                <w:color w:val="auto"/>
                <w:szCs w:val="21"/>
              </w:rPr>
              <w:t>分）：提供针对环境监测实验室中常用参数（水质、空气、土壤等）的Agent应用辅助操作流程技术方案，符合相关国家标准要求，有本地数据适配说明。</w:t>
            </w:r>
          </w:p>
          <w:p>
            <w:pPr>
              <w:widowControl w:val="0"/>
              <w:jc w:val="both"/>
              <w:rPr>
                <w:rFonts w:ascii="Times New Roman" w:hAnsi="Times New Roman" w:eastAsia="仿宋"/>
                <w:color w:val="auto"/>
                <w:szCs w:val="21"/>
              </w:rPr>
            </w:pPr>
            <w:r>
              <w:rPr>
                <w:rFonts w:hint="eastAsia" w:ascii="Times New Roman" w:hAnsi="Times New Roman" w:eastAsia="仿宋"/>
                <w:color w:val="auto"/>
                <w:szCs w:val="21"/>
              </w:rPr>
              <w:t>二档（</w:t>
            </w:r>
            <w:r>
              <w:rPr>
                <w:rFonts w:hint="eastAsia" w:ascii="Times New Roman" w:hAnsi="Times New Roman" w:eastAsia="仿宋"/>
                <w:color w:val="auto"/>
                <w:szCs w:val="21"/>
                <w:lang w:val="en-US" w:eastAsia="zh-CN"/>
              </w:rPr>
              <w:t>8</w:t>
            </w:r>
            <w:r>
              <w:rPr>
                <w:rFonts w:hint="eastAsia" w:ascii="Times New Roman" w:hAnsi="Times New Roman" w:eastAsia="仿宋"/>
                <w:color w:val="auto"/>
                <w:szCs w:val="21"/>
              </w:rPr>
              <w:t>分）：环境监测实验室Agent应用辅助操作流程技术方案基本可行，但针对性一般。</w:t>
            </w:r>
          </w:p>
          <w:p>
            <w:pPr>
              <w:widowControl w:val="0"/>
              <w:jc w:val="both"/>
              <w:rPr>
                <w:rFonts w:ascii="Times New Roman" w:hAnsi="Times New Roman" w:eastAsia="仿宋"/>
                <w:color w:val="auto"/>
                <w:szCs w:val="21"/>
              </w:rPr>
            </w:pPr>
            <w:r>
              <w:rPr>
                <w:rFonts w:hint="eastAsia" w:ascii="Times New Roman" w:hAnsi="Times New Roman" w:eastAsia="仿宋"/>
                <w:color w:val="auto"/>
                <w:szCs w:val="21"/>
              </w:rPr>
              <w:t>三档（</w:t>
            </w:r>
            <w:r>
              <w:rPr>
                <w:rFonts w:hint="eastAsia" w:ascii="Times New Roman" w:hAnsi="Times New Roman" w:eastAsia="仿宋"/>
                <w:color w:val="auto"/>
                <w:szCs w:val="21"/>
                <w:lang w:val="en-US" w:eastAsia="zh-CN"/>
              </w:rPr>
              <w:t>0</w:t>
            </w:r>
            <w:r>
              <w:rPr>
                <w:rFonts w:hint="eastAsia" w:ascii="Times New Roman" w:hAnsi="Times New Roman" w:eastAsia="仿宋"/>
                <w:color w:val="auto"/>
                <w:szCs w:val="21"/>
              </w:rPr>
              <w:t>分）：技术方案缺失或明显不符合需求。</w:t>
            </w:r>
          </w:p>
          <w:p>
            <w:pPr>
              <w:widowControl w:val="0"/>
              <w:ind w:firstLine="210" w:firstLineChars="100"/>
              <w:jc w:val="both"/>
              <w:rPr>
                <w:rFonts w:ascii="Times New Roman" w:hAnsi="Times New Roman" w:eastAsia="仿宋"/>
                <w:color w:val="auto"/>
                <w:szCs w:val="21"/>
              </w:rPr>
            </w:pPr>
            <w:r>
              <w:rPr>
                <w:rFonts w:hint="eastAsia" w:ascii="Times New Roman" w:hAnsi="Times New Roman" w:eastAsia="仿宋"/>
                <w:color w:val="auto"/>
                <w:szCs w:val="21"/>
              </w:rPr>
              <w:t>（3）环境监测中心通用应用场景实现方案（满分10分）</w:t>
            </w:r>
          </w:p>
          <w:p>
            <w:pPr>
              <w:widowControl w:val="0"/>
              <w:jc w:val="both"/>
              <w:rPr>
                <w:rFonts w:ascii="Times New Roman" w:hAnsi="Times New Roman" w:eastAsia="仿宋"/>
                <w:color w:val="auto"/>
                <w:szCs w:val="21"/>
              </w:rPr>
            </w:pPr>
            <w:r>
              <w:rPr>
                <w:rFonts w:hint="eastAsia" w:ascii="Times New Roman" w:hAnsi="Times New Roman" w:eastAsia="仿宋"/>
                <w:color w:val="auto"/>
                <w:szCs w:val="21"/>
              </w:rPr>
              <w:t>一档（10分）：</w:t>
            </w:r>
            <w:r>
              <w:rPr>
                <w:rFonts w:hint="eastAsia" w:ascii="Times New Roman" w:hAnsi="Times New Roman" w:eastAsia="仿宋"/>
                <w:color w:val="auto"/>
                <w:szCs w:val="21"/>
              </w:rPr>
              <w:t>对</w:t>
            </w:r>
            <w:r>
              <w:rPr>
                <w:rFonts w:hint="eastAsia" w:ascii="Times New Roman" w:hAnsi="Times New Roman" w:eastAsia="仿宋"/>
                <w:color w:val="auto"/>
                <w:szCs w:val="21"/>
                <w:lang w:val="en-US" w:eastAsia="zh-CN"/>
              </w:rPr>
              <w:t>三</w:t>
            </w:r>
            <w:r>
              <w:rPr>
                <w:rFonts w:hint="eastAsia" w:ascii="Times New Roman" w:hAnsi="Times New Roman" w:eastAsia="仿宋"/>
                <w:color w:val="auto"/>
                <w:szCs w:val="21"/>
              </w:rPr>
              <w:t>大核心应用场景（数据智能分析、知识库问答、</w:t>
            </w:r>
            <w:r>
              <w:rPr>
                <w:rFonts w:hint="eastAsia" w:ascii="Times New Roman" w:hAnsi="Times New Roman" w:eastAsia="仿宋"/>
                <w:color w:val="auto"/>
                <w:szCs w:val="21"/>
                <w:lang w:val="en-US" w:eastAsia="zh-CN"/>
              </w:rPr>
              <w:t>分析记录</w:t>
            </w:r>
            <w:r>
              <w:rPr>
                <w:rFonts w:hint="eastAsia" w:ascii="Times New Roman" w:hAnsi="Times New Roman" w:eastAsia="仿宋"/>
                <w:color w:val="auto"/>
                <w:szCs w:val="21"/>
              </w:rPr>
              <w:t>审核）有详细实现方案，功能设计切合实际。</w:t>
            </w:r>
          </w:p>
          <w:p>
            <w:pPr>
              <w:widowControl w:val="0"/>
              <w:jc w:val="both"/>
              <w:rPr>
                <w:rFonts w:ascii="Times New Roman" w:hAnsi="Times New Roman" w:eastAsia="仿宋"/>
                <w:color w:val="auto"/>
                <w:szCs w:val="21"/>
              </w:rPr>
            </w:pPr>
            <w:r>
              <w:rPr>
                <w:rFonts w:hint="eastAsia" w:ascii="Times New Roman" w:hAnsi="Times New Roman" w:eastAsia="仿宋"/>
                <w:color w:val="auto"/>
                <w:szCs w:val="21"/>
              </w:rPr>
              <w:t>二档（6分）：应用场景方案基本可</w:t>
            </w:r>
            <w:bookmarkStart w:id="2" w:name="_GoBack"/>
            <w:bookmarkEnd w:id="2"/>
            <w:r>
              <w:rPr>
                <w:rFonts w:hint="eastAsia" w:ascii="Times New Roman" w:hAnsi="Times New Roman" w:eastAsia="仿宋"/>
                <w:color w:val="auto"/>
                <w:szCs w:val="21"/>
              </w:rPr>
              <w:t>行，但针对性一般。</w:t>
            </w:r>
          </w:p>
          <w:p>
            <w:pPr>
              <w:widowControl w:val="0"/>
              <w:jc w:val="both"/>
              <w:rPr>
                <w:rFonts w:ascii="Times New Roman" w:hAnsi="Times New Roman" w:eastAsia="仿宋"/>
                <w:color w:val="auto"/>
                <w:szCs w:val="21"/>
              </w:rPr>
            </w:pPr>
            <w:r>
              <w:rPr>
                <w:rFonts w:hint="eastAsia" w:ascii="Times New Roman" w:hAnsi="Times New Roman" w:eastAsia="仿宋"/>
                <w:color w:val="auto"/>
                <w:szCs w:val="21"/>
              </w:rPr>
              <w:t>三档（</w:t>
            </w:r>
            <w:r>
              <w:rPr>
                <w:rFonts w:hint="eastAsia" w:ascii="Times New Roman" w:hAnsi="Times New Roman" w:eastAsia="仿宋"/>
                <w:color w:val="auto"/>
                <w:szCs w:val="21"/>
                <w:lang w:val="en-US" w:eastAsia="zh-CN"/>
              </w:rPr>
              <w:t>0</w:t>
            </w:r>
            <w:r>
              <w:rPr>
                <w:rFonts w:hint="eastAsia" w:ascii="Times New Roman" w:hAnsi="Times New Roman" w:eastAsia="仿宋"/>
                <w:color w:val="auto"/>
                <w:szCs w:val="21"/>
              </w:rPr>
              <w:t>分）：应用场景方案缺失或明显不符合需求。</w:t>
            </w:r>
          </w:p>
          <w:p>
            <w:pPr>
              <w:widowControl w:val="0"/>
              <w:ind w:firstLine="210" w:firstLineChars="100"/>
              <w:jc w:val="both"/>
              <w:rPr>
                <w:rFonts w:ascii="Times New Roman" w:hAnsi="Times New Roman" w:eastAsia="仿宋"/>
                <w:color w:val="auto"/>
                <w:szCs w:val="21"/>
              </w:rPr>
            </w:pPr>
            <w:r>
              <w:rPr>
                <w:rFonts w:hint="eastAsia" w:ascii="Times New Roman" w:hAnsi="Times New Roman" w:eastAsia="仿宋"/>
                <w:color w:val="auto"/>
                <w:szCs w:val="21"/>
              </w:rPr>
              <w:t>（4）知识库构建与模型微调方案（满分</w:t>
            </w:r>
            <w:r>
              <w:rPr>
                <w:rFonts w:hint="eastAsia" w:ascii="Times New Roman" w:hAnsi="Times New Roman" w:eastAsia="仿宋"/>
                <w:color w:val="auto"/>
                <w:szCs w:val="21"/>
                <w:lang w:val="en-US" w:eastAsia="zh-CN"/>
              </w:rPr>
              <w:t>6</w:t>
            </w:r>
            <w:r>
              <w:rPr>
                <w:rFonts w:hint="eastAsia" w:ascii="Times New Roman" w:hAnsi="Times New Roman" w:eastAsia="仿宋"/>
                <w:color w:val="auto"/>
                <w:szCs w:val="21"/>
              </w:rPr>
              <w:t>分）</w:t>
            </w:r>
          </w:p>
          <w:p>
            <w:pPr>
              <w:widowControl w:val="0"/>
              <w:jc w:val="both"/>
              <w:rPr>
                <w:rFonts w:ascii="Times New Roman" w:hAnsi="Times New Roman" w:eastAsia="仿宋"/>
                <w:color w:val="auto"/>
                <w:szCs w:val="21"/>
              </w:rPr>
            </w:pPr>
            <w:r>
              <w:rPr>
                <w:rFonts w:hint="eastAsia" w:ascii="Times New Roman" w:hAnsi="Times New Roman" w:eastAsia="仿宋"/>
                <w:color w:val="auto"/>
                <w:szCs w:val="21"/>
              </w:rPr>
              <w:t>一档（</w:t>
            </w:r>
            <w:r>
              <w:rPr>
                <w:rFonts w:hint="eastAsia" w:ascii="Times New Roman" w:hAnsi="Times New Roman" w:eastAsia="仿宋"/>
                <w:color w:val="auto"/>
                <w:szCs w:val="21"/>
                <w:lang w:val="en-US" w:eastAsia="zh-CN"/>
              </w:rPr>
              <w:t>6</w:t>
            </w:r>
            <w:r>
              <w:rPr>
                <w:rFonts w:hint="eastAsia" w:ascii="Times New Roman" w:hAnsi="Times New Roman" w:eastAsia="仿宋"/>
                <w:color w:val="auto"/>
                <w:szCs w:val="21"/>
              </w:rPr>
              <w:t>分）：</w:t>
            </w:r>
            <w:r>
              <w:rPr>
                <w:rFonts w:hint="eastAsia" w:ascii="Times New Roman" w:hAnsi="Times New Roman" w:eastAsia="仿宋"/>
                <w:color w:val="auto"/>
                <w:szCs w:val="21"/>
              </w:rPr>
              <w:t>知识库构建方案完善，支持多格式文档解析，模型微调针对广西生态环境</w:t>
            </w:r>
            <w:r>
              <w:rPr>
                <w:rFonts w:hint="eastAsia" w:ascii="Times New Roman" w:hAnsi="Times New Roman" w:eastAsia="仿宋"/>
                <w:color w:val="auto"/>
                <w:szCs w:val="21"/>
                <w:lang w:val="en-US" w:eastAsia="zh-CN"/>
              </w:rPr>
              <w:t>监测领域</w:t>
            </w:r>
            <w:r>
              <w:rPr>
                <w:rFonts w:hint="eastAsia" w:ascii="Times New Roman" w:hAnsi="Times New Roman" w:eastAsia="仿宋"/>
                <w:color w:val="auto"/>
                <w:szCs w:val="21"/>
              </w:rPr>
              <w:t>有具体方案。</w:t>
            </w:r>
          </w:p>
          <w:p>
            <w:pPr>
              <w:widowControl w:val="0"/>
              <w:jc w:val="both"/>
              <w:rPr>
                <w:rFonts w:ascii="Times New Roman" w:hAnsi="Times New Roman" w:eastAsia="仿宋"/>
                <w:color w:val="auto"/>
                <w:szCs w:val="21"/>
              </w:rPr>
            </w:pPr>
            <w:r>
              <w:rPr>
                <w:rFonts w:hint="eastAsia" w:ascii="Times New Roman" w:hAnsi="Times New Roman" w:eastAsia="仿宋"/>
                <w:color w:val="auto"/>
                <w:szCs w:val="21"/>
              </w:rPr>
              <w:t>二档（</w:t>
            </w:r>
            <w:r>
              <w:rPr>
                <w:rFonts w:hint="eastAsia" w:ascii="Times New Roman" w:hAnsi="Times New Roman" w:eastAsia="仿宋"/>
                <w:color w:val="auto"/>
                <w:szCs w:val="21"/>
                <w:lang w:val="en-US" w:eastAsia="zh-CN"/>
              </w:rPr>
              <w:t>4</w:t>
            </w:r>
            <w:r>
              <w:rPr>
                <w:rFonts w:hint="eastAsia" w:ascii="Times New Roman" w:hAnsi="Times New Roman" w:eastAsia="仿宋"/>
                <w:color w:val="auto"/>
                <w:szCs w:val="21"/>
              </w:rPr>
              <w:t>分）：知识库和微调方案基本可行。</w:t>
            </w:r>
          </w:p>
          <w:p>
            <w:pPr>
              <w:widowControl w:val="0"/>
              <w:jc w:val="both"/>
              <w:rPr>
                <w:rFonts w:ascii="Times New Roman" w:hAnsi="Times New Roman" w:eastAsia="仿宋"/>
                <w:color w:val="auto"/>
                <w:szCs w:val="21"/>
              </w:rPr>
            </w:pPr>
            <w:r>
              <w:rPr>
                <w:rFonts w:hint="eastAsia" w:ascii="Times New Roman" w:hAnsi="Times New Roman" w:eastAsia="仿宋"/>
                <w:color w:val="auto"/>
                <w:szCs w:val="21"/>
              </w:rPr>
              <w:t>三档（</w:t>
            </w:r>
            <w:r>
              <w:rPr>
                <w:rFonts w:hint="eastAsia" w:ascii="Times New Roman" w:hAnsi="Times New Roman" w:eastAsia="仿宋"/>
                <w:color w:val="auto"/>
                <w:szCs w:val="21"/>
                <w:lang w:val="en-US" w:eastAsia="zh-CN"/>
              </w:rPr>
              <w:t>0</w:t>
            </w:r>
            <w:r>
              <w:rPr>
                <w:rFonts w:hint="eastAsia" w:ascii="Times New Roman" w:hAnsi="Times New Roman" w:eastAsia="仿宋"/>
                <w:color w:val="auto"/>
                <w:szCs w:val="21"/>
              </w:rPr>
              <w:t>分）：方案缺失或不可行。</w:t>
            </w:r>
          </w:p>
          <w:p>
            <w:pPr>
              <w:widowControl w:val="0"/>
              <w:ind w:firstLine="210" w:firstLineChars="100"/>
              <w:jc w:val="both"/>
              <w:rPr>
                <w:rFonts w:ascii="Times New Roman" w:hAnsi="Times New Roman" w:eastAsia="仿宋"/>
                <w:color w:val="auto"/>
                <w:szCs w:val="21"/>
              </w:rPr>
            </w:pPr>
            <w:r>
              <w:rPr>
                <w:rFonts w:hint="eastAsia" w:ascii="Times New Roman" w:hAnsi="Times New Roman" w:eastAsia="仿宋"/>
                <w:color w:val="auto"/>
                <w:szCs w:val="21"/>
              </w:rPr>
              <w:t>（5）本国产品适配加分（5分）</w:t>
            </w:r>
          </w:p>
          <w:p>
            <w:pPr>
              <w:pStyle w:val="2"/>
              <w:widowControl w:val="0"/>
              <w:jc w:val="left"/>
              <w:rPr>
                <w:rFonts w:ascii="Times New Roman" w:hAnsi="Times New Roman" w:eastAsia="仿宋"/>
                <w:color w:val="auto"/>
                <w:kern w:val="2"/>
                <w:sz w:val="21"/>
                <w:szCs w:val="21"/>
              </w:rPr>
            </w:pPr>
            <w:r>
              <w:rPr>
                <w:rFonts w:hint="eastAsia" w:ascii="Times New Roman" w:hAnsi="Times New Roman" w:eastAsia="仿宋"/>
                <w:color w:val="auto"/>
                <w:kern w:val="2"/>
                <w:sz w:val="21"/>
                <w:szCs w:val="21"/>
              </w:rPr>
              <w:t>一档（5分）：投标方案中AI系统适配国产化硬件、操作系统、数据库等，且国产化组件占比≥8</w:t>
            </w:r>
            <w:r>
              <w:rPr>
                <w:rFonts w:hint="eastAsia" w:ascii="Times New Roman" w:hAnsi="Times New Roman" w:eastAsia="仿宋"/>
                <w:color w:val="auto"/>
                <w:kern w:val="2"/>
                <w:sz w:val="21"/>
                <w:szCs w:val="21"/>
                <w:lang w:val="en-US" w:eastAsia="zh-CN"/>
              </w:rPr>
              <w:t>1</w:t>
            </w:r>
            <w:r>
              <w:rPr>
                <w:rFonts w:hint="eastAsia" w:ascii="Times New Roman" w:hAnsi="Times New Roman" w:eastAsia="仿宋"/>
                <w:color w:val="auto"/>
                <w:kern w:val="2"/>
                <w:sz w:val="21"/>
                <w:szCs w:val="21"/>
              </w:rPr>
              <w:t>%的。</w:t>
            </w:r>
          </w:p>
          <w:p>
            <w:pPr>
              <w:pStyle w:val="2"/>
              <w:widowControl w:val="0"/>
              <w:jc w:val="left"/>
              <w:rPr>
                <w:rFonts w:ascii="Times New Roman" w:hAnsi="Times New Roman" w:eastAsia="仿宋"/>
                <w:color w:val="auto"/>
                <w:kern w:val="2"/>
                <w:sz w:val="21"/>
                <w:szCs w:val="21"/>
              </w:rPr>
            </w:pPr>
            <w:r>
              <w:rPr>
                <w:rFonts w:hint="eastAsia" w:ascii="Times New Roman" w:hAnsi="Times New Roman" w:eastAsia="仿宋"/>
                <w:color w:val="auto"/>
                <w:kern w:val="2"/>
                <w:sz w:val="21"/>
                <w:szCs w:val="21"/>
              </w:rPr>
              <w:t>二档（3分）：国产化组件成本占比在60%-80%之间的。</w:t>
            </w:r>
          </w:p>
          <w:p>
            <w:pPr>
              <w:pStyle w:val="2"/>
              <w:widowControl w:val="0"/>
              <w:jc w:val="left"/>
              <w:rPr>
                <w:color w:val="auto"/>
              </w:rPr>
            </w:pPr>
            <w:bookmarkStart w:id="0" w:name="OLE_LINK3"/>
            <w:r>
              <w:rPr>
                <w:rFonts w:hint="eastAsia" w:ascii="Times New Roman" w:hAnsi="Times New Roman" w:eastAsia="仿宋"/>
                <w:color w:val="auto"/>
                <w:kern w:val="2"/>
                <w:sz w:val="21"/>
                <w:szCs w:val="21"/>
              </w:rPr>
              <w:t>三档（</w:t>
            </w:r>
            <w:r>
              <w:rPr>
                <w:rFonts w:hint="eastAsia" w:ascii="Times New Roman" w:hAnsi="Times New Roman" w:eastAsia="仿宋"/>
                <w:color w:val="auto"/>
                <w:kern w:val="2"/>
                <w:sz w:val="21"/>
                <w:szCs w:val="21"/>
                <w:lang w:val="en-US" w:eastAsia="zh-CN"/>
              </w:rPr>
              <w:t>0</w:t>
            </w:r>
            <w:r>
              <w:rPr>
                <w:rFonts w:hint="eastAsia" w:ascii="Times New Roman" w:hAnsi="Times New Roman" w:eastAsia="仿宋"/>
                <w:color w:val="auto"/>
                <w:kern w:val="2"/>
                <w:sz w:val="21"/>
                <w:szCs w:val="21"/>
              </w:rPr>
              <w:t>分）：</w:t>
            </w:r>
            <w:bookmarkEnd w:id="0"/>
            <w:r>
              <w:rPr>
                <w:rFonts w:hint="eastAsia" w:ascii="Times New Roman" w:hAnsi="Times New Roman" w:eastAsia="仿宋"/>
                <w:color w:val="auto"/>
                <w:kern w:val="2"/>
                <w:sz w:val="21"/>
                <w:szCs w:val="21"/>
              </w:rPr>
              <w:t>国产化组件成本占比</w:t>
            </w:r>
            <w:r>
              <w:rPr>
                <w:rFonts w:hint="eastAsia" w:ascii="Times New Roman" w:hAnsi="Times New Roman" w:eastAsia="仿宋"/>
                <w:color w:val="auto"/>
                <w:kern w:val="2"/>
                <w:sz w:val="21"/>
                <w:szCs w:val="21"/>
                <w:lang w:val="en-US" w:eastAsia="zh-CN"/>
              </w:rPr>
              <w:t>&lt;59</w:t>
            </w:r>
            <w:r>
              <w:rPr>
                <w:rFonts w:hint="eastAsia" w:ascii="Times New Roman" w:hAnsi="Times New Roman" w:eastAsia="仿宋"/>
                <w:color w:val="auto"/>
                <w:kern w:val="2"/>
                <w:sz w:val="21"/>
                <w:szCs w:val="21"/>
              </w:rPr>
              <w:t>%的。</w:t>
            </w:r>
          </w:p>
          <w:p>
            <w:pPr>
              <w:pStyle w:val="2"/>
              <w:widowControl w:val="0"/>
              <w:ind w:firstLine="210" w:firstLineChars="100"/>
              <w:jc w:val="left"/>
              <w:rPr>
                <w:rFonts w:ascii="Times New Roman" w:hAnsi="Times New Roman" w:eastAsia="仿宋"/>
                <w:kern w:val="2"/>
                <w:sz w:val="21"/>
                <w:szCs w:val="21"/>
              </w:rPr>
            </w:pPr>
            <w:r>
              <w:rPr>
                <w:rFonts w:hint="eastAsia" w:ascii="Times New Roman" w:hAnsi="Times New Roman" w:eastAsia="仿宋"/>
                <w:kern w:val="2"/>
                <w:sz w:val="21"/>
                <w:szCs w:val="21"/>
              </w:rPr>
              <w:t>（6）数据安全防护（满分10分）</w:t>
            </w:r>
          </w:p>
          <w:p>
            <w:pPr>
              <w:pStyle w:val="2"/>
              <w:widowControl w:val="0"/>
              <w:jc w:val="left"/>
              <w:rPr>
                <w:rFonts w:ascii="Times New Roman" w:hAnsi="Times New Roman" w:eastAsia="仿宋"/>
                <w:kern w:val="2"/>
                <w:sz w:val="21"/>
                <w:szCs w:val="21"/>
              </w:rPr>
            </w:pPr>
            <w:r>
              <w:rPr>
                <w:rFonts w:hint="eastAsia" w:ascii="Times New Roman" w:hAnsi="Times New Roman" w:eastAsia="仿宋"/>
                <w:kern w:val="2"/>
                <w:sz w:val="21"/>
                <w:szCs w:val="21"/>
              </w:rPr>
              <w:t>一档（10分）：符合《数据安全法》标准要求，采用国密算法对监测数据加密传输，支持多级权限管理，提供完整操作日志记录，提供数据泄露应急响应机制。</w:t>
            </w:r>
          </w:p>
          <w:p>
            <w:pPr>
              <w:pStyle w:val="2"/>
              <w:widowControl w:val="0"/>
              <w:jc w:val="left"/>
              <w:rPr>
                <w:rFonts w:ascii="Times New Roman" w:hAnsi="Times New Roman" w:eastAsia="仿宋"/>
                <w:kern w:val="2"/>
                <w:sz w:val="21"/>
                <w:szCs w:val="21"/>
              </w:rPr>
            </w:pPr>
            <w:r>
              <w:rPr>
                <w:rFonts w:hint="eastAsia" w:ascii="Times New Roman" w:hAnsi="Times New Roman" w:eastAsia="仿宋"/>
                <w:kern w:val="2"/>
                <w:sz w:val="21"/>
                <w:szCs w:val="21"/>
              </w:rPr>
              <w:t>二档（6分）：数据安全防护方案基本满足要求，但部分细节不够完善。</w:t>
            </w:r>
          </w:p>
          <w:p>
            <w:pPr>
              <w:pStyle w:val="2"/>
              <w:widowControl w:val="0"/>
              <w:jc w:val="left"/>
              <w:rPr>
                <w:rFonts w:ascii="Times New Roman" w:hAnsi="Times New Roman" w:eastAsia="仿宋"/>
                <w:kern w:val="2"/>
                <w:sz w:val="21"/>
                <w:szCs w:val="21"/>
              </w:rPr>
            </w:pPr>
            <w:bookmarkStart w:id="1" w:name="OLE_LINK2"/>
            <w:r>
              <w:rPr>
                <w:rFonts w:hint="eastAsia" w:ascii="Times New Roman" w:hAnsi="Times New Roman" w:eastAsia="仿宋" w:cs="Times New Roman"/>
                <w:kern w:val="2"/>
                <w:sz w:val="21"/>
                <w:szCs w:val="21"/>
                <w:lang w:val="en-US" w:eastAsia="zh-CN" w:bidi="ar-SA"/>
              </w:rPr>
              <w:t>三档（0分）：</w:t>
            </w:r>
            <w:bookmarkEnd w:id="1"/>
            <w:r>
              <w:rPr>
                <w:rFonts w:hint="eastAsia" w:ascii="Times New Roman" w:hAnsi="Times New Roman" w:eastAsia="仿宋" w:cs="Times New Roman"/>
                <w:kern w:val="2"/>
                <w:sz w:val="21"/>
                <w:szCs w:val="21"/>
                <w:lang w:val="en-US" w:eastAsia="zh-CN" w:bidi="ar-SA"/>
              </w:rPr>
              <w:t>数据安全防护方案缺失或不符合标准要求。</w:t>
            </w:r>
          </w:p>
        </w:tc>
        <w:tc>
          <w:tcPr>
            <w:tcW w:w="376" w:type="pct"/>
          </w:tcPr>
          <w:p>
            <w:pPr>
              <w:widowControl w:val="0"/>
              <w:snapToGrid w:val="0"/>
              <w:jc w:val="center"/>
              <w:rPr>
                <w:rFonts w:hint="eastAsia" w:asciiTheme="majorEastAsia" w:hAnsiTheme="majorEastAsia" w:eastAsiaTheme="majorEastAsia" w:cstheme="major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00" w:type="pct"/>
            <w:gridSpan w:val="4"/>
            <w:vAlign w:val="center"/>
          </w:tcPr>
          <w:p>
            <w:pPr>
              <w:widowControl w:val="0"/>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三、</w:t>
            </w:r>
            <w:r>
              <w:rPr>
                <w:rFonts w:hint="eastAsia" w:asciiTheme="majorEastAsia" w:hAnsiTheme="majorEastAsia" w:eastAsiaTheme="majorEastAsia" w:cstheme="majorEastAsia"/>
                <w:b/>
                <w:bCs/>
                <w:szCs w:val="21"/>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5" w:hRule="atLeast"/>
          <w:jc w:val="center"/>
        </w:trPr>
        <w:tc>
          <w:tcPr>
            <w:tcW w:w="515" w:type="pct"/>
            <w:vAlign w:val="center"/>
          </w:tcPr>
          <w:p>
            <w:pPr>
              <w:widowControl w:val="0"/>
              <w:snapToGrid w:val="0"/>
              <w:jc w:val="center"/>
              <w:rPr>
                <w:rFonts w:ascii="Times New Roman" w:hAnsi="Times New Roman" w:eastAsia="仿宋"/>
                <w:b/>
                <w:bCs/>
                <w:szCs w:val="21"/>
              </w:rPr>
            </w:pPr>
            <w:r>
              <w:rPr>
                <w:rFonts w:hint="eastAsia" w:ascii="Times New Roman" w:hAnsi="Times New Roman" w:eastAsia="仿宋"/>
                <w:b/>
                <w:bCs/>
                <w:szCs w:val="21"/>
              </w:rPr>
              <w:t>1</w:t>
            </w:r>
          </w:p>
        </w:tc>
        <w:tc>
          <w:tcPr>
            <w:tcW w:w="782" w:type="pct"/>
            <w:vAlign w:val="center"/>
          </w:tcPr>
          <w:p>
            <w:pPr>
              <w:widowControl w:val="0"/>
              <w:snapToGrid w:val="0"/>
              <w:jc w:val="center"/>
              <w:rPr>
                <w:rFonts w:ascii="Times New Roman" w:hAnsi="Times New Roman" w:eastAsia="仿宋"/>
                <w:b/>
                <w:bCs/>
                <w:szCs w:val="21"/>
              </w:rPr>
            </w:pPr>
            <w:r>
              <w:rPr>
                <w:rFonts w:hint="eastAsia" w:ascii="Times New Roman" w:hAnsi="Times New Roman" w:eastAsia="仿宋"/>
                <w:b/>
                <w:bCs/>
                <w:szCs w:val="21"/>
              </w:rPr>
              <w:t>业绩分</w:t>
            </w:r>
          </w:p>
          <w:p>
            <w:pPr>
              <w:widowControl w:val="0"/>
              <w:snapToGrid w:val="0"/>
              <w:jc w:val="center"/>
              <w:rPr>
                <w:rFonts w:ascii="Times New Roman" w:hAnsi="Times New Roman" w:eastAsia="仿宋"/>
                <w:b/>
                <w:bCs/>
                <w:szCs w:val="21"/>
              </w:rPr>
            </w:pPr>
            <w:r>
              <w:rPr>
                <w:rFonts w:hint="eastAsia" w:ascii="Times New Roman" w:hAnsi="Times New Roman" w:eastAsia="仿宋"/>
                <w:b/>
                <w:bCs/>
                <w:szCs w:val="21"/>
              </w:rPr>
              <w:t>（5分）</w:t>
            </w:r>
          </w:p>
          <w:p>
            <w:pPr>
              <w:widowControl w:val="0"/>
              <w:snapToGrid w:val="0"/>
              <w:jc w:val="center"/>
              <w:rPr>
                <w:rFonts w:ascii="Times New Roman" w:hAnsi="Times New Roman" w:eastAsia="仿宋"/>
                <w:b/>
                <w:bCs/>
                <w:szCs w:val="21"/>
              </w:rPr>
            </w:pPr>
          </w:p>
        </w:tc>
        <w:tc>
          <w:tcPr>
            <w:tcW w:w="3324" w:type="pct"/>
          </w:tcPr>
          <w:p>
            <w:pPr>
              <w:widowControl w:val="0"/>
              <w:ind w:firstLine="420" w:firstLineChars="200"/>
              <w:jc w:val="both"/>
              <w:rPr>
                <w:rFonts w:ascii="Times New Roman" w:hAnsi="Times New Roman" w:eastAsia="仿宋"/>
                <w:szCs w:val="21"/>
              </w:rPr>
            </w:pPr>
            <w:r>
              <w:rPr>
                <w:rFonts w:hint="eastAsia" w:ascii="Times New Roman" w:hAnsi="Times New Roman" w:eastAsia="仿宋"/>
                <w:szCs w:val="21"/>
              </w:rPr>
              <w:t>（</w:t>
            </w:r>
            <w:r>
              <w:rPr>
                <w:rFonts w:hint="eastAsia" w:ascii="Times New Roman" w:hAnsi="Times New Roman" w:eastAsia="仿宋"/>
                <w:szCs w:val="21"/>
                <w:lang w:val="en-US" w:eastAsia="zh-CN"/>
              </w:rPr>
              <w:t>1</w:t>
            </w:r>
            <w:r>
              <w:rPr>
                <w:rFonts w:hint="eastAsia" w:ascii="Times New Roman" w:hAnsi="Times New Roman" w:eastAsia="仿宋"/>
                <w:szCs w:val="21"/>
              </w:rPr>
              <w:t>）人员资质得分（</w:t>
            </w:r>
            <w:r>
              <w:rPr>
                <w:rFonts w:hint="eastAsia" w:ascii="Times New Roman" w:hAnsi="Times New Roman" w:eastAsia="仿宋"/>
                <w:szCs w:val="21"/>
                <w:lang w:val="en-US" w:eastAsia="zh-CN"/>
              </w:rPr>
              <w:t>5</w:t>
            </w:r>
            <w:r>
              <w:rPr>
                <w:rFonts w:hint="eastAsia" w:ascii="Times New Roman" w:hAnsi="Times New Roman" w:eastAsia="仿宋"/>
                <w:szCs w:val="21"/>
              </w:rPr>
              <w:t>分）</w:t>
            </w:r>
          </w:p>
          <w:p>
            <w:pPr>
              <w:pStyle w:val="2"/>
              <w:widowControl w:val="0"/>
              <w:jc w:val="left"/>
              <w:rPr>
                <w:rFonts w:ascii="Times New Roman" w:hAnsi="Times New Roman" w:eastAsia="仿宋"/>
                <w:kern w:val="2"/>
                <w:sz w:val="21"/>
                <w:szCs w:val="21"/>
              </w:rPr>
            </w:pPr>
            <w:r>
              <w:rPr>
                <w:rFonts w:hint="eastAsia" w:ascii="Times New Roman" w:hAnsi="Times New Roman" w:eastAsia="仿宋"/>
                <w:kern w:val="2"/>
                <w:sz w:val="21"/>
                <w:szCs w:val="21"/>
              </w:rPr>
              <w:t xml:space="preserve">    技术团队核心成员持有与本次项目相关证书，且在技术方案中明确标注其角色和贡献，每个证件得1分（满分</w:t>
            </w:r>
            <w:r>
              <w:rPr>
                <w:rFonts w:hint="eastAsia" w:ascii="Times New Roman" w:hAnsi="Times New Roman" w:eastAsia="仿宋"/>
                <w:kern w:val="2"/>
                <w:sz w:val="21"/>
                <w:szCs w:val="21"/>
                <w:lang w:val="en-US" w:eastAsia="zh-CN"/>
              </w:rPr>
              <w:t>5</w:t>
            </w:r>
            <w:r>
              <w:rPr>
                <w:rFonts w:hint="eastAsia" w:ascii="Times New Roman" w:hAnsi="Times New Roman" w:eastAsia="仿宋"/>
                <w:kern w:val="2"/>
                <w:sz w:val="21"/>
                <w:szCs w:val="21"/>
              </w:rPr>
              <w:t>分）；备注：技术管理团队核心成员持有高级网络规划设计师证书或高级信息系统项目管理师证，技术搭建团队核心成员持有高级系统架构设计师证或高级系统分析师证，商务团队负责人持有经济师证书，且在成本优化方案中明确标注其角色和贡献，均可得分；未提供相关证书或未明确标注角色或未提供《技术顾问协议》或《成本优化负责人声明》等证明资质证书持有者参与项目的均不得分。</w:t>
            </w:r>
          </w:p>
        </w:tc>
        <w:tc>
          <w:tcPr>
            <w:tcW w:w="376" w:type="pct"/>
          </w:tcPr>
          <w:p>
            <w:pPr>
              <w:widowControl w:val="0"/>
              <w:snapToGrid w:val="0"/>
              <w:jc w:val="center"/>
              <w:rPr>
                <w:rFonts w:hint="eastAsia" w:asciiTheme="majorEastAsia" w:hAnsiTheme="majorEastAsia" w:eastAsiaTheme="majorEastAsia" w:cstheme="major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5000" w:type="pct"/>
            <w:gridSpan w:val="4"/>
            <w:vAlign w:val="center"/>
          </w:tcPr>
          <w:p>
            <w:pPr>
              <w:widowControl w:val="0"/>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szCs w:val="21"/>
              </w:rPr>
              <w:t>四、服务部分（</w:t>
            </w:r>
            <w:r>
              <w:rPr>
                <w:rFonts w:hint="eastAsia" w:asciiTheme="majorEastAsia" w:hAnsiTheme="majorEastAsia" w:eastAsiaTheme="majorEastAsia" w:cstheme="majorEastAsia"/>
                <w:b/>
                <w:bCs/>
                <w:szCs w:val="21"/>
                <w:lang w:val="en-US" w:eastAsia="zh-CN"/>
              </w:rPr>
              <w:t>20</w:t>
            </w:r>
            <w:r>
              <w:rPr>
                <w:rFonts w:hint="eastAsia" w:asciiTheme="majorEastAsia" w:hAnsiTheme="majorEastAsia" w:eastAsiaTheme="majorEastAsia" w:cstheme="majorEastAsia"/>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15" w:type="pct"/>
            <w:vAlign w:val="center"/>
          </w:tcPr>
          <w:p>
            <w:pPr>
              <w:widowControl w:val="0"/>
              <w:snapToGrid w:val="0"/>
              <w:jc w:val="center"/>
              <w:rPr>
                <w:rFonts w:ascii="Times New Roman" w:hAnsi="Times New Roman" w:eastAsia="仿宋"/>
                <w:b/>
                <w:bCs/>
                <w:szCs w:val="21"/>
              </w:rPr>
            </w:pPr>
            <w:r>
              <w:rPr>
                <w:rFonts w:hint="eastAsia" w:ascii="Times New Roman" w:hAnsi="Times New Roman" w:eastAsia="仿宋"/>
                <w:b/>
                <w:bCs/>
                <w:szCs w:val="21"/>
              </w:rPr>
              <w:t>1</w:t>
            </w:r>
          </w:p>
        </w:tc>
        <w:tc>
          <w:tcPr>
            <w:tcW w:w="782" w:type="pct"/>
            <w:vAlign w:val="center"/>
          </w:tcPr>
          <w:p>
            <w:pPr>
              <w:widowControl w:val="0"/>
              <w:snapToGrid w:val="0"/>
              <w:jc w:val="center"/>
              <w:rPr>
                <w:rFonts w:ascii="Times New Roman" w:hAnsi="Times New Roman" w:eastAsia="仿宋"/>
                <w:b/>
                <w:bCs/>
                <w:szCs w:val="21"/>
              </w:rPr>
            </w:pPr>
            <w:r>
              <w:rPr>
                <w:rFonts w:hint="eastAsia" w:ascii="Times New Roman" w:hAnsi="Times New Roman" w:eastAsia="仿宋"/>
                <w:b/>
                <w:bCs/>
                <w:szCs w:val="21"/>
              </w:rPr>
              <w:t>售后服务</w:t>
            </w:r>
          </w:p>
          <w:p>
            <w:pPr>
              <w:widowControl w:val="0"/>
              <w:snapToGrid w:val="0"/>
              <w:jc w:val="center"/>
              <w:rPr>
                <w:rFonts w:ascii="Times New Roman" w:hAnsi="Times New Roman" w:eastAsia="仿宋"/>
                <w:b/>
                <w:bCs/>
                <w:szCs w:val="21"/>
              </w:rPr>
            </w:pPr>
            <w:r>
              <w:rPr>
                <w:rFonts w:hint="eastAsia" w:ascii="Times New Roman" w:hAnsi="Times New Roman" w:eastAsia="仿宋"/>
                <w:b/>
                <w:bCs/>
                <w:szCs w:val="21"/>
              </w:rPr>
              <w:t>（</w:t>
            </w:r>
            <w:r>
              <w:rPr>
                <w:rFonts w:hint="eastAsia" w:ascii="Times New Roman" w:hAnsi="Times New Roman" w:eastAsia="仿宋"/>
                <w:b/>
                <w:bCs/>
                <w:szCs w:val="21"/>
                <w:lang w:val="en-US" w:eastAsia="zh-CN"/>
              </w:rPr>
              <w:t>20</w:t>
            </w:r>
            <w:r>
              <w:rPr>
                <w:rFonts w:hint="eastAsia" w:ascii="Times New Roman" w:hAnsi="Times New Roman" w:eastAsia="仿宋"/>
                <w:b/>
                <w:bCs/>
                <w:szCs w:val="21"/>
              </w:rPr>
              <w:t>分）</w:t>
            </w:r>
          </w:p>
        </w:tc>
        <w:tc>
          <w:tcPr>
            <w:tcW w:w="3324" w:type="pct"/>
            <w:vAlign w:val="center"/>
          </w:tcPr>
          <w:p>
            <w:pPr>
              <w:pStyle w:val="3"/>
              <w:widowControl w:val="0"/>
              <w:ind w:firstLine="420" w:firstLineChars="200"/>
              <w:jc w:val="both"/>
              <w:rPr>
                <w:rFonts w:hint="eastAsia" w:ascii="Times New Roman" w:hAnsi="Times New Roman" w:eastAsia="仿宋"/>
                <w:kern w:val="2"/>
                <w:sz w:val="21"/>
                <w:szCs w:val="21"/>
              </w:rPr>
            </w:pPr>
            <w:r>
              <w:rPr>
                <w:rFonts w:hint="eastAsia" w:ascii="Times New Roman" w:hAnsi="Times New Roman" w:eastAsia="仿宋"/>
                <w:kern w:val="2"/>
                <w:sz w:val="21"/>
                <w:szCs w:val="21"/>
              </w:rPr>
              <w:t>依据供应商响应文件中所提供的服务方案及承诺的情况进行综合评定（包括：服务承诺、运维方案、培训方案、应急响应、进度控制等方面）进行独立评审并打分，未提供不得分。</w:t>
            </w:r>
          </w:p>
          <w:p>
            <w:pPr>
              <w:pStyle w:val="3"/>
              <w:widowControl w:val="0"/>
              <w:jc w:val="both"/>
              <w:rPr>
                <w:rFonts w:ascii="Times New Roman" w:hAnsi="Times New Roman" w:eastAsia="仿宋"/>
                <w:kern w:val="2"/>
                <w:sz w:val="21"/>
                <w:szCs w:val="21"/>
              </w:rPr>
            </w:pPr>
            <w:r>
              <w:rPr>
                <w:rFonts w:hint="eastAsia" w:ascii="Times New Roman" w:hAnsi="Times New Roman" w:eastAsia="仿宋"/>
                <w:kern w:val="2"/>
                <w:sz w:val="21"/>
                <w:szCs w:val="21"/>
              </w:rPr>
              <w:t>一档（</w:t>
            </w:r>
            <w:r>
              <w:rPr>
                <w:rFonts w:hint="eastAsia" w:ascii="Times New Roman" w:hAnsi="Times New Roman" w:eastAsia="仿宋"/>
                <w:kern w:val="2"/>
                <w:sz w:val="21"/>
                <w:szCs w:val="21"/>
                <w:lang w:val="en-US" w:eastAsia="zh-CN"/>
              </w:rPr>
              <w:t>20</w:t>
            </w:r>
            <w:r>
              <w:rPr>
                <w:rFonts w:hint="eastAsia" w:ascii="Times New Roman" w:hAnsi="Times New Roman" w:eastAsia="仿宋"/>
                <w:kern w:val="2"/>
                <w:sz w:val="21"/>
                <w:szCs w:val="21"/>
              </w:rPr>
              <w:t>分）：提供1年以上运维服务承诺，服务方案完善，包含系统维护、故障处理、性能优化、模型迭代更新；培训计划详细（含操作人员、管理人员）；应急响应机制健全，</w:t>
            </w:r>
            <w:r>
              <w:rPr>
                <w:rFonts w:hint="eastAsia" w:ascii="Times New Roman" w:hAnsi="Times New Roman" w:eastAsia="仿宋"/>
                <w:color w:val="auto"/>
                <w:kern w:val="2"/>
                <w:sz w:val="21"/>
                <w:szCs w:val="21"/>
              </w:rPr>
              <w:t>承诺设立本地化售后维护团队</w:t>
            </w:r>
            <w:r>
              <w:rPr>
                <w:rFonts w:hint="eastAsia" w:ascii="Times New Roman" w:hAnsi="Times New Roman" w:eastAsia="仿宋"/>
                <w:kern w:val="2"/>
                <w:sz w:val="21"/>
                <w:szCs w:val="21"/>
              </w:rPr>
              <w:t>， 1小时内响应，2小时内技术人员到场解决；有完善的质量控制和风险控制制度；对重点难点有详细分析和解决方案。</w:t>
            </w:r>
          </w:p>
          <w:p>
            <w:pPr>
              <w:pStyle w:val="3"/>
              <w:widowControl w:val="0"/>
              <w:jc w:val="both"/>
              <w:rPr>
                <w:rFonts w:ascii="Times New Roman" w:hAnsi="Times New Roman" w:eastAsia="仿宋"/>
                <w:kern w:val="2"/>
                <w:sz w:val="21"/>
                <w:szCs w:val="21"/>
              </w:rPr>
            </w:pPr>
            <w:r>
              <w:rPr>
                <w:rFonts w:hint="eastAsia" w:ascii="Times New Roman" w:hAnsi="Times New Roman" w:eastAsia="仿宋"/>
                <w:kern w:val="2"/>
                <w:sz w:val="21"/>
                <w:szCs w:val="21"/>
              </w:rPr>
              <w:t>二档（1</w:t>
            </w:r>
            <w:r>
              <w:rPr>
                <w:rFonts w:hint="eastAsia" w:ascii="Times New Roman" w:hAnsi="Times New Roman" w:eastAsia="仿宋"/>
                <w:kern w:val="2"/>
                <w:sz w:val="21"/>
                <w:szCs w:val="21"/>
                <w:lang w:val="en-US" w:eastAsia="zh-CN"/>
              </w:rPr>
              <w:t>5</w:t>
            </w:r>
            <w:r>
              <w:rPr>
                <w:rFonts w:hint="eastAsia" w:ascii="Times New Roman" w:hAnsi="Times New Roman" w:eastAsia="仿宋"/>
                <w:kern w:val="2"/>
                <w:sz w:val="21"/>
                <w:szCs w:val="21"/>
              </w:rPr>
              <w:t>分）：服务承诺较全面，运维方案、培训计划、应急响应机制较好，</w:t>
            </w:r>
            <w:r>
              <w:rPr>
                <w:rFonts w:hint="eastAsia" w:ascii="Times New Roman" w:hAnsi="Times New Roman" w:eastAsia="仿宋"/>
                <w:color w:val="auto"/>
                <w:kern w:val="2"/>
                <w:sz w:val="21"/>
                <w:szCs w:val="21"/>
              </w:rPr>
              <w:t>承诺设立本地化售后维护团队</w:t>
            </w:r>
            <w:r>
              <w:rPr>
                <w:rFonts w:hint="eastAsia" w:ascii="Times New Roman" w:hAnsi="Times New Roman" w:eastAsia="仿宋"/>
                <w:kern w:val="2"/>
                <w:sz w:val="21"/>
                <w:szCs w:val="21"/>
              </w:rPr>
              <w:t>，内容切实可行。</w:t>
            </w:r>
          </w:p>
          <w:p>
            <w:pPr>
              <w:pStyle w:val="3"/>
              <w:widowControl w:val="0"/>
              <w:jc w:val="both"/>
              <w:rPr>
                <w:rFonts w:ascii="Times New Roman" w:hAnsi="Times New Roman" w:eastAsia="仿宋"/>
                <w:kern w:val="2"/>
                <w:sz w:val="21"/>
                <w:szCs w:val="21"/>
              </w:rPr>
            </w:pPr>
            <w:r>
              <w:rPr>
                <w:rFonts w:hint="eastAsia" w:ascii="Times New Roman" w:hAnsi="Times New Roman" w:eastAsia="仿宋"/>
                <w:kern w:val="2"/>
                <w:sz w:val="21"/>
                <w:szCs w:val="21"/>
              </w:rPr>
              <w:t>三档（</w:t>
            </w:r>
            <w:r>
              <w:rPr>
                <w:rFonts w:hint="eastAsia" w:ascii="Times New Roman" w:hAnsi="Times New Roman" w:eastAsia="仿宋"/>
                <w:kern w:val="2"/>
                <w:sz w:val="21"/>
                <w:szCs w:val="21"/>
                <w:lang w:val="en-US" w:eastAsia="zh-CN"/>
              </w:rPr>
              <w:t>10</w:t>
            </w:r>
            <w:r>
              <w:rPr>
                <w:rFonts w:hint="eastAsia" w:ascii="Times New Roman" w:hAnsi="Times New Roman" w:eastAsia="仿宋"/>
                <w:kern w:val="2"/>
                <w:sz w:val="21"/>
                <w:szCs w:val="21"/>
              </w:rPr>
              <w:t>分）：服务承诺基本满足需求，服务流程、质量控制等有较详细描述。</w:t>
            </w:r>
          </w:p>
          <w:p>
            <w:pPr>
              <w:pStyle w:val="3"/>
              <w:widowControl w:val="0"/>
              <w:jc w:val="both"/>
              <w:rPr>
                <w:rFonts w:ascii="Times New Roman" w:hAnsi="Times New Roman" w:eastAsia="仿宋"/>
                <w:kern w:val="2"/>
                <w:sz w:val="21"/>
                <w:szCs w:val="21"/>
              </w:rPr>
            </w:pPr>
            <w:r>
              <w:rPr>
                <w:rFonts w:hint="eastAsia" w:ascii="Times New Roman" w:hAnsi="Times New Roman" w:eastAsia="仿宋"/>
                <w:kern w:val="2"/>
                <w:sz w:val="21"/>
                <w:szCs w:val="21"/>
              </w:rPr>
              <w:t>四档（</w:t>
            </w:r>
            <w:r>
              <w:rPr>
                <w:rFonts w:hint="eastAsia" w:ascii="Times New Roman" w:hAnsi="Times New Roman" w:eastAsia="仿宋"/>
                <w:kern w:val="2"/>
                <w:sz w:val="21"/>
                <w:szCs w:val="21"/>
                <w:lang w:val="en-US" w:eastAsia="zh-CN"/>
              </w:rPr>
              <w:t>5</w:t>
            </w:r>
            <w:r>
              <w:rPr>
                <w:rFonts w:hint="eastAsia" w:ascii="Times New Roman" w:hAnsi="Times New Roman" w:eastAsia="仿宋"/>
                <w:kern w:val="2"/>
                <w:sz w:val="21"/>
                <w:szCs w:val="21"/>
              </w:rPr>
              <w:t>分）：基本满足采购需求中的服务要求，但方案不够详细。</w:t>
            </w:r>
          </w:p>
        </w:tc>
        <w:tc>
          <w:tcPr>
            <w:tcW w:w="376" w:type="pct"/>
            <w:vAlign w:val="center"/>
          </w:tcPr>
          <w:p>
            <w:pPr>
              <w:widowControl w:val="0"/>
              <w:snapToGrid w:val="0"/>
              <w:jc w:val="center"/>
              <w:rPr>
                <w:rFonts w:hint="eastAsia" w:asciiTheme="majorEastAsia" w:hAnsiTheme="majorEastAsia" w:eastAsiaTheme="majorEastAsia" w:cstheme="majorEastAsia"/>
                <w:b/>
                <w:bCs/>
                <w:szCs w:val="21"/>
              </w:rPr>
            </w:pPr>
          </w:p>
        </w:tc>
      </w:tr>
    </w:tbl>
    <w:p>
      <w:pPr>
        <w:pStyle w:val="3"/>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E7650"/>
    <w:rsid w:val="00060870"/>
    <w:rsid w:val="000D359B"/>
    <w:rsid w:val="001253BE"/>
    <w:rsid w:val="001C0722"/>
    <w:rsid w:val="002D6BAE"/>
    <w:rsid w:val="004E7198"/>
    <w:rsid w:val="004F4408"/>
    <w:rsid w:val="0052271C"/>
    <w:rsid w:val="006246D6"/>
    <w:rsid w:val="00677A53"/>
    <w:rsid w:val="0083079D"/>
    <w:rsid w:val="008D67F2"/>
    <w:rsid w:val="009C2DCC"/>
    <w:rsid w:val="00A86F45"/>
    <w:rsid w:val="00B50F05"/>
    <w:rsid w:val="00B77141"/>
    <w:rsid w:val="00D16744"/>
    <w:rsid w:val="00DE351A"/>
    <w:rsid w:val="00E2188E"/>
    <w:rsid w:val="00EC5134"/>
    <w:rsid w:val="00ED2632"/>
    <w:rsid w:val="00EE64F6"/>
    <w:rsid w:val="00F00CBA"/>
    <w:rsid w:val="00F82708"/>
    <w:rsid w:val="00FC4351"/>
    <w:rsid w:val="00FF793A"/>
    <w:rsid w:val="028D1286"/>
    <w:rsid w:val="0AC62ADE"/>
    <w:rsid w:val="0B0707EE"/>
    <w:rsid w:val="0EBE7650"/>
    <w:rsid w:val="122F0F7F"/>
    <w:rsid w:val="14003D33"/>
    <w:rsid w:val="18F408CB"/>
    <w:rsid w:val="1E796BE4"/>
    <w:rsid w:val="1F253623"/>
    <w:rsid w:val="23682A53"/>
    <w:rsid w:val="2D3A6EC3"/>
    <w:rsid w:val="2E6C731B"/>
    <w:rsid w:val="30D22E7C"/>
    <w:rsid w:val="339815B9"/>
    <w:rsid w:val="35195307"/>
    <w:rsid w:val="38211F32"/>
    <w:rsid w:val="3AA0540C"/>
    <w:rsid w:val="3D2567B6"/>
    <w:rsid w:val="3E1A1EBE"/>
    <w:rsid w:val="46F505F7"/>
    <w:rsid w:val="4CCE5CF2"/>
    <w:rsid w:val="526157ED"/>
    <w:rsid w:val="528D16A7"/>
    <w:rsid w:val="56610C14"/>
    <w:rsid w:val="58831FCD"/>
    <w:rsid w:val="59E21E9D"/>
    <w:rsid w:val="5A4047BF"/>
    <w:rsid w:val="63777FF8"/>
    <w:rsid w:val="68FF448B"/>
    <w:rsid w:val="6FB74653"/>
    <w:rsid w:val="72D96D3A"/>
    <w:rsid w:val="76901C90"/>
    <w:rsid w:val="788702DE"/>
    <w:rsid w:val="79813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header"/>
    <w:basedOn w:val="1"/>
    <w:next w:val="3"/>
    <w:link w:val="12"/>
    <w:qFormat/>
    <w:uiPriority w:val="99"/>
    <w:pPr>
      <w:pBdr>
        <w:bottom w:val="single" w:color="auto" w:sz="6" w:space="1"/>
      </w:pBdr>
      <w:snapToGrid w:val="0"/>
      <w:jc w:val="center"/>
    </w:pPr>
    <w:rPr>
      <w:rFonts w:ascii="宋体" w:hAnsi="Courier New"/>
      <w:kern w:val="0"/>
      <w:sz w:val="18"/>
      <w:szCs w:val="20"/>
    </w:rPr>
  </w:style>
  <w:style w:type="paragraph" w:styleId="3">
    <w:name w:val="Plain Text"/>
    <w:basedOn w:val="1"/>
    <w:qFormat/>
    <w:uiPriority w:val="0"/>
    <w:rPr>
      <w:rFonts w:ascii="宋体" w:hAnsi="Courier New"/>
      <w:kern w:val="0"/>
      <w:sz w:val="20"/>
      <w:szCs w:val="20"/>
    </w:rPr>
  </w:style>
  <w:style w:type="paragraph" w:styleId="4">
    <w:name w:val="Body Text"/>
    <w:basedOn w:val="1"/>
    <w:unhideWhenUsed/>
    <w:qFormat/>
    <w:uiPriority w:val="0"/>
    <w:pPr>
      <w:spacing w:after="120"/>
    </w:pPr>
  </w:style>
  <w:style w:type="paragraph" w:styleId="5">
    <w:name w:val="footer"/>
    <w:basedOn w:val="1"/>
    <w:link w:val="11"/>
    <w:qFormat/>
    <w:uiPriority w:val="0"/>
    <w:pPr>
      <w:tabs>
        <w:tab w:val="center" w:pos="4153"/>
        <w:tab w:val="right" w:pos="8306"/>
      </w:tabs>
      <w:snapToGrid w:val="0"/>
    </w:pPr>
    <w:rPr>
      <w:sz w:val="18"/>
      <w:szCs w:val="18"/>
    </w:rPr>
  </w:style>
  <w:style w:type="paragraph" w:styleId="6">
    <w:name w:val="Normal (Web)"/>
    <w:basedOn w:val="1"/>
    <w:unhideWhenUsed/>
    <w:qFormat/>
    <w:uiPriority w:val="0"/>
    <w:pPr>
      <w:spacing w:before="100" w:beforeAutospacing="1" w:after="100" w:afterAutospacing="1"/>
    </w:pPr>
    <w:rPr>
      <w:kern w:val="0"/>
      <w:sz w:val="24"/>
    </w:rPr>
  </w:style>
  <w:style w:type="paragraph" w:styleId="7">
    <w:name w:val="Body Text First Indent"/>
    <w:basedOn w:val="4"/>
    <w:qFormat/>
    <w:uiPriority w:val="99"/>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脚 字符"/>
    <w:basedOn w:val="10"/>
    <w:link w:val="5"/>
    <w:qFormat/>
    <w:uiPriority w:val="0"/>
    <w:rPr>
      <w:rFonts w:ascii="Calibri" w:hAnsi="Calibri" w:eastAsia="宋体" w:cs="Times New Roman"/>
      <w:kern w:val="2"/>
      <w:sz w:val="18"/>
      <w:szCs w:val="18"/>
    </w:rPr>
  </w:style>
  <w:style w:type="character" w:customStyle="1" w:styleId="12">
    <w:name w:val="页眉 字符"/>
    <w:basedOn w:val="10"/>
    <w:link w:val="2"/>
    <w:qFormat/>
    <w:uiPriority w:val="99"/>
    <w:rPr>
      <w:rFonts w:ascii="宋体" w:hAnsi="Courier New" w:eastAsia="宋体"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2071</Words>
  <Characters>2174</Characters>
  <Lines>68</Lines>
  <Paragraphs>60</Paragraphs>
  <TotalTime>22</TotalTime>
  <ScaleCrop>false</ScaleCrop>
  <LinksUpToDate>false</LinksUpToDate>
  <CharactersWithSpaces>2183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2024-08-23T07:58:00Z</dcterms:created>
  <dc:creator>Lenovo</dc:creator>
  <cp:lastModifiedBy>PY</cp:lastModifiedBy>
  <dcterms:modified xsi:type="dcterms:W3CDTF">2026-03-27T03:36:22Z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50864E1758A94714B2107C5D6B91D2B7</vt:lpwstr>
  </property>
  <property fmtid="{D5CDD505-2E9C-101B-9397-08002B2CF9AE}" pid="4" name="KSOTemplateDocerSaveRecord">
    <vt:lpwstr>eyJoZGlkIjoiZGU0NWY3NjM0NTkyMDk2YjU0MzgxNTUzNmY5N2JlMmQiLCJ1c2VySWQiOiIzNDYwNDgzNDcifQ==</vt:lpwstr>
  </property>
</Properties>
</file>