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8F56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  <w:t>广西壮族自治区来宾生态环境监测中心</w:t>
      </w:r>
    </w:p>
    <w:p w14:paraId="4F71B9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  <w:t>2026年实验室分析用气项目采购需求</w:t>
      </w:r>
    </w:p>
    <w:tbl>
      <w:tblPr>
        <w:tblStyle w:val="2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603"/>
      </w:tblGrid>
      <w:tr w14:paraId="1720B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2"/>
            <w:noWrap/>
            <w:vAlign w:val="center"/>
          </w:tcPr>
          <w:p w14:paraId="2C661448">
            <w:pPr>
              <w:spacing w:line="360" w:lineRule="auto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一、项目要求</w:t>
            </w:r>
          </w:p>
        </w:tc>
      </w:tr>
      <w:tr w14:paraId="7C03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3" w:type="dxa"/>
            <w:noWrap/>
            <w:vAlign w:val="center"/>
          </w:tcPr>
          <w:p w14:paraId="4EAF3C37">
            <w:pPr>
              <w:spacing w:line="360" w:lineRule="auto"/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6603" w:type="dxa"/>
            <w:noWrap/>
            <w:vAlign w:val="center"/>
          </w:tcPr>
          <w:p w14:paraId="24930961">
            <w:pPr>
              <w:spacing w:line="360" w:lineRule="auto"/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val="en-US"/>
              </w:rPr>
              <w:t>需求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</w:tr>
      <w:tr w14:paraId="7D605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073" w:type="dxa"/>
            <w:noWrap/>
            <w:vAlign w:val="center"/>
          </w:tcPr>
          <w:p w14:paraId="3FA6540C">
            <w:pPr>
              <w:spacing w:line="360" w:lineRule="auto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2026年实验室分析用气</w:t>
            </w:r>
          </w:p>
        </w:tc>
        <w:tc>
          <w:tcPr>
            <w:tcW w:w="6603" w:type="dxa"/>
            <w:noWrap/>
            <w:vAlign w:val="center"/>
          </w:tcPr>
          <w:p w14:paraId="72B9DD80">
            <w:pPr>
              <w:numPr>
                <w:ilvl w:val="0"/>
                <w:numId w:val="1"/>
              </w:numPr>
              <w:ind w:firstLine="422"/>
              <w:rPr>
                <w:rFonts w:hint="default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项目概况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本项目为2026年实验室所需分析用气采购，签订年度采购协议，不对数量和总金额做具体承诺。</w:t>
            </w:r>
          </w:p>
          <w:p w14:paraId="1AF79F0A">
            <w:pPr>
              <w:ind w:firstLine="422"/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二、</w:t>
            </w: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eastAsia="zh-CN"/>
              </w:rPr>
              <w:t>项目内容</w:t>
            </w:r>
          </w:p>
          <w:tbl>
            <w:tblPr>
              <w:tblStyle w:val="3"/>
              <w:tblW w:w="63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1"/>
              <w:gridCol w:w="1496"/>
              <w:gridCol w:w="2347"/>
              <w:gridCol w:w="1805"/>
            </w:tblGrid>
            <w:tr w14:paraId="4AB926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</w:trPr>
              <w:tc>
                <w:tcPr>
                  <w:tcW w:w="691" w:type="dxa"/>
                  <w:vAlign w:val="center"/>
                </w:tcPr>
                <w:p w14:paraId="624D910B">
                  <w:pPr>
                    <w:jc w:val="center"/>
                    <w:rPr>
                      <w:rFonts w:hint="default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496" w:type="dxa"/>
                  <w:vAlign w:val="center"/>
                </w:tcPr>
                <w:p w14:paraId="58935E38">
                  <w:pPr>
                    <w:jc w:val="center"/>
                    <w:rPr>
                      <w:rFonts w:hint="default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2347" w:type="dxa"/>
                  <w:vAlign w:val="center"/>
                </w:tcPr>
                <w:p w14:paraId="5C698EC1">
                  <w:pPr>
                    <w:jc w:val="center"/>
                    <w:rPr>
                      <w:rFonts w:hint="default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规格</w:t>
                  </w:r>
                </w:p>
              </w:tc>
              <w:tc>
                <w:tcPr>
                  <w:tcW w:w="1805" w:type="dxa"/>
                  <w:vAlign w:val="center"/>
                </w:tcPr>
                <w:p w14:paraId="6BF8BD93">
                  <w:pPr>
                    <w:jc w:val="center"/>
                    <w:rPr>
                      <w:rFonts w:hint="default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预计数量及单位</w:t>
                  </w:r>
                </w:p>
              </w:tc>
            </w:tr>
            <w:tr w14:paraId="0F27236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1" w:type="dxa"/>
                  <w:vAlign w:val="center"/>
                </w:tcPr>
                <w:p w14:paraId="0B83BF0A">
                  <w:pPr>
                    <w:jc w:val="center"/>
                    <w:rPr>
                      <w:rFonts w:hint="default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496" w:type="dxa"/>
                  <w:vAlign w:val="center"/>
                </w:tcPr>
                <w:p w14:paraId="4C8EBAC9">
                  <w:pPr>
                    <w:jc w:val="center"/>
                    <w:rPr>
                      <w:rFonts w:hint="default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高纯氮气</w:t>
                  </w:r>
                </w:p>
              </w:tc>
              <w:tc>
                <w:tcPr>
                  <w:tcW w:w="2347" w:type="dxa"/>
                  <w:vAlign w:val="center"/>
                </w:tcPr>
                <w:p w14:paraId="2740FA4A">
                  <w:pPr>
                    <w:jc w:val="center"/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40L</w:t>
                  </w:r>
                </w:p>
                <w:p w14:paraId="5A2B6848">
                  <w:pPr>
                    <w:jc w:val="center"/>
                    <w:rPr>
                      <w:rFonts w:hint="default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纯度≥99.999%</w:t>
                  </w:r>
                </w:p>
              </w:tc>
              <w:tc>
                <w:tcPr>
                  <w:tcW w:w="1805" w:type="dxa"/>
                  <w:vAlign w:val="center"/>
                </w:tcPr>
                <w:p w14:paraId="110D2CA3">
                  <w:pPr>
                    <w:jc w:val="center"/>
                    <w:rPr>
                      <w:rFonts w:hint="default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60瓶</w:t>
                  </w:r>
                </w:p>
              </w:tc>
            </w:tr>
            <w:tr w14:paraId="3384CD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1" w:type="dxa"/>
                  <w:vAlign w:val="center"/>
                </w:tcPr>
                <w:p w14:paraId="41A822DD">
                  <w:pPr>
                    <w:jc w:val="center"/>
                    <w:rPr>
                      <w:rFonts w:hint="default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496" w:type="dxa"/>
                  <w:vAlign w:val="center"/>
                </w:tcPr>
                <w:p w14:paraId="68BCC1BE">
                  <w:pPr>
                    <w:jc w:val="center"/>
                    <w:rPr>
                      <w:rFonts w:hint="default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高纯氦气</w:t>
                  </w:r>
                </w:p>
              </w:tc>
              <w:tc>
                <w:tcPr>
                  <w:tcW w:w="2347" w:type="dxa"/>
                  <w:vAlign w:val="center"/>
                </w:tcPr>
                <w:p w14:paraId="0910B25C">
                  <w:pPr>
                    <w:jc w:val="center"/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40L</w:t>
                  </w:r>
                </w:p>
                <w:p w14:paraId="42AD648F">
                  <w:pPr>
                    <w:jc w:val="center"/>
                    <w:rPr>
                      <w:rFonts w:hint="default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纯度≥99.999%</w:t>
                  </w:r>
                </w:p>
              </w:tc>
              <w:tc>
                <w:tcPr>
                  <w:tcW w:w="1805" w:type="dxa"/>
                  <w:vAlign w:val="center"/>
                </w:tcPr>
                <w:p w14:paraId="163DD07D">
                  <w:pPr>
                    <w:jc w:val="center"/>
                    <w:rPr>
                      <w:rFonts w:hint="default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10瓶</w:t>
                  </w:r>
                </w:p>
              </w:tc>
            </w:tr>
            <w:tr w14:paraId="33BFAE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1" w:type="dxa"/>
                  <w:vAlign w:val="center"/>
                </w:tcPr>
                <w:p w14:paraId="53E9DF1A">
                  <w:pPr>
                    <w:jc w:val="center"/>
                    <w:rPr>
                      <w:rFonts w:hint="default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1496" w:type="dxa"/>
                  <w:vAlign w:val="center"/>
                </w:tcPr>
                <w:p w14:paraId="05C5DB13">
                  <w:pPr>
                    <w:jc w:val="center"/>
                    <w:rPr>
                      <w:rFonts w:hint="default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高纯氩气</w:t>
                  </w:r>
                </w:p>
              </w:tc>
              <w:tc>
                <w:tcPr>
                  <w:tcW w:w="2347" w:type="dxa"/>
                  <w:vAlign w:val="center"/>
                </w:tcPr>
                <w:p w14:paraId="7715A10B">
                  <w:pPr>
                    <w:jc w:val="center"/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40L</w:t>
                  </w:r>
                </w:p>
                <w:p w14:paraId="12DE3ED0">
                  <w:pPr>
                    <w:jc w:val="center"/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纯度≥99.999%</w:t>
                  </w:r>
                </w:p>
              </w:tc>
              <w:tc>
                <w:tcPr>
                  <w:tcW w:w="1805" w:type="dxa"/>
                  <w:vAlign w:val="center"/>
                </w:tcPr>
                <w:p w14:paraId="337950BA">
                  <w:pPr>
                    <w:jc w:val="center"/>
                    <w:rPr>
                      <w:rFonts w:hint="default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8瓶</w:t>
                  </w:r>
                </w:p>
              </w:tc>
            </w:tr>
            <w:tr w14:paraId="4D5773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1" w:type="dxa"/>
                  <w:vAlign w:val="center"/>
                </w:tcPr>
                <w:p w14:paraId="1D052B5A">
                  <w:pPr>
                    <w:jc w:val="center"/>
                    <w:rPr>
                      <w:rFonts w:hint="default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496" w:type="dxa"/>
                  <w:vAlign w:val="center"/>
                </w:tcPr>
                <w:p w14:paraId="0836C236">
                  <w:pPr>
                    <w:jc w:val="center"/>
                    <w:rPr>
                      <w:rFonts w:hint="default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高纯液氩</w:t>
                  </w:r>
                </w:p>
              </w:tc>
              <w:tc>
                <w:tcPr>
                  <w:tcW w:w="2347" w:type="dxa"/>
                  <w:vAlign w:val="center"/>
                </w:tcPr>
                <w:p w14:paraId="3E28616D">
                  <w:pPr>
                    <w:jc w:val="center"/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175L</w:t>
                  </w:r>
                </w:p>
                <w:p w14:paraId="11BA51B3">
                  <w:pPr>
                    <w:jc w:val="center"/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纯度≥99.999%</w:t>
                  </w:r>
                </w:p>
              </w:tc>
              <w:tc>
                <w:tcPr>
                  <w:tcW w:w="1805" w:type="dxa"/>
                  <w:vAlign w:val="center"/>
                </w:tcPr>
                <w:p w14:paraId="7FCB3CC0">
                  <w:pPr>
                    <w:jc w:val="center"/>
                    <w:rPr>
                      <w:rFonts w:hint="default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12瓶</w:t>
                  </w:r>
                </w:p>
              </w:tc>
            </w:tr>
            <w:tr w14:paraId="050547E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91" w:type="dxa"/>
                  <w:vAlign w:val="center"/>
                </w:tcPr>
                <w:p w14:paraId="362753BF">
                  <w:pPr>
                    <w:jc w:val="center"/>
                    <w:rPr>
                      <w:rFonts w:hint="default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bCs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496" w:type="dxa"/>
                  <w:vAlign w:val="center"/>
                </w:tcPr>
                <w:p w14:paraId="26BBB4AA">
                  <w:pPr>
                    <w:jc w:val="center"/>
                    <w:rPr>
                      <w:rFonts w:hint="default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高纯乙炔</w:t>
                  </w:r>
                </w:p>
              </w:tc>
              <w:tc>
                <w:tcPr>
                  <w:tcW w:w="2347" w:type="dxa"/>
                  <w:vAlign w:val="center"/>
                </w:tcPr>
                <w:p w14:paraId="3D49BACC">
                  <w:pPr>
                    <w:jc w:val="center"/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40L</w:t>
                  </w:r>
                </w:p>
                <w:p w14:paraId="1F0C7BD5">
                  <w:pPr>
                    <w:jc w:val="center"/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纯度≥99.999%</w:t>
                  </w:r>
                </w:p>
              </w:tc>
              <w:tc>
                <w:tcPr>
                  <w:tcW w:w="1805" w:type="dxa"/>
                  <w:vAlign w:val="center"/>
                </w:tcPr>
                <w:p w14:paraId="7A9B374C">
                  <w:pPr>
                    <w:jc w:val="center"/>
                    <w:rPr>
                      <w:rFonts w:hint="default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auto"/>
                      <w:szCs w:val="21"/>
                      <w:highlight w:val="none"/>
                      <w:vertAlign w:val="baseline"/>
                      <w:lang w:val="en-US" w:eastAsia="zh-CN"/>
                    </w:rPr>
                    <w:t>2瓶</w:t>
                  </w:r>
                </w:p>
              </w:tc>
            </w:tr>
          </w:tbl>
          <w:p w14:paraId="44919CED">
            <w:pPr>
              <w:ind w:firstLine="420"/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</w:p>
          <w:p w14:paraId="4A936CAE">
            <w:pPr>
              <w:numPr>
                <w:ilvl w:val="0"/>
                <w:numId w:val="0"/>
              </w:numPr>
              <w:ind w:left="422" w:leftChars="0"/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三、工作要求：</w:t>
            </w:r>
          </w:p>
          <w:p w14:paraId="654128E3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1.供应商应在收到我方需求后4小时内完成响应，并于24小时内将货物送达我方指定地点。</w:t>
            </w:r>
          </w:p>
          <w:p w14:paraId="4D883D5B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2.送达后必须完成压力表安装和管路连接，并确保不漏气。</w:t>
            </w:r>
          </w:p>
          <w:p w14:paraId="06685ECD">
            <w:pPr>
              <w:numPr>
                <w:ilvl w:val="0"/>
                <w:numId w:val="0"/>
              </w:numPr>
              <w:rPr>
                <w:rFonts w:hint="default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3.若采购单位使用过程中发现气体不纯、气压不足及气瓶漏气等情况，成交供应商须及时给予退换货。</w:t>
            </w:r>
          </w:p>
        </w:tc>
      </w:tr>
      <w:tr w14:paraId="4907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2"/>
            <w:noWrap/>
            <w:vAlign w:val="center"/>
          </w:tcPr>
          <w:p w14:paraId="11A064C7">
            <w:pPr>
              <w:spacing w:line="360" w:lineRule="auto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</w:rPr>
              <w:t>二、商务要求</w:t>
            </w:r>
          </w:p>
        </w:tc>
      </w:tr>
      <w:tr w14:paraId="5158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2"/>
            <w:noWrap/>
            <w:vAlign w:val="center"/>
          </w:tcPr>
          <w:p w14:paraId="1E156837">
            <w:pPr>
              <w:numPr>
                <w:ilvl w:val="0"/>
                <w:numId w:val="0"/>
              </w:numPr>
              <w:ind w:firstLine="422" w:firstLineChars="200"/>
              <w:rPr>
                <w:b w:val="0"/>
                <w:bCs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1、报价要求</w:t>
            </w:r>
          </w:p>
          <w:p w14:paraId="0352F93B"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本项目实行总承包报价，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报价为采购人指定货物的全部价格，</w:t>
            </w:r>
            <w:r>
              <w:rPr>
                <w:rFonts w:hint="eastAsia"/>
                <w:color w:val="auto"/>
                <w:szCs w:val="21"/>
                <w:highlight w:val="none"/>
              </w:rPr>
              <w:t>包括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气瓶租赁费、运输费用、各项保险费用及税金等</w:t>
            </w:r>
            <w:r>
              <w:rPr>
                <w:rFonts w:hint="eastAsia"/>
                <w:color w:val="auto"/>
                <w:szCs w:val="21"/>
                <w:highlight w:val="none"/>
              </w:rPr>
              <w:t>与本项目有关的其他一切费用。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同时实行单价控制（报价单价不得超过预算单价，否则视为无效报价）。</w:t>
            </w:r>
            <w:r>
              <w:rPr>
                <w:rFonts w:hint="eastAsia"/>
                <w:color w:val="auto"/>
                <w:szCs w:val="21"/>
                <w:highlight w:val="none"/>
              </w:rPr>
              <w:t>采购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/>
                <w:color w:val="auto"/>
                <w:szCs w:val="21"/>
                <w:highlight w:val="none"/>
              </w:rPr>
              <w:t>不再支付成交价格以外的任何费用。</w:t>
            </w:r>
          </w:p>
          <w:p w14:paraId="39DB70B3"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2、项目服务时间及服务地点</w:t>
            </w:r>
          </w:p>
          <w:p w14:paraId="26911533">
            <w:pPr>
              <w:numPr>
                <w:ilvl w:val="0"/>
                <w:numId w:val="0"/>
              </w:numPr>
              <w:ind w:firstLine="420" w:firstLineChars="200"/>
              <w:rPr>
                <w:rFonts w:hint="eastAsia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（1）服务期限：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一年</w:t>
            </w:r>
          </w:p>
          <w:p w14:paraId="04C92946">
            <w:pPr>
              <w:numPr>
                <w:ilvl w:val="0"/>
                <w:numId w:val="0"/>
              </w:numPr>
              <w:ind w:firstLine="420" w:firstLineChars="200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（2）服务地点：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广西壮族自治区来宾生态环境监测中心</w:t>
            </w:r>
          </w:p>
          <w:p w14:paraId="5BA111C9">
            <w:pPr>
              <w:numPr>
                <w:ilvl w:val="0"/>
                <w:numId w:val="0"/>
              </w:numPr>
              <w:ind w:firstLine="422" w:firstLineChars="200"/>
              <w:rPr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3、服务交付时间及交付地点</w:t>
            </w:r>
          </w:p>
          <w:p w14:paraId="6F678C84">
            <w:pPr>
              <w:numPr>
                <w:ilvl w:val="0"/>
                <w:numId w:val="0"/>
              </w:numPr>
              <w:ind w:firstLine="420" w:firstLineChars="200"/>
              <w:rPr>
                <w:rFonts w:hint="default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（1）交付时间：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每次供货数量和时间根据采购单位实际需求确定</w:t>
            </w:r>
          </w:p>
          <w:p w14:paraId="4702271C"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（2）交付地点：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广西壮族自治区来宾生态环境监测中心（来宾市兴宾区育才路与康平路交叉口）</w:t>
            </w:r>
          </w:p>
          <w:p w14:paraId="4D9DFEE0">
            <w:pPr>
              <w:numPr>
                <w:ilvl w:val="0"/>
                <w:numId w:val="0"/>
              </w:numPr>
              <w:ind w:firstLine="422" w:firstLineChars="200"/>
              <w:rPr>
                <w:rFonts w:hint="eastAsia"/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b/>
                <w:color w:val="auto"/>
                <w:szCs w:val="21"/>
                <w:highlight w:val="none"/>
              </w:rPr>
              <w:t>4、付款条件</w:t>
            </w:r>
          </w:p>
          <w:p w14:paraId="112B107B">
            <w:pPr>
              <w:numPr>
                <w:ilvl w:val="0"/>
                <w:numId w:val="0"/>
              </w:numPr>
              <w:ind w:firstLine="420" w:firstLineChars="2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合同签订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后，成交供应商于每季度最后一个月10日前根据采购单位实际使用量申请结算。</w:t>
            </w:r>
            <w:r>
              <w:rPr>
                <w:rFonts w:hint="eastAsia"/>
                <w:color w:val="auto"/>
                <w:szCs w:val="21"/>
                <w:highlight w:val="none"/>
              </w:rPr>
              <w:t>成交供应商先开具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当季度送货清单</w:t>
            </w:r>
            <w:r>
              <w:rPr>
                <w:rFonts w:hint="eastAsia"/>
                <w:color w:val="auto"/>
                <w:szCs w:val="21"/>
                <w:highlight w:val="none"/>
              </w:rPr>
              <w:t>给采购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单位核对，核对无误后</w:t>
            </w:r>
            <w:r>
              <w:rPr>
                <w:rFonts w:hint="eastAsia"/>
                <w:color w:val="auto"/>
                <w:szCs w:val="21"/>
                <w:highlight w:val="none"/>
              </w:rPr>
              <w:t>成交供应商</w:t>
            </w:r>
            <w:r>
              <w:rPr>
                <w:rFonts w:hint="eastAsia"/>
                <w:color w:val="auto"/>
                <w:szCs w:val="21"/>
                <w:highlight w:val="none"/>
                <w:lang w:val="en-US" w:eastAsia="zh-CN"/>
              </w:rPr>
              <w:t>再开具发票和验收单给采购单位办理付款手续</w:t>
            </w:r>
            <w:r>
              <w:rPr>
                <w:rFonts w:hint="eastAsia"/>
                <w:color w:val="auto"/>
                <w:szCs w:val="21"/>
                <w:highlight w:val="none"/>
              </w:rPr>
              <w:t>。</w:t>
            </w:r>
          </w:p>
          <w:p w14:paraId="2A028302">
            <w:pPr>
              <w:numPr>
                <w:ilvl w:val="0"/>
                <w:numId w:val="2"/>
              </w:numPr>
              <w:ind w:firstLine="422" w:firstLineChars="200"/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Cs w:val="21"/>
                <w:highlight w:val="none"/>
                <w:lang w:val="en-US" w:eastAsia="zh-CN"/>
              </w:rPr>
              <w:t>其他要求</w:t>
            </w:r>
          </w:p>
          <w:p w14:paraId="7F4BC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服务期间，采购单位在使用过程中出现2次气体不纯、气压不足及气瓶漏气等问题的，则不允许将此次成交供应商列入我中心合格供应商名录（该名录将作为下一年度选择供应商的参考指标）。</w:t>
            </w:r>
          </w:p>
          <w:p w14:paraId="2626A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同时提供气阀、管路维修服务和管路气压气漏检测服务。</w:t>
            </w:r>
          </w:p>
        </w:tc>
      </w:tr>
    </w:tbl>
    <w:p w14:paraId="40CC8FC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19C5F6E-1471-44E6-87A2-DD21CBF9181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797F78C-2457-460D-84CF-C0B89FFEBA4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E1FF0C"/>
    <w:multiLevelType w:val="singleLevel"/>
    <w:tmpl w:val="9CE1FF0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E1F147D"/>
    <w:multiLevelType w:val="singleLevel"/>
    <w:tmpl w:val="9E1F14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93F443A"/>
    <w:multiLevelType w:val="singleLevel"/>
    <w:tmpl w:val="493F443A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YjczNTY0NTk2YjhmNmMxMjU1YmEyMGUzOWNiODUifQ=="/>
  </w:docVars>
  <w:rsids>
    <w:rsidRoot w:val="2F1267CA"/>
    <w:rsid w:val="00F02AC7"/>
    <w:rsid w:val="0769737F"/>
    <w:rsid w:val="0AD56E8D"/>
    <w:rsid w:val="0CA2369F"/>
    <w:rsid w:val="0F646262"/>
    <w:rsid w:val="162D2727"/>
    <w:rsid w:val="1A4D5780"/>
    <w:rsid w:val="1EEB48E4"/>
    <w:rsid w:val="1FB63935"/>
    <w:rsid w:val="2E824145"/>
    <w:rsid w:val="2EC67BCD"/>
    <w:rsid w:val="2F1267CA"/>
    <w:rsid w:val="31A7717C"/>
    <w:rsid w:val="33010069"/>
    <w:rsid w:val="527F2219"/>
    <w:rsid w:val="53B06C09"/>
    <w:rsid w:val="55217476"/>
    <w:rsid w:val="59F111B9"/>
    <w:rsid w:val="5AC432E2"/>
    <w:rsid w:val="5C0C7591"/>
    <w:rsid w:val="681B653E"/>
    <w:rsid w:val="6F8152D6"/>
    <w:rsid w:val="780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830</Characters>
  <Lines>0</Lines>
  <Paragraphs>0</Paragraphs>
  <TotalTime>863</TotalTime>
  <ScaleCrop>false</ScaleCrop>
  <LinksUpToDate>false</LinksUpToDate>
  <CharactersWithSpaces>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2023-02-16T01:50:00Z</dcterms:created>
  <dc:creator>卓然</dc:creator>
  <cp:lastModifiedBy>W</cp:lastModifiedBy>
  <cp:lastPrinted>2024-02-07T02:45:00Z</cp:lastPrinted>
  <dcterms:modified xsi:type="dcterms:W3CDTF">2026-04-08T00:20:05Z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9271E5333DFB40F5B201EF4B6E101240_13</vt:lpwstr>
  </property>
  <property fmtid="{D5CDD505-2E9C-101B-9397-08002B2CF9AE}" pid="4" name="KSOTemplateDocerSaveRecord">
    <vt:lpwstr>eyJoZGlkIjoiZmM5YTFkODcwZGQ2YTE0YmJlOGVhNmFhMjViODMzOTgiLCJ1c2VySWQiOiI0MDk2MDE4NjcifQ==</vt:lpwstr>
  </property>
</Properties>
</file>