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5"/>
        <w:tabs>
          <w:tab w:val="left" w:pos="0"/>
        </w:tabs>
        <w:jc w:val="center"/>
        <w:outlineLvl w:val="0"/>
        <w:rPr>
          <w:sz w:val="56"/>
          <w:szCs w:val="56"/>
        </w:rPr>
      </w:pPr>
      <w:bookmarkStart w:id="0" w:name="_Toc24505"/>
      <w:r>
        <w:rPr>
          <w:rFonts w:hint="eastAsia"/>
          <w:sz w:val="56"/>
          <w:szCs w:val="56"/>
        </w:rPr>
        <w:t>上海正弘建设工程顾问有限公司</w:t>
      </w:r>
      <w:bookmarkEnd w:id="0"/>
    </w:p>
    <w:p>
      <w:pPr>
        <w:pStyle w:val="15"/>
        <w:jc w:val="center"/>
        <w:rPr>
          <w:rFonts w:ascii="楷体_GB2312" w:eastAsia="楷体_GB2312"/>
          <w:b/>
          <w:bCs/>
          <w:sz w:val="44"/>
          <w:szCs w:val="44"/>
        </w:rPr>
      </w:pPr>
    </w:p>
    <w:p>
      <w:pPr>
        <w:pStyle w:val="15"/>
        <w:tabs>
          <w:tab w:val="left" w:pos="0"/>
        </w:tabs>
        <w:rPr>
          <w:sz w:val="96"/>
          <w:szCs w:val="96"/>
        </w:rPr>
      </w:pPr>
    </w:p>
    <w:p>
      <w:pPr>
        <w:pStyle w:val="15"/>
        <w:tabs>
          <w:tab w:val="left" w:pos="0"/>
        </w:tabs>
        <w:jc w:val="center"/>
        <w:rPr>
          <w:rFonts w:ascii="楷体_GB2312" w:eastAsia="楷体_GB2312"/>
          <w:b/>
          <w:bCs/>
          <w:sz w:val="84"/>
          <w:szCs w:val="84"/>
        </w:rPr>
      </w:pPr>
      <w:r>
        <w:rPr>
          <w:rFonts w:hint="eastAsia"/>
          <w:b/>
          <w:bCs/>
          <w:sz w:val="84"/>
          <w:szCs w:val="84"/>
        </w:rPr>
        <w:t>竞争性磋商采购文件</w:t>
      </w:r>
    </w:p>
    <w:p>
      <w:pPr>
        <w:pStyle w:val="15"/>
      </w:pPr>
    </w:p>
    <w:p>
      <w:pPr>
        <w:pStyle w:val="15"/>
      </w:pPr>
    </w:p>
    <w:p>
      <w:pPr>
        <w:pStyle w:val="15"/>
      </w:pPr>
    </w:p>
    <w:p>
      <w:pPr>
        <w:pStyle w:val="15"/>
      </w:pPr>
    </w:p>
    <w:p>
      <w:pPr>
        <w:pStyle w:val="15"/>
      </w:pPr>
    </w:p>
    <w:p>
      <w:pPr>
        <w:pStyle w:val="15"/>
      </w:pPr>
    </w:p>
    <w:p>
      <w:pPr>
        <w:spacing w:line="800" w:lineRule="exact"/>
        <w:ind w:left="2401" w:leftChars="426" w:hanging="1506" w:hangingChars="500"/>
        <w:rPr>
          <w:rFonts w:hint="eastAsia" w:ascii="宋体" w:hAnsi="宋体" w:eastAsia="宋体"/>
          <w:b/>
          <w:sz w:val="30"/>
          <w:szCs w:val="30"/>
          <w:highlight w:val="none"/>
        </w:rPr>
      </w:pPr>
      <w:bookmarkStart w:id="1" w:name="_Toc7148"/>
      <w:r>
        <w:rPr>
          <w:rFonts w:hint="eastAsia" w:ascii="宋体" w:hAnsi="宋体" w:eastAsia="宋体"/>
          <w:b/>
          <w:sz w:val="30"/>
          <w:szCs w:val="30"/>
        </w:rPr>
        <w:t>项目名称：</w:t>
      </w:r>
      <w:bookmarkEnd w:id="1"/>
      <w:r>
        <w:rPr>
          <w:rFonts w:hint="eastAsia" w:ascii="宋体" w:hAnsi="宋体" w:eastAsia="宋体"/>
          <w:b/>
          <w:sz w:val="30"/>
          <w:szCs w:val="30"/>
          <w:u w:val="single"/>
          <w:lang w:val="en-US" w:eastAsia="zh-CN"/>
        </w:rPr>
        <w:t>2025年野外、应急仪器设备及实验室辅助设施维护</w:t>
      </w:r>
      <w:r>
        <w:rPr>
          <w:rFonts w:hint="eastAsia" w:ascii="宋体" w:hAnsi="宋体" w:eastAsia="宋体"/>
          <w:b/>
          <w:sz w:val="30"/>
          <w:szCs w:val="30"/>
          <w:highlight w:val="none"/>
          <w:u w:val="single"/>
          <w:lang w:val="en-US" w:eastAsia="zh-CN"/>
        </w:rPr>
        <w:t>管理项目</w:t>
      </w:r>
    </w:p>
    <w:p>
      <w:pPr>
        <w:tabs>
          <w:tab w:val="left" w:pos="7665"/>
        </w:tabs>
        <w:spacing w:line="360" w:lineRule="auto"/>
        <w:ind w:firstLine="904" w:firstLineChars="300"/>
        <w:outlineLvl w:val="0"/>
        <w:rPr>
          <w:rFonts w:hint="default" w:ascii="宋体" w:hAnsi="宋体" w:eastAsia="宋体"/>
          <w:b/>
          <w:color w:val="auto"/>
          <w:sz w:val="30"/>
          <w:szCs w:val="30"/>
          <w:highlight w:val="none"/>
          <w:u w:val="single"/>
          <w:lang w:val="en-US" w:eastAsia="zh-CN"/>
        </w:rPr>
      </w:pPr>
      <w:bookmarkStart w:id="2" w:name="_Toc30458"/>
      <w:r>
        <w:rPr>
          <w:rFonts w:hint="eastAsia" w:ascii="宋体" w:hAnsi="宋体"/>
          <w:b/>
          <w:color w:val="auto"/>
          <w:sz w:val="30"/>
          <w:szCs w:val="30"/>
          <w:highlight w:val="none"/>
        </w:rPr>
        <w:t>项目编号：</w:t>
      </w:r>
      <w:bookmarkEnd w:id="2"/>
      <w:r>
        <w:rPr>
          <w:rFonts w:hint="eastAsia" w:ascii="宋体" w:hAnsi="宋体"/>
          <w:b/>
          <w:color w:val="auto"/>
          <w:sz w:val="30"/>
          <w:szCs w:val="30"/>
          <w:highlight w:val="none"/>
          <w:u w:val="single"/>
        </w:rPr>
        <w:t>ZHGX-202</w:t>
      </w:r>
      <w:r>
        <w:rPr>
          <w:rFonts w:hint="eastAsia" w:ascii="宋体" w:hAnsi="宋体"/>
          <w:b/>
          <w:color w:val="auto"/>
          <w:sz w:val="30"/>
          <w:szCs w:val="30"/>
          <w:highlight w:val="none"/>
          <w:u w:val="single"/>
          <w:lang w:val="en-US" w:eastAsia="zh-CN"/>
        </w:rPr>
        <w:t>5</w:t>
      </w:r>
      <w:r>
        <w:rPr>
          <w:rFonts w:hint="eastAsia" w:ascii="宋体" w:hAnsi="宋体"/>
          <w:b/>
          <w:color w:val="auto"/>
          <w:sz w:val="30"/>
          <w:szCs w:val="30"/>
          <w:highlight w:val="none"/>
          <w:u w:val="single"/>
        </w:rPr>
        <w:t>-0</w:t>
      </w:r>
      <w:r>
        <w:rPr>
          <w:rFonts w:hint="eastAsia" w:ascii="宋体" w:hAnsi="宋体"/>
          <w:b/>
          <w:color w:val="auto"/>
          <w:sz w:val="30"/>
          <w:szCs w:val="30"/>
          <w:highlight w:val="none"/>
          <w:u w:val="single"/>
          <w:lang w:val="en-US" w:eastAsia="zh-CN"/>
        </w:rPr>
        <w:t>07</w:t>
      </w:r>
    </w:p>
    <w:p>
      <w:pPr>
        <w:rPr>
          <w:rFonts w:ascii="宋体" w:hAnsi="宋体" w:cs="宋体"/>
          <w:b/>
          <w:bCs/>
          <w:color w:val="auto"/>
          <w:sz w:val="32"/>
          <w:szCs w:val="32"/>
        </w:rPr>
      </w:pPr>
      <w:r>
        <w:rPr>
          <w:rFonts w:hint="eastAsia" w:ascii="宋体" w:hAnsi="宋体" w:cs="宋体"/>
          <w:b/>
          <w:bCs/>
          <w:color w:val="auto"/>
          <w:sz w:val="32"/>
          <w:szCs w:val="32"/>
        </w:rPr>
        <w:t xml:space="preserve"> </w:t>
      </w:r>
    </w:p>
    <w:p>
      <w:pPr>
        <w:rPr>
          <w:rFonts w:ascii="宋体" w:hAnsi="宋体" w:cs="宋体"/>
          <w:b/>
          <w:color w:val="auto"/>
          <w:sz w:val="32"/>
          <w:szCs w:val="32"/>
        </w:rPr>
      </w:pPr>
    </w:p>
    <w:p>
      <w:pPr>
        <w:pStyle w:val="45"/>
        <w:rPr>
          <w:rFonts w:ascii="宋体" w:hAnsi="宋体" w:cs="宋体"/>
          <w:b/>
          <w:sz w:val="32"/>
          <w:szCs w:val="32"/>
        </w:rPr>
      </w:pPr>
    </w:p>
    <w:p>
      <w:pPr>
        <w:pStyle w:val="45"/>
        <w:rPr>
          <w:rFonts w:ascii="宋体" w:hAnsi="宋体" w:cs="宋体"/>
          <w:b/>
          <w:sz w:val="32"/>
          <w:szCs w:val="32"/>
        </w:rPr>
      </w:pPr>
    </w:p>
    <w:p>
      <w:pPr>
        <w:ind w:firstLine="1606" w:firstLineChars="500"/>
        <w:rPr>
          <w:rFonts w:ascii="宋体" w:hAnsi="宋体" w:cs="宋体"/>
          <w:b/>
          <w:sz w:val="32"/>
          <w:szCs w:val="32"/>
        </w:rPr>
      </w:pPr>
    </w:p>
    <w:p>
      <w:pPr>
        <w:spacing w:line="360" w:lineRule="auto"/>
        <w:ind w:firstLine="904" w:firstLineChars="300"/>
        <w:rPr>
          <w:b/>
          <w:sz w:val="30"/>
          <w:szCs w:val="30"/>
        </w:rPr>
      </w:pPr>
      <w:bookmarkStart w:id="3" w:name="_Toc139967210"/>
      <w:bookmarkStart w:id="4" w:name="_Toc139966426"/>
      <w:r>
        <w:rPr>
          <w:rFonts w:hint="eastAsia"/>
          <w:b/>
          <w:sz w:val="30"/>
          <w:szCs w:val="30"/>
        </w:rPr>
        <w:t>采购代理机构：上海正弘建设工程顾问有限公司</w:t>
      </w:r>
      <w:r>
        <w:rPr>
          <w:b/>
          <w:sz w:val="30"/>
          <w:szCs w:val="30"/>
        </w:rPr>
        <w:t xml:space="preserve"> </w:t>
      </w:r>
    </w:p>
    <w:p>
      <w:pPr>
        <w:widowControl/>
        <w:spacing w:line="360" w:lineRule="auto"/>
        <w:jc w:val="center"/>
        <w:rPr>
          <w:b/>
          <w:sz w:val="30"/>
          <w:szCs w:val="30"/>
        </w:rPr>
      </w:pPr>
      <w:r>
        <w:rPr>
          <w:b/>
          <w:sz w:val="30"/>
          <w:szCs w:val="30"/>
        </w:rPr>
        <w:t>20</w:t>
      </w:r>
      <w:r>
        <w:rPr>
          <w:rFonts w:hint="eastAsia"/>
          <w:b/>
          <w:sz w:val="30"/>
          <w:szCs w:val="30"/>
        </w:rPr>
        <w:t>2</w:t>
      </w:r>
      <w:r>
        <w:rPr>
          <w:rFonts w:hint="eastAsia"/>
          <w:b/>
          <w:sz w:val="30"/>
          <w:szCs w:val="30"/>
          <w:lang w:val="en-US" w:eastAsia="zh-CN"/>
        </w:rPr>
        <w:t>5</w:t>
      </w:r>
      <w:r>
        <w:rPr>
          <w:rFonts w:hint="eastAsia"/>
          <w:b/>
          <w:sz w:val="30"/>
          <w:szCs w:val="30"/>
        </w:rPr>
        <w:t>年</w:t>
      </w:r>
      <w:r>
        <w:rPr>
          <w:rFonts w:hint="eastAsia"/>
          <w:b/>
          <w:sz w:val="30"/>
          <w:szCs w:val="30"/>
          <w:lang w:val="en-US" w:eastAsia="zh-CN"/>
        </w:rPr>
        <w:t>2</w:t>
      </w:r>
      <w:r>
        <w:rPr>
          <w:rFonts w:hint="eastAsia"/>
          <w:b/>
          <w:sz w:val="30"/>
          <w:szCs w:val="30"/>
        </w:rPr>
        <w:t>月</w:t>
      </w:r>
    </w:p>
    <w:p>
      <w:pPr>
        <w:tabs>
          <w:tab w:val="center" w:pos="4934"/>
          <w:tab w:val="left" w:pos="9079"/>
        </w:tabs>
        <w:jc w:val="left"/>
        <w:rPr>
          <w:rFonts w:ascii="宋体" w:hAnsi="宋体" w:cs="宋体"/>
          <w:b/>
          <w:sz w:val="32"/>
          <w:szCs w:val="32"/>
        </w:rPr>
      </w:pPr>
      <w:r>
        <w:rPr>
          <w:rFonts w:hint="eastAsia" w:ascii="宋体" w:hAnsi="宋体" w:cs="宋体"/>
          <w:b/>
          <w:sz w:val="32"/>
          <w:szCs w:val="32"/>
        </w:rPr>
        <w:tab/>
      </w:r>
    </w:p>
    <w:p>
      <w:pPr>
        <w:tabs>
          <w:tab w:val="center" w:pos="4934"/>
          <w:tab w:val="left" w:pos="9079"/>
        </w:tabs>
        <w:jc w:val="center"/>
        <w:rPr>
          <w:rFonts w:ascii="宋体" w:hAnsi="宋体" w:cs="宋体"/>
          <w:b/>
          <w:sz w:val="44"/>
          <w:szCs w:val="44"/>
        </w:rPr>
        <w:sectPr>
          <w:headerReference r:id="rId3" w:type="default"/>
          <w:footerReference r:id="rId4" w:type="default"/>
          <w:pgSz w:w="11906" w:h="16838"/>
          <w:pgMar w:top="1440" w:right="1417" w:bottom="1440" w:left="1417" w:header="720" w:footer="720" w:gutter="0"/>
          <w:pgNumType w:fmt="decimal" w:start="1"/>
          <w:cols w:space="720" w:num="1"/>
          <w:docGrid w:type="lines" w:linePitch="331" w:charSpace="0"/>
        </w:sectPr>
      </w:pPr>
    </w:p>
    <w:p>
      <w:pPr>
        <w:rPr>
          <w:rFonts w:ascii="宋体" w:hAnsi="宋体" w:cs="宋体"/>
          <w:b/>
          <w:sz w:val="28"/>
          <w:szCs w:val="28"/>
        </w:rPr>
      </w:pPr>
    </w:p>
    <w:sdt>
      <w:sdtPr>
        <w:rPr>
          <w:rFonts w:ascii="宋体" w:hAnsi="宋体"/>
        </w:rPr>
        <w:id w:val="147455887"/>
        <w:docPartObj>
          <w:docPartGallery w:val="Table of Contents"/>
          <w:docPartUnique/>
        </w:docPartObj>
      </w:sdtPr>
      <w:sdtEndPr>
        <w:rPr>
          <w:rFonts w:ascii="宋体" w:hAnsi="宋体"/>
        </w:rPr>
      </w:sdtEndPr>
      <w:sdtContent>
        <w:p>
          <w:pPr>
            <w:spacing w:line="720" w:lineRule="auto"/>
            <w:jc w:val="center"/>
            <w:rPr>
              <w:rFonts w:ascii="宋体" w:hAnsi="宋体" w:cs="宋体"/>
              <w:b/>
              <w:bCs/>
              <w:sz w:val="30"/>
              <w:szCs w:val="30"/>
            </w:rPr>
          </w:pPr>
          <w:bookmarkStart w:id="5" w:name="_Toc460253689"/>
          <w:r>
            <w:rPr>
              <w:rFonts w:hint="eastAsia" w:ascii="宋体" w:hAnsi="宋体" w:cs="宋体"/>
              <w:b/>
              <w:bCs/>
              <w:sz w:val="44"/>
              <w:szCs w:val="44"/>
            </w:rPr>
            <w:t>目录</w:t>
          </w:r>
          <w:r>
            <w:rPr>
              <w:rFonts w:hint="eastAsia" w:ascii="宋体" w:hAnsi="宋体" w:cs="宋体"/>
              <w:b/>
              <w:bCs/>
              <w:sz w:val="30"/>
              <w:szCs w:val="30"/>
            </w:rPr>
            <w:fldChar w:fldCharType="begin"/>
          </w:r>
          <w:r>
            <w:rPr>
              <w:rFonts w:hint="eastAsia" w:ascii="宋体" w:hAnsi="宋体" w:cs="宋体"/>
              <w:b/>
              <w:bCs/>
              <w:sz w:val="30"/>
              <w:szCs w:val="30"/>
            </w:rPr>
            <w:instrText xml:space="preserve">TOC \o "1-1" \h \u </w:instrText>
          </w:r>
          <w:r>
            <w:rPr>
              <w:rFonts w:hint="eastAsia" w:ascii="宋体" w:hAnsi="宋体" w:cs="宋体"/>
              <w:b/>
              <w:bCs/>
              <w:sz w:val="30"/>
              <w:szCs w:val="30"/>
            </w:rPr>
            <w:fldChar w:fldCharType="separate"/>
          </w:r>
        </w:p>
        <w:p>
          <w:pPr>
            <w:pStyle w:val="106"/>
            <w:tabs>
              <w:tab w:val="right" w:leader="dot" w:pos="9072"/>
            </w:tabs>
            <w:spacing w:line="720" w:lineRule="auto"/>
            <w:rPr>
              <w:rFonts w:ascii="宋体" w:hAnsi="宋体" w:cs="宋体"/>
              <w:b/>
              <w:bCs/>
              <w:sz w:val="30"/>
              <w:szCs w:val="30"/>
            </w:rPr>
          </w:pPr>
          <w:r>
            <w:fldChar w:fldCharType="begin"/>
          </w:r>
          <w:r>
            <w:instrText xml:space="preserve"> HYPERLINK \l "_Toc4770" </w:instrText>
          </w:r>
          <w:r>
            <w:fldChar w:fldCharType="separate"/>
          </w:r>
          <w:r>
            <w:rPr>
              <w:rFonts w:hint="eastAsia" w:ascii="宋体" w:hAnsi="宋体" w:cs="宋体"/>
              <w:b/>
              <w:bCs/>
              <w:sz w:val="30"/>
              <w:szCs w:val="30"/>
            </w:rPr>
            <w:t xml:space="preserve">第一章 </w:t>
          </w:r>
          <w:r>
            <w:rPr>
              <w:rFonts w:hint="eastAsia" w:ascii="宋体" w:hAnsi="宋体" w:cs="宋体"/>
              <w:b/>
              <w:bCs/>
              <w:sz w:val="30"/>
              <w:szCs w:val="30"/>
              <w:lang w:val="en-US" w:eastAsia="zh-CN"/>
            </w:rPr>
            <w:t xml:space="preserve"> </w:t>
          </w:r>
          <w:r>
            <w:rPr>
              <w:rFonts w:hint="eastAsia" w:ascii="宋体" w:hAnsi="宋体" w:cs="宋体"/>
              <w:b/>
              <w:bCs/>
              <w:sz w:val="30"/>
              <w:szCs w:val="30"/>
            </w:rPr>
            <w:t>公告</w:t>
          </w:r>
          <w:r>
            <w:rPr>
              <w:rFonts w:hint="eastAsia" w:ascii="宋体" w:hAnsi="宋体" w:cs="宋体"/>
              <w:b/>
              <w:bCs/>
              <w:sz w:val="30"/>
              <w:szCs w:val="30"/>
            </w:rPr>
            <w:tab/>
          </w:r>
          <w:r>
            <w:rPr>
              <w:rFonts w:hint="eastAsia" w:ascii="宋体" w:hAnsi="宋体" w:cs="宋体"/>
              <w:b/>
              <w:bCs/>
              <w:sz w:val="30"/>
              <w:szCs w:val="30"/>
            </w:rPr>
            <w:fldChar w:fldCharType="begin"/>
          </w:r>
          <w:r>
            <w:rPr>
              <w:rFonts w:hint="eastAsia" w:ascii="宋体" w:hAnsi="宋体" w:cs="宋体"/>
              <w:b/>
              <w:bCs/>
              <w:sz w:val="30"/>
              <w:szCs w:val="30"/>
            </w:rPr>
            <w:instrText xml:space="preserve"> PAGEREF _Toc4770 \h </w:instrText>
          </w:r>
          <w:r>
            <w:rPr>
              <w:rFonts w:hint="eastAsia" w:ascii="宋体" w:hAnsi="宋体" w:cs="宋体"/>
              <w:b/>
              <w:bCs/>
              <w:sz w:val="30"/>
              <w:szCs w:val="30"/>
            </w:rPr>
            <w:fldChar w:fldCharType="separate"/>
          </w:r>
          <w:r>
            <w:rPr>
              <w:rFonts w:hint="eastAsia" w:ascii="宋体" w:hAnsi="宋体" w:cs="宋体"/>
              <w:b/>
              <w:bCs/>
              <w:sz w:val="30"/>
              <w:szCs w:val="30"/>
            </w:rPr>
            <w:t>2</w:t>
          </w:r>
          <w:r>
            <w:rPr>
              <w:rFonts w:hint="eastAsia" w:ascii="宋体" w:hAnsi="宋体" w:cs="宋体"/>
              <w:b/>
              <w:bCs/>
              <w:sz w:val="30"/>
              <w:szCs w:val="30"/>
            </w:rPr>
            <w:fldChar w:fldCharType="end"/>
          </w:r>
          <w:r>
            <w:rPr>
              <w:rFonts w:hint="eastAsia" w:ascii="宋体" w:hAnsi="宋体" w:cs="宋体"/>
              <w:b/>
              <w:bCs/>
              <w:sz w:val="30"/>
              <w:szCs w:val="30"/>
            </w:rPr>
            <w:fldChar w:fldCharType="end"/>
          </w:r>
        </w:p>
        <w:p>
          <w:pPr>
            <w:pStyle w:val="106"/>
            <w:tabs>
              <w:tab w:val="right" w:leader="dot" w:pos="9072"/>
            </w:tabs>
            <w:spacing w:line="720" w:lineRule="auto"/>
            <w:rPr>
              <w:rFonts w:ascii="宋体" w:hAnsi="宋体" w:cs="宋体"/>
              <w:b/>
              <w:bCs/>
              <w:sz w:val="30"/>
              <w:szCs w:val="30"/>
            </w:rPr>
          </w:pPr>
          <w:r>
            <w:fldChar w:fldCharType="begin"/>
          </w:r>
          <w:r>
            <w:instrText xml:space="preserve"> HYPERLINK \l "_Toc29237" </w:instrText>
          </w:r>
          <w:r>
            <w:fldChar w:fldCharType="separate"/>
          </w:r>
          <w:r>
            <w:rPr>
              <w:rFonts w:hint="eastAsia" w:ascii="宋体" w:hAnsi="宋体" w:cs="宋体"/>
              <w:b/>
              <w:bCs/>
              <w:sz w:val="30"/>
              <w:szCs w:val="30"/>
            </w:rPr>
            <w:t>第二章  磋商供应商须知</w:t>
          </w:r>
          <w:r>
            <w:rPr>
              <w:rFonts w:hint="eastAsia" w:ascii="宋体" w:hAnsi="宋体" w:cs="宋体"/>
              <w:b/>
              <w:bCs/>
              <w:sz w:val="30"/>
              <w:szCs w:val="30"/>
            </w:rPr>
            <w:tab/>
          </w:r>
          <w:r>
            <w:rPr>
              <w:rFonts w:hint="eastAsia" w:ascii="宋体" w:hAnsi="宋体" w:cs="宋体"/>
              <w:b/>
              <w:bCs/>
              <w:sz w:val="30"/>
              <w:szCs w:val="30"/>
            </w:rPr>
            <w:fldChar w:fldCharType="begin"/>
          </w:r>
          <w:r>
            <w:rPr>
              <w:rFonts w:hint="eastAsia" w:ascii="宋体" w:hAnsi="宋体" w:cs="宋体"/>
              <w:b/>
              <w:bCs/>
              <w:sz w:val="30"/>
              <w:szCs w:val="30"/>
            </w:rPr>
            <w:instrText xml:space="preserve"> PAGEREF _Toc29237 \h </w:instrText>
          </w:r>
          <w:r>
            <w:rPr>
              <w:rFonts w:hint="eastAsia" w:ascii="宋体" w:hAnsi="宋体" w:cs="宋体"/>
              <w:b/>
              <w:bCs/>
              <w:sz w:val="30"/>
              <w:szCs w:val="30"/>
            </w:rPr>
            <w:fldChar w:fldCharType="separate"/>
          </w:r>
          <w:r>
            <w:rPr>
              <w:rFonts w:hint="eastAsia" w:ascii="宋体" w:hAnsi="宋体" w:cs="宋体"/>
              <w:b/>
              <w:bCs/>
              <w:sz w:val="30"/>
              <w:szCs w:val="30"/>
            </w:rPr>
            <w:t>5</w:t>
          </w:r>
          <w:r>
            <w:rPr>
              <w:rFonts w:hint="eastAsia" w:ascii="宋体" w:hAnsi="宋体" w:cs="宋体"/>
              <w:b/>
              <w:bCs/>
              <w:sz w:val="30"/>
              <w:szCs w:val="30"/>
            </w:rPr>
            <w:fldChar w:fldCharType="end"/>
          </w:r>
          <w:r>
            <w:rPr>
              <w:rFonts w:hint="eastAsia" w:ascii="宋体" w:hAnsi="宋体" w:cs="宋体"/>
              <w:b/>
              <w:bCs/>
              <w:sz w:val="30"/>
              <w:szCs w:val="30"/>
            </w:rPr>
            <w:fldChar w:fldCharType="end"/>
          </w:r>
        </w:p>
        <w:p>
          <w:pPr>
            <w:pStyle w:val="106"/>
            <w:tabs>
              <w:tab w:val="right" w:leader="dot" w:pos="9072"/>
            </w:tabs>
            <w:spacing w:line="720" w:lineRule="auto"/>
            <w:rPr>
              <w:rFonts w:ascii="宋体" w:hAnsi="宋体" w:cs="宋体"/>
              <w:b/>
              <w:bCs/>
              <w:sz w:val="30"/>
              <w:szCs w:val="30"/>
            </w:rPr>
          </w:pPr>
          <w:r>
            <w:fldChar w:fldCharType="begin"/>
          </w:r>
          <w:r>
            <w:instrText xml:space="preserve"> HYPERLINK \l "_Toc14478" </w:instrText>
          </w:r>
          <w:r>
            <w:fldChar w:fldCharType="separate"/>
          </w:r>
          <w:r>
            <w:rPr>
              <w:rFonts w:hint="eastAsia" w:ascii="宋体" w:hAnsi="宋体" w:cs="宋体"/>
              <w:b/>
              <w:bCs/>
              <w:sz w:val="30"/>
              <w:szCs w:val="30"/>
            </w:rPr>
            <w:t>第三章  服务需求一览表</w:t>
          </w:r>
          <w:r>
            <w:rPr>
              <w:rFonts w:hint="eastAsia" w:ascii="宋体" w:hAnsi="宋体" w:cs="宋体"/>
              <w:b/>
              <w:bCs/>
              <w:sz w:val="30"/>
              <w:szCs w:val="30"/>
            </w:rPr>
            <w:tab/>
          </w:r>
          <w:r>
            <w:rPr>
              <w:rFonts w:hint="eastAsia" w:ascii="宋体" w:hAnsi="宋体" w:cs="宋体"/>
              <w:b/>
              <w:bCs/>
              <w:sz w:val="30"/>
              <w:szCs w:val="30"/>
            </w:rPr>
            <w:fldChar w:fldCharType="begin"/>
          </w:r>
          <w:r>
            <w:rPr>
              <w:rFonts w:hint="eastAsia" w:ascii="宋体" w:hAnsi="宋体" w:cs="宋体"/>
              <w:b/>
              <w:bCs/>
              <w:sz w:val="30"/>
              <w:szCs w:val="30"/>
            </w:rPr>
            <w:instrText xml:space="preserve"> PAGEREF _Toc14478 \h </w:instrText>
          </w:r>
          <w:r>
            <w:rPr>
              <w:rFonts w:hint="eastAsia" w:ascii="宋体" w:hAnsi="宋体" w:cs="宋体"/>
              <w:b/>
              <w:bCs/>
              <w:sz w:val="30"/>
              <w:szCs w:val="30"/>
            </w:rPr>
            <w:fldChar w:fldCharType="separate"/>
          </w:r>
          <w:r>
            <w:rPr>
              <w:rFonts w:hint="eastAsia" w:ascii="宋体" w:hAnsi="宋体" w:cs="宋体"/>
              <w:b/>
              <w:bCs/>
              <w:sz w:val="30"/>
              <w:szCs w:val="30"/>
            </w:rPr>
            <w:t>21</w:t>
          </w:r>
          <w:r>
            <w:rPr>
              <w:rFonts w:hint="eastAsia" w:ascii="宋体" w:hAnsi="宋体" w:cs="宋体"/>
              <w:b/>
              <w:bCs/>
              <w:sz w:val="30"/>
              <w:szCs w:val="30"/>
            </w:rPr>
            <w:fldChar w:fldCharType="end"/>
          </w:r>
          <w:r>
            <w:rPr>
              <w:rFonts w:hint="eastAsia" w:ascii="宋体" w:hAnsi="宋体" w:cs="宋体"/>
              <w:b/>
              <w:bCs/>
              <w:sz w:val="30"/>
              <w:szCs w:val="30"/>
            </w:rPr>
            <w:fldChar w:fldCharType="end"/>
          </w:r>
        </w:p>
        <w:p>
          <w:pPr>
            <w:pStyle w:val="106"/>
            <w:tabs>
              <w:tab w:val="right" w:leader="dot" w:pos="9072"/>
            </w:tabs>
            <w:spacing w:line="720" w:lineRule="auto"/>
            <w:rPr>
              <w:rFonts w:ascii="宋体" w:hAnsi="宋体" w:cs="宋体"/>
              <w:b/>
              <w:bCs/>
              <w:sz w:val="30"/>
              <w:szCs w:val="30"/>
            </w:rPr>
          </w:pPr>
          <w:r>
            <w:fldChar w:fldCharType="begin"/>
          </w:r>
          <w:r>
            <w:instrText xml:space="preserve"> HYPERLINK \l "_Toc6548" </w:instrText>
          </w:r>
          <w:r>
            <w:fldChar w:fldCharType="separate"/>
          </w:r>
          <w:r>
            <w:rPr>
              <w:rFonts w:hint="eastAsia" w:ascii="宋体" w:hAnsi="宋体" w:cs="宋体"/>
              <w:b/>
              <w:bCs/>
              <w:sz w:val="30"/>
              <w:szCs w:val="30"/>
            </w:rPr>
            <w:t>第四章  响应文件格式</w:t>
          </w:r>
          <w:r>
            <w:rPr>
              <w:rFonts w:hint="eastAsia" w:ascii="宋体" w:hAnsi="宋体" w:cs="宋体"/>
              <w:b/>
              <w:bCs/>
              <w:sz w:val="30"/>
              <w:szCs w:val="30"/>
            </w:rPr>
            <w:tab/>
          </w:r>
          <w:r>
            <w:rPr>
              <w:rFonts w:hint="eastAsia" w:ascii="宋体" w:hAnsi="宋体" w:cs="宋体"/>
              <w:b/>
              <w:bCs/>
              <w:sz w:val="30"/>
              <w:szCs w:val="30"/>
            </w:rPr>
            <w:fldChar w:fldCharType="begin"/>
          </w:r>
          <w:r>
            <w:rPr>
              <w:rFonts w:hint="eastAsia" w:ascii="宋体" w:hAnsi="宋体" w:cs="宋体"/>
              <w:b/>
              <w:bCs/>
              <w:sz w:val="30"/>
              <w:szCs w:val="30"/>
            </w:rPr>
            <w:instrText xml:space="preserve"> PAGEREF _Toc6548 \h </w:instrText>
          </w:r>
          <w:r>
            <w:rPr>
              <w:rFonts w:hint="eastAsia" w:ascii="宋体" w:hAnsi="宋体" w:cs="宋体"/>
              <w:b/>
              <w:bCs/>
              <w:sz w:val="30"/>
              <w:szCs w:val="30"/>
            </w:rPr>
            <w:fldChar w:fldCharType="separate"/>
          </w:r>
          <w:r>
            <w:rPr>
              <w:rFonts w:hint="eastAsia" w:ascii="宋体" w:hAnsi="宋体" w:cs="宋体"/>
              <w:b/>
              <w:bCs/>
              <w:sz w:val="30"/>
              <w:szCs w:val="30"/>
            </w:rPr>
            <w:t>29</w:t>
          </w:r>
          <w:r>
            <w:rPr>
              <w:rFonts w:hint="eastAsia" w:ascii="宋体" w:hAnsi="宋体" w:cs="宋体"/>
              <w:b/>
              <w:bCs/>
              <w:sz w:val="30"/>
              <w:szCs w:val="30"/>
            </w:rPr>
            <w:fldChar w:fldCharType="end"/>
          </w:r>
          <w:r>
            <w:rPr>
              <w:rFonts w:hint="eastAsia" w:ascii="宋体" w:hAnsi="宋体" w:cs="宋体"/>
              <w:b/>
              <w:bCs/>
              <w:sz w:val="30"/>
              <w:szCs w:val="30"/>
            </w:rPr>
            <w:fldChar w:fldCharType="end"/>
          </w:r>
        </w:p>
        <w:p>
          <w:pPr>
            <w:pStyle w:val="106"/>
            <w:tabs>
              <w:tab w:val="right" w:leader="dot" w:pos="9072"/>
            </w:tabs>
            <w:spacing w:line="720" w:lineRule="auto"/>
            <w:rPr>
              <w:rFonts w:ascii="宋体" w:hAnsi="宋体" w:cs="宋体"/>
              <w:b/>
              <w:bCs/>
              <w:sz w:val="30"/>
              <w:szCs w:val="30"/>
            </w:rPr>
          </w:pPr>
          <w:r>
            <w:fldChar w:fldCharType="begin"/>
          </w:r>
          <w:r>
            <w:instrText xml:space="preserve"> HYPERLINK \l "_Toc16770" </w:instrText>
          </w:r>
          <w:r>
            <w:fldChar w:fldCharType="separate"/>
          </w:r>
          <w:r>
            <w:rPr>
              <w:rFonts w:hint="eastAsia" w:ascii="宋体" w:hAnsi="宋体" w:cs="宋体"/>
              <w:b/>
              <w:bCs/>
              <w:sz w:val="30"/>
              <w:szCs w:val="30"/>
            </w:rPr>
            <w:t>第五章  合同条款及格式</w:t>
          </w:r>
          <w:r>
            <w:rPr>
              <w:rFonts w:hint="eastAsia" w:ascii="宋体" w:hAnsi="宋体" w:cs="宋体"/>
              <w:b/>
              <w:bCs/>
              <w:sz w:val="30"/>
              <w:szCs w:val="30"/>
            </w:rPr>
            <w:tab/>
          </w:r>
          <w:r>
            <w:rPr>
              <w:rFonts w:hint="eastAsia" w:ascii="宋体" w:hAnsi="宋体" w:cs="宋体"/>
              <w:b/>
              <w:bCs/>
              <w:sz w:val="30"/>
              <w:szCs w:val="30"/>
            </w:rPr>
            <w:fldChar w:fldCharType="begin"/>
          </w:r>
          <w:r>
            <w:rPr>
              <w:rFonts w:hint="eastAsia" w:ascii="宋体" w:hAnsi="宋体" w:cs="宋体"/>
              <w:b/>
              <w:bCs/>
              <w:sz w:val="30"/>
              <w:szCs w:val="30"/>
            </w:rPr>
            <w:instrText xml:space="preserve"> PAGEREF _Toc16770 \h </w:instrText>
          </w:r>
          <w:r>
            <w:rPr>
              <w:rFonts w:hint="eastAsia" w:ascii="宋体" w:hAnsi="宋体" w:cs="宋体"/>
              <w:b/>
              <w:bCs/>
              <w:sz w:val="30"/>
              <w:szCs w:val="30"/>
            </w:rPr>
            <w:fldChar w:fldCharType="separate"/>
          </w:r>
          <w:r>
            <w:rPr>
              <w:rFonts w:hint="eastAsia" w:ascii="宋体" w:hAnsi="宋体" w:cs="宋体"/>
              <w:b/>
              <w:bCs/>
              <w:sz w:val="30"/>
              <w:szCs w:val="30"/>
            </w:rPr>
            <w:t>45</w:t>
          </w:r>
          <w:r>
            <w:rPr>
              <w:rFonts w:hint="eastAsia" w:ascii="宋体" w:hAnsi="宋体" w:cs="宋体"/>
              <w:b/>
              <w:bCs/>
              <w:sz w:val="30"/>
              <w:szCs w:val="30"/>
            </w:rPr>
            <w:fldChar w:fldCharType="end"/>
          </w:r>
          <w:r>
            <w:rPr>
              <w:rFonts w:hint="eastAsia" w:ascii="宋体" w:hAnsi="宋体" w:cs="宋体"/>
              <w:b/>
              <w:bCs/>
              <w:sz w:val="30"/>
              <w:szCs w:val="30"/>
            </w:rPr>
            <w:fldChar w:fldCharType="end"/>
          </w:r>
        </w:p>
        <w:p>
          <w:pPr>
            <w:pStyle w:val="106"/>
            <w:tabs>
              <w:tab w:val="right" w:leader="dot" w:pos="9072"/>
            </w:tabs>
            <w:spacing w:line="720" w:lineRule="auto"/>
            <w:rPr>
              <w:rFonts w:ascii="宋体" w:hAnsi="宋体" w:cs="宋体"/>
              <w:b/>
              <w:bCs/>
              <w:sz w:val="30"/>
              <w:szCs w:val="30"/>
            </w:rPr>
          </w:pPr>
          <w:r>
            <w:fldChar w:fldCharType="begin"/>
          </w:r>
          <w:r>
            <w:instrText xml:space="preserve"> HYPERLINK \l "_Toc12075" </w:instrText>
          </w:r>
          <w:r>
            <w:fldChar w:fldCharType="separate"/>
          </w:r>
          <w:r>
            <w:rPr>
              <w:rFonts w:hint="eastAsia" w:ascii="宋体" w:hAnsi="宋体" w:cs="宋体"/>
              <w:b/>
              <w:bCs/>
              <w:sz w:val="30"/>
              <w:szCs w:val="30"/>
            </w:rPr>
            <w:t>第六章  评审方法</w:t>
          </w:r>
          <w:r>
            <w:rPr>
              <w:rFonts w:hint="eastAsia" w:ascii="宋体" w:hAnsi="宋体" w:cs="宋体"/>
              <w:b/>
              <w:bCs/>
              <w:sz w:val="30"/>
              <w:szCs w:val="30"/>
            </w:rPr>
            <w:tab/>
          </w:r>
          <w:r>
            <w:rPr>
              <w:rFonts w:hint="eastAsia" w:ascii="宋体" w:hAnsi="宋体" w:cs="宋体"/>
              <w:b/>
              <w:bCs/>
              <w:sz w:val="30"/>
              <w:szCs w:val="30"/>
            </w:rPr>
            <w:fldChar w:fldCharType="begin"/>
          </w:r>
          <w:r>
            <w:rPr>
              <w:rFonts w:hint="eastAsia" w:ascii="宋体" w:hAnsi="宋体" w:cs="宋体"/>
              <w:b/>
              <w:bCs/>
              <w:sz w:val="30"/>
              <w:szCs w:val="30"/>
            </w:rPr>
            <w:instrText xml:space="preserve"> PAGEREF _Toc12075 \h </w:instrText>
          </w:r>
          <w:r>
            <w:rPr>
              <w:rFonts w:hint="eastAsia" w:ascii="宋体" w:hAnsi="宋体" w:cs="宋体"/>
              <w:b/>
              <w:bCs/>
              <w:sz w:val="30"/>
              <w:szCs w:val="30"/>
            </w:rPr>
            <w:fldChar w:fldCharType="separate"/>
          </w:r>
          <w:r>
            <w:rPr>
              <w:rFonts w:hint="eastAsia" w:ascii="宋体" w:hAnsi="宋体" w:cs="宋体"/>
              <w:b/>
              <w:bCs/>
              <w:sz w:val="30"/>
              <w:szCs w:val="30"/>
            </w:rPr>
            <w:t>55</w:t>
          </w:r>
          <w:r>
            <w:rPr>
              <w:rFonts w:hint="eastAsia" w:ascii="宋体" w:hAnsi="宋体" w:cs="宋体"/>
              <w:b/>
              <w:bCs/>
              <w:sz w:val="30"/>
              <w:szCs w:val="30"/>
            </w:rPr>
            <w:fldChar w:fldCharType="end"/>
          </w:r>
          <w:r>
            <w:rPr>
              <w:rFonts w:hint="eastAsia" w:ascii="宋体" w:hAnsi="宋体" w:cs="宋体"/>
              <w:b/>
              <w:bCs/>
              <w:sz w:val="30"/>
              <w:szCs w:val="30"/>
            </w:rPr>
            <w:fldChar w:fldCharType="end"/>
          </w:r>
        </w:p>
        <w:p>
          <w:pPr>
            <w:spacing w:line="720" w:lineRule="auto"/>
          </w:pPr>
          <w:r>
            <w:rPr>
              <w:rFonts w:hint="eastAsia" w:ascii="宋体" w:hAnsi="宋体" w:cs="宋体"/>
              <w:b/>
              <w:bCs/>
              <w:sz w:val="30"/>
              <w:szCs w:val="30"/>
            </w:rPr>
            <w:fldChar w:fldCharType="end"/>
          </w:r>
        </w:p>
      </w:sdtContent>
    </w:sdt>
    <w:p>
      <w:pPr>
        <w:tabs>
          <w:tab w:val="left" w:pos="5415"/>
        </w:tabs>
        <w:spacing w:line="960" w:lineRule="auto"/>
        <w:rPr>
          <w:rFonts w:ascii="宋体" w:hAnsi="宋体" w:cs="宋体"/>
        </w:rPr>
      </w:pPr>
      <w:r>
        <w:rPr>
          <w:rFonts w:hint="eastAsia" w:ascii="宋体" w:hAnsi="宋体" w:cs="宋体"/>
          <w:sz w:val="32"/>
          <w:szCs w:val="32"/>
        </w:rPr>
        <w:tab/>
      </w:r>
    </w:p>
    <w:p>
      <w:pPr>
        <w:rPr>
          <w:rFonts w:ascii="宋体" w:hAnsi="宋体" w:cs="宋体"/>
        </w:rPr>
      </w:pPr>
      <w:bookmarkStart w:id="6" w:name="_Toc485920200"/>
    </w:p>
    <w:p>
      <w:pPr>
        <w:rPr>
          <w:rFonts w:ascii="宋体" w:hAnsi="宋体" w:cs="宋体"/>
        </w:rPr>
      </w:pPr>
    </w:p>
    <w:p>
      <w:pPr>
        <w:rPr>
          <w:rFonts w:ascii="宋体" w:hAnsi="宋体" w:cs="宋体"/>
        </w:rPr>
      </w:pPr>
    </w:p>
    <w:p>
      <w:pPr>
        <w:pStyle w:val="3"/>
        <w:ind w:left="283" w:leftChars="135" w:firstLine="3534" w:firstLineChars="1100"/>
        <w:rPr>
          <w:rFonts w:ascii="宋体" w:hAnsi="宋体" w:eastAsia="宋体" w:cs="宋体"/>
          <w:b/>
          <w:color w:val="auto"/>
          <w:sz w:val="32"/>
          <w:szCs w:val="32"/>
        </w:rPr>
        <w:sectPr>
          <w:footerReference r:id="rId5" w:type="default"/>
          <w:pgSz w:w="11906" w:h="16838"/>
          <w:pgMar w:top="1417" w:right="1417" w:bottom="1417" w:left="1417" w:header="720" w:footer="720" w:gutter="0"/>
          <w:pgNumType w:fmt="decimal" w:start="1"/>
          <w:cols w:space="720" w:num="1"/>
          <w:docGrid w:type="lines" w:linePitch="331" w:charSpace="0"/>
        </w:sectPr>
      </w:pPr>
    </w:p>
    <w:p>
      <w:pPr>
        <w:spacing w:line="360" w:lineRule="auto"/>
        <w:jc w:val="center"/>
        <w:outlineLvl w:val="0"/>
        <w:rPr>
          <w:rFonts w:ascii="宋体" w:hAnsi="宋体" w:cs="宋体"/>
          <w:b/>
          <w:sz w:val="32"/>
          <w:szCs w:val="32"/>
        </w:rPr>
      </w:pPr>
      <w:bookmarkStart w:id="7" w:name="_Toc32264"/>
      <w:bookmarkStart w:id="8" w:name="_Toc4770"/>
      <w:r>
        <w:rPr>
          <w:rFonts w:hint="eastAsia" w:ascii="宋体" w:hAnsi="宋体" w:cs="宋体"/>
          <w:b/>
          <w:sz w:val="32"/>
          <w:szCs w:val="32"/>
        </w:rPr>
        <w:t>第一章 公告</w:t>
      </w:r>
      <w:bookmarkEnd w:id="7"/>
      <w:bookmarkEnd w:id="8"/>
    </w:p>
    <w:p>
      <w:pPr>
        <w:snapToGrid w:val="0"/>
        <w:spacing w:line="360" w:lineRule="auto"/>
        <w:jc w:val="center"/>
        <w:rPr>
          <w:rFonts w:hint="eastAsia" w:ascii="宋体" w:hAnsi="宋体" w:eastAsia="宋体" w:cs="宋体"/>
          <w:b/>
          <w:sz w:val="32"/>
          <w:szCs w:val="32"/>
        </w:rPr>
      </w:pPr>
      <w:r>
        <w:rPr>
          <w:rFonts w:hint="eastAsia" w:ascii="宋体" w:hAnsi="宋体" w:eastAsia="宋体" w:cs="宋体"/>
          <w:b/>
          <w:sz w:val="32"/>
          <w:szCs w:val="32"/>
          <w:lang w:val="en-US" w:eastAsia="zh-CN"/>
        </w:rPr>
        <w:t>2025年野外、应急仪器设备及实验室辅助设施维护管理项目</w:t>
      </w:r>
      <w:r>
        <w:rPr>
          <w:rFonts w:hint="eastAsia" w:ascii="宋体" w:hAnsi="宋体" w:eastAsia="宋体" w:cs="宋体"/>
          <w:b/>
          <w:sz w:val="32"/>
          <w:szCs w:val="32"/>
        </w:rPr>
        <w:t>竞争性磋商公告</w:t>
      </w:r>
      <w:bookmarkEnd w:id="5"/>
      <w:bookmarkEnd w:id="6"/>
    </w:p>
    <w:p>
      <w:pPr>
        <w:pBdr>
          <w:top w:val="single" w:color="auto" w:sz="4" w:space="1"/>
          <w:left w:val="single" w:color="auto" w:sz="4" w:space="4"/>
          <w:bottom w:val="single" w:color="auto" w:sz="4" w:space="1"/>
          <w:right w:val="single" w:color="auto" w:sz="4" w:space="4"/>
        </w:pBdr>
        <w:wordWrap w:val="0"/>
        <w:snapToGrid w:val="0"/>
        <w:spacing w:line="480" w:lineRule="exact"/>
        <w:rPr>
          <w:rFonts w:ascii="宋体" w:hAnsi="宋体" w:cs="宋体"/>
          <w:szCs w:val="21"/>
        </w:rPr>
      </w:pPr>
      <w:bookmarkStart w:id="9" w:name="_Toc139967215"/>
      <w:bookmarkStart w:id="10" w:name="_Toc213206172"/>
      <w:bookmarkStart w:id="11" w:name="_Toc213325921"/>
      <w:bookmarkStart w:id="12" w:name="_Toc139966431"/>
      <w:bookmarkStart w:id="13" w:name="_Toc213326412"/>
      <w:r>
        <w:rPr>
          <w:rFonts w:hint="eastAsia" w:ascii="宋体" w:hAnsi="宋体" w:cs="宋体"/>
          <w:szCs w:val="21"/>
        </w:rPr>
        <w:t>项目概况：</w:t>
      </w:r>
    </w:p>
    <w:p>
      <w:pPr>
        <w:pBdr>
          <w:top w:val="single" w:color="auto" w:sz="4" w:space="1"/>
          <w:left w:val="single" w:color="auto" w:sz="4" w:space="4"/>
          <w:bottom w:val="single" w:color="auto" w:sz="4" w:space="1"/>
          <w:right w:val="single" w:color="auto" w:sz="4" w:space="4"/>
        </w:pBdr>
        <w:wordWrap w:val="0"/>
        <w:snapToGrid w:val="0"/>
        <w:spacing w:line="480" w:lineRule="exact"/>
        <w:ind w:firstLine="420" w:firstLineChars="200"/>
        <w:rPr>
          <w:rFonts w:ascii="宋体" w:hAnsi="宋体" w:cs="宋体"/>
          <w:szCs w:val="21"/>
        </w:rPr>
      </w:pPr>
      <w:r>
        <w:rPr>
          <w:rFonts w:hint="eastAsia" w:ascii="宋体" w:hAnsi="宋体" w:eastAsia="宋体" w:cs="宋体"/>
          <w:color w:val="auto"/>
          <w:sz w:val="21"/>
          <w:szCs w:val="21"/>
          <w:u w:val="single"/>
          <w:lang w:val="en-US" w:eastAsia="zh-CN"/>
        </w:rPr>
        <w:t xml:space="preserve">2025年野外、应急仪器设备及实验室辅助设施维护管理项目 </w:t>
      </w:r>
      <w:r>
        <w:rPr>
          <w:rFonts w:hint="eastAsia" w:ascii="宋体" w:hAnsi="宋体" w:cs="宋体"/>
          <w:szCs w:val="21"/>
        </w:rPr>
        <w:t>的</w:t>
      </w:r>
      <w:r>
        <w:rPr>
          <w:rFonts w:hint="eastAsia" w:ascii="宋体" w:hAnsi="宋体" w:eastAsia="宋体" w:cs="宋体"/>
          <w:color w:val="auto"/>
          <w:sz w:val="21"/>
          <w:szCs w:val="21"/>
        </w:rPr>
        <w:t>潜在供应商应在</w:t>
      </w:r>
      <w:r>
        <w:rPr>
          <w:rFonts w:hint="eastAsia" w:ascii="宋体" w:hAnsi="宋体" w:eastAsia="宋体" w:cs="宋体"/>
          <w:color w:val="auto"/>
          <w:sz w:val="21"/>
          <w:szCs w:val="21"/>
          <w:highlight w:val="none"/>
        </w:rPr>
        <w:t>上</w:t>
      </w:r>
      <w:r>
        <w:rPr>
          <w:rFonts w:hint="eastAsia" w:ascii="宋体" w:hAnsi="宋体" w:eastAsia="宋体" w:cs="宋体"/>
          <w:color w:val="auto"/>
          <w:sz w:val="21"/>
          <w:szCs w:val="21"/>
          <w:u w:val="single"/>
          <w:lang w:val="en-US" w:eastAsia="zh-CN"/>
        </w:rPr>
        <w:t>海正弘建设工程顾问有限公司广西分公司（南宁市东葛路163号绿地中央广场B1栋9楼(东面)）</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获取采购文件</w:t>
      </w:r>
      <w:r>
        <w:rPr>
          <w:rFonts w:hint="eastAsia" w:ascii="宋体" w:hAnsi="宋体" w:eastAsia="宋体" w:cs="宋体"/>
          <w:color w:val="auto"/>
          <w:sz w:val="21"/>
          <w:szCs w:val="21"/>
          <w:highlight w:val="none"/>
        </w:rPr>
        <w:t>，并于</w:t>
      </w:r>
      <w:r>
        <w:rPr>
          <w:rFonts w:hint="eastAsia" w:ascii="宋体" w:hAnsi="宋体" w:eastAsia="宋体" w:cs="宋体"/>
          <w:color w:val="auto"/>
          <w:sz w:val="21"/>
          <w:szCs w:val="21"/>
          <w:highlight w:val="none"/>
          <w:u w:val="single"/>
        </w:rPr>
        <w:t>202</w:t>
      </w:r>
      <w:r>
        <w:rPr>
          <w:rFonts w:hint="eastAsia" w:ascii="宋体" w:hAnsi="宋体" w:eastAsia="宋体" w:cs="宋体"/>
          <w:color w:val="auto"/>
          <w:sz w:val="21"/>
          <w:szCs w:val="21"/>
          <w:highlight w:val="none"/>
          <w:u w:val="single"/>
          <w:lang w:val="en-US" w:eastAsia="zh-CN"/>
        </w:rPr>
        <w:t>5</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日</w:t>
      </w:r>
      <w:r>
        <w:rPr>
          <w:rFonts w:hint="eastAsia" w:ascii="宋体" w:hAnsi="宋体" w:eastAsia="宋体" w:cs="宋体"/>
          <w:color w:val="auto"/>
          <w:sz w:val="21"/>
          <w:szCs w:val="21"/>
          <w:highlight w:val="none"/>
          <w:u w:val="single"/>
        </w:rPr>
        <w:t xml:space="preserve"> 9</w:t>
      </w:r>
      <w:r>
        <w:rPr>
          <w:rFonts w:hint="eastAsia" w:ascii="宋体" w:hAnsi="宋体" w:eastAsia="宋体" w:cs="宋体"/>
          <w:color w:val="auto"/>
          <w:sz w:val="21"/>
          <w:szCs w:val="21"/>
        </w:rPr>
        <w:t xml:space="preserve"> 时</w:t>
      </w:r>
      <w:r>
        <w:rPr>
          <w:rFonts w:hint="eastAsia" w:ascii="宋体" w:hAnsi="宋体" w:eastAsia="宋体" w:cs="宋体"/>
          <w:color w:val="auto"/>
          <w:sz w:val="21"/>
          <w:szCs w:val="21"/>
          <w:u w:val="single"/>
        </w:rPr>
        <w:t xml:space="preserve"> 30 </w:t>
      </w:r>
      <w:r>
        <w:rPr>
          <w:rFonts w:hint="eastAsia" w:ascii="宋体" w:hAnsi="宋体" w:eastAsia="宋体" w:cs="宋体"/>
          <w:color w:val="auto"/>
          <w:sz w:val="21"/>
          <w:szCs w:val="21"/>
        </w:rPr>
        <w:t>分（北京时间）前提交响应文件。</w:t>
      </w:r>
    </w:p>
    <w:p>
      <w:pPr>
        <w:widowControl/>
        <w:numPr>
          <w:ilvl w:val="255"/>
          <w:numId w:val="0"/>
        </w:numPr>
        <w:tabs>
          <w:tab w:val="left" w:pos="3148"/>
        </w:tabs>
        <w:snapToGrid w:val="0"/>
        <w:spacing w:line="480" w:lineRule="exact"/>
        <w:ind w:firstLine="422" w:firstLineChars="200"/>
        <w:rPr>
          <w:rFonts w:ascii="宋体" w:hAnsi="宋体" w:cs="宋体"/>
          <w:b/>
          <w:bCs/>
          <w:szCs w:val="21"/>
        </w:rPr>
      </w:pPr>
      <w:bookmarkStart w:id="14" w:name="_Toc19949"/>
      <w:bookmarkStart w:id="15" w:name="_Toc19575"/>
      <w:bookmarkStart w:id="16" w:name="_Toc17411"/>
      <w:r>
        <w:rPr>
          <w:rFonts w:hint="eastAsia" w:ascii="宋体" w:hAnsi="宋体" w:cs="宋体"/>
          <w:b/>
          <w:bCs/>
          <w:szCs w:val="21"/>
        </w:rPr>
        <w:t>一、项目基本情况</w:t>
      </w:r>
      <w:bookmarkEnd w:id="14"/>
      <w:bookmarkEnd w:id="15"/>
      <w:bookmarkEnd w:id="16"/>
    </w:p>
    <w:p>
      <w:pPr>
        <w:snapToGrid w:val="0"/>
        <w:spacing w:line="480" w:lineRule="exact"/>
        <w:ind w:firstLine="422" w:firstLineChars="200"/>
        <w:rPr>
          <w:rFonts w:ascii="宋体" w:hAnsi="宋体" w:cs="宋体"/>
          <w:color w:val="auto"/>
          <w:szCs w:val="21"/>
        </w:rPr>
      </w:pPr>
      <w:r>
        <w:rPr>
          <w:rFonts w:hint="eastAsia" w:ascii="宋体" w:hAnsi="宋体" w:cs="宋体"/>
          <w:b/>
          <w:bCs/>
          <w:szCs w:val="21"/>
        </w:rPr>
        <w:t>项目编号</w:t>
      </w:r>
      <w:r>
        <w:rPr>
          <w:rFonts w:hint="eastAsia" w:ascii="宋体" w:hAnsi="宋体" w:cs="宋体"/>
          <w:b/>
          <w:bCs/>
          <w:szCs w:val="21"/>
          <w:highlight w:val="none"/>
        </w:rPr>
        <w:t>：</w:t>
      </w:r>
      <w:r>
        <w:rPr>
          <w:rFonts w:hint="eastAsia" w:ascii="宋体" w:hAnsi="宋体" w:cs="宋体"/>
          <w:color w:val="auto"/>
          <w:szCs w:val="21"/>
          <w:highlight w:val="none"/>
        </w:rPr>
        <w:t>ZHGX-202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-0</w:t>
      </w:r>
      <w:r>
        <w:rPr>
          <w:rFonts w:hint="eastAsia" w:ascii="宋体" w:hAnsi="宋体" w:cs="宋体"/>
          <w:color w:val="auto"/>
          <w:szCs w:val="21"/>
          <w:highlight w:val="none"/>
          <w:lang w:val="en-US" w:eastAsia="zh-CN"/>
        </w:rPr>
        <w:t>07</w:t>
      </w:r>
      <w:r>
        <w:rPr>
          <w:rFonts w:hint="eastAsia" w:ascii="宋体" w:hAnsi="宋体" w:cs="宋体"/>
          <w:color w:val="auto"/>
          <w:szCs w:val="21"/>
          <w:highlight w:val="none"/>
        </w:rPr>
        <w:t xml:space="preserve"> </w:t>
      </w:r>
    </w:p>
    <w:p>
      <w:pPr>
        <w:snapToGrid w:val="0"/>
        <w:spacing w:line="480" w:lineRule="exact"/>
        <w:ind w:firstLine="422" w:firstLineChars="200"/>
        <w:rPr>
          <w:rFonts w:hint="eastAsia" w:ascii="宋体" w:hAnsi="宋体" w:eastAsia="宋体" w:cs="宋体"/>
          <w:szCs w:val="21"/>
        </w:rPr>
      </w:pPr>
      <w:r>
        <w:rPr>
          <w:rFonts w:hint="eastAsia" w:ascii="宋体" w:hAnsi="宋体" w:cs="宋体"/>
          <w:b/>
          <w:bCs/>
          <w:color w:val="auto"/>
          <w:szCs w:val="21"/>
        </w:rPr>
        <w:t>项目名称：</w:t>
      </w:r>
      <w:r>
        <w:rPr>
          <w:rFonts w:hint="eastAsia" w:ascii="宋体" w:hAnsi="宋体" w:eastAsia="宋体" w:cs="宋体"/>
          <w:szCs w:val="21"/>
          <w:lang w:val="en-US" w:eastAsia="zh-CN"/>
        </w:rPr>
        <w:t>2025年野外、应急仪器设备及实验室辅助设施维护管理项目</w:t>
      </w:r>
    </w:p>
    <w:p>
      <w:pPr>
        <w:snapToGrid w:val="0"/>
        <w:spacing w:line="480" w:lineRule="exact"/>
        <w:ind w:firstLine="422" w:firstLineChars="200"/>
        <w:rPr>
          <w:rFonts w:ascii="宋体" w:hAnsi="宋体" w:cs="宋体"/>
          <w:szCs w:val="21"/>
        </w:rPr>
      </w:pPr>
      <w:r>
        <w:rPr>
          <w:rFonts w:hint="eastAsia" w:ascii="宋体" w:hAnsi="宋体" w:cs="宋体"/>
          <w:b/>
          <w:bCs/>
          <w:szCs w:val="21"/>
        </w:rPr>
        <w:t>采购方式：</w:t>
      </w:r>
      <w:r>
        <w:rPr>
          <w:rFonts w:hint="eastAsia" w:ascii="宋体" w:hAnsi="宋体" w:cs="宋体"/>
          <w:szCs w:val="21"/>
        </w:rPr>
        <w:t>竞争性磋商</w:t>
      </w:r>
    </w:p>
    <w:p>
      <w:pPr>
        <w:snapToGrid w:val="0"/>
        <w:spacing w:line="480" w:lineRule="exact"/>
        <w:ind w:firstLine="422" w:firstLineChars="200"/>
        <w:rPr>
          <w:rFonts w:hint="eastAsia" w:ascii="宋体" w:hAnsi="宋体" w:eastAsia="宋体" w:cs="宋体"/>
          <w:szCs w:val="21"/>
          <w:lang w:val="en-US" w:eastAsia="zh-CN"/>
        </w:rPr>
      </w:pPr>
      <w:r>
        <w:rPr>
          <w:rFonts w:hint="eastAsia" w:ascii="宋体" w:hAnsi="宋体" w:cs="宋体"/>
          <w:b/>
          <w:bCs/>
          <w:szCs w:val="21"/>
        </w:rPr>
        <w:t>预算金额：</w:t>
      </w:r>
      <w:r>
        <w:rPr>
          <w:rFonts w:hint="eastAsia" w:ascii="宋体" w:hAnsi="宋体" w:cs="宋体"/>
          <w:szCs w:val="21"/>
        </w:rPr>
        <w:t>人民币</w:t>
      </w:r>
      <w:r>
        <w:rPr>
          <w:rFonts w:hint="eastAsia" w:ascii="宋体" w:hAnsi="宋体" w:cs="宋体"/>
          <w:szCs w:val="21"/>
          <w:lang w:val="en-US" w:eastAsia="zh-CN"/>
        </w:rPr>
        <w:t>41万</w:t>
      </w:r>
      <w:r>
        <w:rPr>
          <w:rFonts w:hint="eastAsia" w:ascii="宋体" w:hAnsi="宋体" w:eastAsia="宋体" w:cs="宋体"/>
          <w:szCs w:val="21"/>
          <w:lang w:val="en-US" w:eastAsia="zh-CN"/>
        </w:rPr>
        <w:t>元（其中分包一预算：11万元；分包二</w:t>
      </w:r>
      <w:r>
        <w:rPr>
          <w:rFonts w:hint="default" w:ascii="宋体" w:hAnsi="宋体" w:eastAsia="宋体" w:cs="宋体"/>
          <w:szCs w:val="21"/>
          <w:lang w:val="en-US" w:eastAsia="zh-CN"/>
        </w:rPr>
        <w:t>预算：30万</w:t>
      </w:r>
      <w:r>
        <w:rPr>
          <w:rFonts w:hint="eastAsia" w:ascii="宋体" w:hAnsi="宋体" w:eastAsia="宋体" w:cs="宋体"/>
          <w:szCs w:val="21"/>
          <w:lang w:val="en-US" w:eastAsia="zh-CN"/>
        </w:rPr>
        <w:t>元）</w:t>
      </w:r>
    </w:p>
    <w:p>
      <w:pPr>
        <w:snapToGrid w:val="0"/>
        <w:spacing w:line="480" w:lineRule="exact"/>
        <w:ind w:firstLine="422" w:firstLineChars="200"/>
        <w:rPr>
          <w:rFonts w:ascii="宋体" w:hAnsi="宋体" w:cs="宋体"/>
          <w:szCs w:val="21"/>
        </w:rPr>
      </w:pPr>
      <w:r>
        <w:rPr>
          <w:rFonts w:hint="eastAsia" w:ascii="宋体" w:hAnsi="宋体" w:cs="宋体"/>
          <w:b/>
          <w:bCs/>
          <w:szCs w:val="21"/>
        </w:rPr>
        <w:t>最高限价：</w:t>
      </w:r>
      <w:r>
        <w:rPr>
          <w:rFonts w:hint="eastAsia" w:ascii="宋体" w:hAnsi="宋体" w:cs="宋体"/>
          <w:szCs w:val="21"/>
        </w:rPr>
        <w:t>人民币</w:t>
      </w:r>
      <w:r>
        <w:rPr>
          <w:rFonts w:hint="eastAsia" w:ascii="宋体" w:hAnsi="宋体" w:cs="宋体"/>
          <w:szCs w:val="21"/>
          <w:lang w:val="en-US" w:eastAsia="zh-CN"/>
        </w:rPr>
        <w:t>41万</w:t>
      </w:r>
      <w:r>
        <w:rPr>
          <w:rFonts w:hint="eastAsia" w:ascii="宋体" w:hAnsi="宋体" w:eastAsia="宋体" w:cs="宋体"/>
          <w:szCs w:val="21"/>
          <w:lang w:val="en-US" w:eastAsia="zh-CN"/>
        </w:rPr>
        <w:t>元（其中分包一预算：11万元；分包二</w:t>
      </w:r>
      <w:r>
        <w:rPr>
          <w:rFonts w:hint="default" w:ascii="宋体" w:hAnsi="宋体" w:eastAsia="宋体" w:cs="宋体"/>
          <w:szCs w:val="21"/>
          <w:lang w:val="en-US" w:eastAsia="zh-CN"/>
        </w:rPr>
        <w:t>预算：30万</w:t>
      </w:r>
      <w:r>
        <w:rPr>
          <w:rFonts w:hint="eastAsia" w:ascii="宋体" w:hAnsi="宋体" w:eastAsia="宋体" w:cs="宋体"/>
          <w:szCs w:val="21"/>
          <w:lang w:val="en-US" w:eastAsia="zh-CN"/>
        </w:rPr>
        <w:t>元）</w:t>
      </w:r>
    </w:p>
    <w:p>
      <w:pPr>
        <w:snapToGrid w:val="0"/>
        <w:spacing w:line="480" w:lineRule="exact"/>
        <w:ind w:firstLine="422" w:firstLineChars="200"/>
        <w:rPr>
          <w:rFonts w:hint="eastAsia" w:ascii="宋体" w:hAnsi="宋体" w:eastAsia="宋体" w:cs="宋体"/>
          <w:szCs w:val="21"/>
          <w:lang w:val="en-US" w:eastAsia="zh-CN"/>
        </w:rPr>
      </w:pPr>
      <w:r>
        <w:rPr>
          <w:rFonts w:hint="eastAsia" w:ascii="宋体" w:hAnsi="宋体" w:cs="宋体"/>
          <w:b/>
          <w:bCs/>
          <w:szCs w:val="21"/>
        </w:rPr>
        <w:t>采购需求：</w:t>
      </w:r>
      <w:r>
        <w:rPr>
          <w:rFonts w:hint="eastAsia" w:ascii="宋体" w:hAnsi="宋体" w:eastAsia="宋体" w:cs="宋体"/>
          <w:szCs w:val="21"/>
          <w:lang w:val="en-US" w:eastAsia="zh-CN"/>
        </w:rPr>
        <w:t>分包一：野外、应急仪器设备维保服务采购1项；分包二：实验室辅助设施维护管理服务采购1项；具体内容详见竞争性磋商采购文件的采购需求。</w:t>
      </w:r>
    </w:p>
    <w:p>
      <w:pPr>
        <w:snapToGrid w:val="0"/>
        <w:spacing w:line="48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合同履行期限：</w:t>
      </w:r>
    </w:p>
    <w:p>
      <w:pPr>
        <w:snapToGrid w:val="0"/>
        <w:spacing w:line="48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分包一：服务时间为2025年5月20日—2026年3月20日。</w:t>
      </w:r>
    </w:p>
    <w:p>
      <w:pPr>
        <w:snapToGrid w:val="0"/>
        <w:spacing w:line="48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分包二：服务时间为2025年3月20日—2026年3月20日。</w:t>
      </w:r>
    </w:p>
    <w:p>
      <w:pPr>
        <w:widowControl/>
        <w:numPr>
          <w:ilvl w:val="255"/>
          <w:numId w:val="0"/>
        </w:numPr>
        <w:tabs>
          <w:tab w:val="left" w:pos="3148"/>
        </w:tabs>
        <w:snapToGrid w:val="0"/>
        <w:spacing w:line="480" w:lineRule="exact"/>
        <w:ind w:firstLine="422" w:firstLineChars="200"/>
        <w:rPr>
          <w:rFonts w:ascii="宋体" w:hAnsi="宋体" w:cs="宋体"/>
          <w:b/>
          <w:bCs/>
          <w:color w:val="auto"/>
          <w:szCs w:val="21"/>
          <w:highlight w:val="none"/>
        </w:rPr>
      </w:pPr>
      <w:bookmarkStart w:id="17" w:name="_Toc13881"/>
      <w:bookmarkStart w:id="18" w:name="_Toc21043"/>
      <w:bookmarkStart w:id="19" w:name="_Toc11534"/>
      <w:r>
        <w:rPr>
          <w:rFonts w:hint="eastAsia" w:ascii="宋体" w:hAnsi="宋体" w:cs="宋体"/>
          <w:b/>
          <w:bCs/>
          <w:color w:val="auto"/>
          <w:szCs w:val="21"/>
          <w:highlight w:val="none"/>
        </w:rPr>
        <w:t>二、申请人的资格要求：</w:t>
      </w:r>
      <w:bookmarkEnd w:id="17"/>
      <w:bookmarkEnd w:id="18"/>
      <w:bookmarkEnd w:id="19"/>
    </w:p>
    <w:p>
      <w:pPr>
        <w:snapToGrid w:val="0"/>
        <w:spacing w:line="480" w:lineRule="exact"/>
        <w:ind w:firstLine="420" w:firstLineChars="200"/>
        <w:rPr>
          <w:rFonts w:hint="eastAsia" w:ascii="宋体" w:hAnsi="宋体" w:eastAsia="宋体" w:cs="宋体"/>
          <w:color w:val="auto"/>
          <w:szCs w:val="21"/>
          <w:highlight w:val="none"/>
        </w:rPr>
      </w:pPr>
      <w:r>
        <w:rPr>
          <w:rFonts w:hint="eastAsia" w:ascii="宋体" w:hAnsi="宋体" w:cs="宋体"/>
          <w:color w:val="auto"/>
          <w:szCs w:val="21"/>
          <w:highlight w:val="none"/>
        </w:rPr>
        <w:t>1、满</w:t>
      </w:r>
      <w:r>
        <w:rPr>
          <w:rFonts w:hint="eastAsia" w:ascii="宋体" w:hAnsi="宋体" w:eastAsia="宋体" w:cs="宋体"/>
          <w:color w:val="auto"/>
          <w:szCs w:val="21"/>
          <w:highlight w:val="none"/>
        </w:rPr>
        <w:t>足《中华人民共和国政府采购法》第二十二条规定。</w:t>
      </w:r>
    </w:p>
    <w:p>
      <w:pPr>
        <w:snapToGrid w:val="0"/>
        <w:spacing w:line="48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2、落实政府采购政策需满足的资格要求：</w:t>
      </w:r>
      <w:r>
        <w:rPr>
          <w:rFonts w:hint="eastAsia" w:ascii="宋体" w:hAnsi="宋体" w:eastAsia="宋体" w:cs="宋体"/>
          <w:color w:val="auto"/>
          <w:szCs w:val="21"/>
          <w:highlight w:val="none"/>
          <w:lang w:eastAsia="zh-CN"/>
        </w:rPr>
        <w:t>无。</w:t>
      </w:r>
    </w:p>
    <w:p>
      <w:pPr>
        <w:snapToGrid w:val="0"/>
        <w:spacing w:line="480" w:lineRule="exact"/>
        <w:ind w:firstLine="420" w:firstLineChars="200"/>
        <w:rPr>
          <w:rFonts w:ascii="宋体" w:hAnsi="宋体" w:cs="宋体"/>
          <w:color w:val="auto"/>
          <w:szCs w:val="21"/>
          <w:highlight w:val="none"/>
        </w:rPr>
      </w:pPr>
      <w:r>
        <w:rPr>
          <w:rFonts w:hint="eastAsia" w:ascii="宋体" w:hAnsi="宋体" w:eastAsia="宋体" w:cs="宋体"/>
          <w:color w:val="auto"/>
          <w:szCs w:val="21"/>
          <w:highlight w:val="none"/>
        </w:rPr>
        <w:t>3、本项目的特定资格要求</w:t>
      </w:r>
      <w:r>
        <w:rPr>
          <w:rFonts w:hint="eastAsia" w:ascii="宋体" w:hAnsi="宋体" w:cs="宋体"/>
          <w:color w:val="auto"/>
          <w:szCs w:val="21"/>
          <w:highlight w:val="none"/>
        </w:rPr>
        <w:t>：</w:t>
      </w:r>
      <w:r>
        <w:rPr>
          <w:rFonts w:hint="eastAsia" w:ascii="宋体" w:hAnsi="宋体" w:cs="宋体"/>
          <w:color w:val="auto"/>
          <w:szCs w:val="21"/>
          <w:highlight w:val="none"/>
          <w:lang w:eastAsia="zh-CN"/>
        </w:rPr>
        <w:t>无</w:t>
      </w:r>
      <w:r>
        <w:rPr>
          <w:rFonts w:hint="eastAsia" w:ascii="宋体" w:hAnsi="宋体" w:cs="宋体"/>
          <w:color w:val="auto"/>
          <w:szCs w:val="21"/>
          <w:highlight w:val="none"/>
        </w:rPr>
        <w:t>。</w:t>
      </w:r>
    </w:p>
    <w:p>
      <w:pPr>
        <w:snapToGrid w:val="0"/>
        <w:spacing w:line="480" w:lineRule="exact"/>
        <w:ind w:firstLine="420" w:firstLineChars="200"/>
        <w:rPr>
          <w:rFonts w:ascii="宋体" w:hAnsi="宋体" w:cs="宋体"/>
          <w:szCs w:val="21"/>
        </w:rPr>
      </w:pPr>
      <w:r>
        <w:rPr>
          <w:rFonts w:hint="eastAsia" w:ascii="宋体" w:hAnsi="宋体" w:cs="宋体"/>
          <w:color w:val="auto"/>
          <w:szCs w:val="21"/>
          <w:highlight w:val="none"/>
        </w:rPr>
        <w:t>4、对在“信用中国”网站(www.creditchina.gov.cn)、中国政</w:t>
      </w:r>
      <w:r>
        <w:rPr>
          <w:rFonts w:hint="eastAsia" w:ascii="宋体" w:hAnsi="宋体" w:cs="宋体"/>
          <w:szCs w:val="21"/>
        </w:rPr>
        <w:t>府采购网(www.ccgp.gov.cn)等渠道列入失信被执行人、重大税收违法案件当事人名单、政府采购严重违法失信行为记录名单及其他不符合《中华人民共和国政府采购法》第二十二条规定条件的供应商，将被拒绝参与本次采购活动。</w:t>
      </w:r>
    </w:p>
    <w:p>
      <w:pPr>
        <w:snapToGrid w:val="0"/>
        <w:spacing w:line="480" w:lineRule="exact"/>
        <w:ind w:firstLine="420" w:firstLineChars="200"/>
        <w:rPr>
          <w:rFonts w:ascii="宋体" w:hAnsi="宋体" w:cs="宋体"/>
          <w:szCs w:val="21"/>
        </w:rPr>
      </w:pPr>
      <w:r>
        <w:rPr>
          <w:rFonts w:hint="eastAsia" w:ascii="宋体" w:hAnsi="宋体" w:cs="宋体"/>
          <w:szCs w:val="21"/>
        </w:rPr>
        <w:t>5、单位负责人为同一人或者存在直接控股、管理关系的不同供应商，不得参加同一合同项下的采购活动。除单一来源采购项目外，为采购项目提供整体设计、规范编制或者项目管理、监理、检测等服务的供应商，不得再参加该采购项目的其他采购活动。</w:t>
      </w:r>
    </w:p>
    <w:p>
      <w:pPr>
        <w:snapToGrid w:val="0"/>
        <w:spacing w:line="480" w:lineRule="exact"/>
        <w:ind w:firstLine="420" w:firstLineChars="200"/>
        <w:rPr>
          <w:rFonts w:ascii="宋体" w:hAnsi="宋体" w:cs="宋体"/>
          <w:szCs w:val="21"/>
        </w:rPr>
      </w:pPr>
      <w:r>
        <w:rPr>
          <w:rFonts w:hint="eastAsia" w:ascii="宋体" w:hAnsi="宋体" w:cs="宋体"/>
          <w:szCs w:val="21"/>
        </w:rPr>
        <w:t>6、本项目不接受联合体。</w:t>
      </w:r>
    </w:p>
    <w:p>
      <w:pPr>
        <w:pStyle w:val="26"/>
        <w:snapToGrid w:val="0"/>
        <w:spacing w:before="0" w:beforeAutospacing="0" w:after="0" w:afterAutospacing="0" w:line="480" w:lineRule="exact"/>
        <w:ind w:firstLine="422" w:firstLineChars="200"/>
        <w:jc w:val="both"/>
        <w:rPr>
          <w:rFonts w:hint="eastAsia" w:ascii="宋体" w:hAnsi="宋体" w:eastAsia="宋体" w:cs="宋体"/>
          <w:b/>
          <w:bCs/>
          <w:color w:val="auto"/>
          <w:sz w:val="21"/>
          <w:szCs w:val="21"/>
          <w:highlight w:val="none"/>
        </w:rPr>
      </w:pPr>
      <w:bookmarkStart w:id="20" w:name="_Toc23202"/>
      <w:bookmarkStart w:id="21" w:name="_Toc15707"/>
      <w:bookmarkStart w:id="22" w:name="_Toc4945"/>
      <w:r>
        <w:rPr>
          <w:rFonts w:hint="eastAsia" w:ascii="宋体" w:hAnsi="宋体" w:eastAsia="宋体" w:cs="宋体"/>
          <w:b/>
          <w:bCs/>
          <w:color w:val="auto"/>
          <w:sz w:val="21"/>
          <w:szCs w:val="21"/>
          <w:highlight w:val="none"/>
        </w:rPr>
        <w:t>三、获取采购文件</w:t>
      </w:r>
      <w:bookmarkEnd w:id="20"/>
      <w:bookmarkEnd w:id="21"/>
      <w:bookmarkEnd w:id="22"/>
    </w:p>
    <w:p>
      <w:pPr>
        <w:pStyle w:val="26"/>
        <w:snapToGrid w:val="0"/>
        <w:spacing w:before="0" w:beforeAutospacing="0" w:after="0" w:afterAutospacing="0" w:line="480" w:lineRule="exact"/>
        <w:ind w:firstLine="420" w:firstLineChars="200"/>
        <w:jc w:val="both"/>
        <w:rPr>
          <w:rFonts w:hint="eastAsia" w:ascii="宋体" w:hAnsi="宋体" w:eastAsia="宋体" w:cs="宋体"/>
          <w:color w:val="auto"/>
          <w:sz w:val="21"/>
          <w:szCs w:val="21"/>
          <w:highlight w:val="none"/>
        </w:rPr>
      </w:pPr>
      <w:bookmarkStart w:id="23" w:name="_Toc1"/>
      <w:bookmarkStart w:id="24" w:name="_Toc28172"/>
      <w:bookmarkStart w:id="25" w:name="_Toc26222"/>
      <w:r>
        <w:rPr>
          <w:rFonts w:hint="eastAsia" w:ascii="宋体" w:hAnsi="宋体" w:eastAsia="宋体" w:cs="宋体"/>
          <w:color w:val="auto"/>
          <w:sz w:val="21"/>
          <w:szCs w:val="21"/>
          <w:highlight w:val="none"/>
        </w:rPr>
        <w:t>1、获取时间：202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日至202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日止（工作日，节假日除外），每日上午</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：00至12：00，下午14:30至17：30（北京时间，下同）。</w:t>
      </w:r>
      <w:bookmarkEnd w:id="23"/>
      <w:bookmarkEnd w:id="24"/>
      <w:bookmarkEnd w:id="25"/>
    </w:p>
    <w:p>
      <w:pPr>
        <w:pStyle w:val="26"/>
        <w:snapToGrid w:val="0"/>
        <w:spacing w:before="0" w:beforeAutospacing="0" w:after="0" w:afterAutospacing="0" w:line="480" w:lineRule="exact"/>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、获取竞争性磋商文件的方式：潜在供应商通过电子邮件获取采购文件，获取采购文件时将证明文件及联系方式提交至下述邮箱（zhgxfgs@163.com），同时请注明拟参与采购项目名称</w:t>
      </w:r>
      <w:r>
        <w:rPr>
          <w:rFonts w:hint="eastAsia" w:ascii="宋体" w:hAnsi="宋体" w:eastAsia="宋体" w:cs="宋体"/>
          <w:color w:val="auto"/>
          <w:sz w:val="21"/>
          <w:szCs w:val="21"/>
          <w:highlight w:val="none"/>
          <w:lang w:eastAsia="zh-CN"/>
        </w:rPr>
        <w:t>（以及分包号）</w:t>
      </w:r>
      <w:r>
        <w:rPr>
          <w:rFonts w:hint="eastAsia" w:ascii="宋体" w:hAnsi="宋体" w:eastAsia="宋体" w:cs="宋体"/>
          <w:color w:val="auto"/>
          <w:sz w:val="21"/>
          <w:szCs w:val="21"/>
          <w:highlight w:val="none"/>
        </w:rPr>
        <w:t>、采购项目编号、供应商收件人、电子邮箱、联系电话等信息</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核查完毕后将采购文件电子版以电子邮件形式发送至供应商邮箱。证明材料：营业执照复印件</w:t>
      </w:r>
      <w:r>
        <w:rPr>
          <w:rFonts w:hint="eastAsia" w:ascii="宋体" w:hAnsi="宋体" w:eastAsia="宋体" w:cs="宋体"/>
          <w:color w:val="auto"/>
          <w:sz w:val="21"/>
          <w:szCs w:val="21"/>
          <w:highlight w:val="none"/>
          <w:lang w:eastAsia="zh-CN"/>
        </w:rPr>
        <w:t>或</w:t>
      </w:r>
      <w:r>
        <w:rPr>
          <w:rFonts w:hint="eastAsia" w:ascii="宋体" w:hAnsi="宋体" w:eastAsia="宋体" w:cs="宋体"/>
          <w:color w:val="auto"/>
          <w:sz w:val="21"/>
          <w:szCs w:val="21"/>
          <w:highlight w:val="none"/>
          <w:lang w:val="en-US" w:eastAsia="zh-CN"/>
        </w:rPr>
        <w:t>事业单位法人证书</w:t>
      </w:r>
      <w:r>
        <w:rPr>
          <w:rFonts w:hint="eastAsia" w:ascii="宋体" w:hAnsi="宋体" w:eastAsia="宋体" w:cs="宋体"/>
          <w:color w:val="auto"/>
          <w:sz w:val="21"/>
          <w:szCs w:val="21"/>
          <w:highlight w:val="none"/>
        </w:rPr>
        <w:t>复印件</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法定代表人授权委托书（如有委托）、委托人身份证复印件（如有委托），以上证明材料均需加盖单位公章的清晰扫描件。</w:t>
      </w:r>
    </w:p>
    <w:p>
      <w:pPr>
        <w:pStyle w:val="26"/>
        <w:snapToGrid w:val="0"/>
        <w:spacing w:before="0" w:beforeAutospacing="0" w:after="0" w:afterAutospacing="0" w:line="480" w:lineRule="exact"/>
        <w:ind w:firstLine="420" w:firstLineChars="200"/>
        <w:jc w:val="both"/>
        <w:rPr>
          <w:rFonts w:hint="eastAsia" w:ascii="宋体" w:hAnsi="宋体" w:eastAsia="宋体" w:cs="宋体"/>
          <w:color w:val="auto"/>
          <w:sz w:val="21"/>
          <w:szCs w:val="21"/>
          <w:highlight w:val="none"/>
        </w:rPr>
      </w:pPr>
      <w:bookmarkStart w:id="26" w:name="_Toc26757"/>
      <w:bookmarkStart w:id="27" w:name="_Toc7224"/>
      <w:bookmarkStart w:id="28" w:name="_Toc201"/>
      <w:r>
        <w:rPr>
          <w:rFonts w:hint="eastAsia" w:ascii="宋体" w:hAnsi="宋体" w:eastAsia="宋体" w:cs="宋体"/>
          <w:color w:val="auto"/>
          <w:sz w:val="21"/>
          <w:szCs w:val="21"/>
          <w:highlight w:val="none"/>
          <w:lang w:val="en-US" w:eastAsia="zh-CN"/>
        </w:rPr>
        <w:t>3、</w:t>
      </w:r>
      <w:bookmarkEnd w:id="26"/>
      <w:bookmarkEnd w:id="27"/>
      <w:bookmarkEnd w:id="28"/>
      <w:bookmarkStart w:id="29" w:name="_Toc13521"/>
      <w:bookmarkStart w:id="30" w:name="_Toc29566"/>
      <w:bookmarkStart w:id="31" w:name="_Toc7856"/>
      <w:r>
        <w:rPr>
          <w:rFonts w:hint="eastAsia" w:ascii="宋体" w:hAnsi="宋体" w:eastAsia="宋体" w:cs="宋体"/>
          <w:color w:val="auto"/>
          <w:sz w:val="21"/>
          <w:szCs w:val="21"/>
          <w:highlight w:val="none"/>
          <w:lang w:val="en-US" w:eastAsia="zh-CN"/>
        </w:rPr>
        <w:t>售价:竞争性磋商文件工本费每本售价300元</w:t>
      </w:r>
      <w:bookmarkEnd w:id="29"/>
      <w:bookmarkEnd w:id="30"/>
      <w:bookmarkEnd w:id="31"/>
      <w:r>
        <w:rPr>
          <w:rFonts w:hint="eastAsia" w:ascii="宋体" w:hAnsi="宋体" w:eastAsia="宋体" w:cs="宋体"/>
          <w:color w:val="auto"/>
          <w:sz w:val="21"/>
          <w:szCs w:val="21"/>
          <w:highlight w:val="none"/>
          <w:lang w:val="en-US" w:eastAsia="zh-CN"/>
        </w:rPr>
        <w:t>，售后不退（需对公账户转账）。供应商需于获取截</w:t>
      </w:r>
      <w:r>
        <w:rPr>
          <w:rFonts w:hint="eastAsia" w:ascii="宋体" w:hAnsi="宋体" w:eastAsia="宋体" w:cs="宋体"/>
          <w:color w:val="auto"/>
          <w:sz w:val="21"/>
          <w:szCs w:val="21"/>
          <w:highlight w:val="none"/>
          <w:lang w:bidi="ar"/>
        </w:rPr>
        <w:t>止时间前将工本费汇到采购代理机构下述指定账号</w:t>
      </w:r>
      <w:r>
        <w:rPr>
          <w:rFonts w:hint="eastAsia" w:ascii="宋体" w:hAnsi="宋体" w:eastAsia="宋体" w:cs="宋体"/>
          <w:color w:val="auto"/>
          <w:sz w:val="21"/>
          <w:szCs w:val="21"/>
          <w:highlight w:val="none"/>
          <w:lang w:val="en-US" w:eastAsia="zh-CN" w:bidi="ar"/>
        </w:rPr>
        <w:t>(备注汇款公司简称及项目编号</w:t>
      </w:r>
      <w:r>
        <w:rPr>
          <w:rFonts w:hint="eastAsia" w:ascii="宋体" w:hAnsi="宋体" w:eastAsia="宋体" w:cs="宋体"/>
          <w:color w:val="auto"/>
          <w:sz w:val="21"/>
          <w:szCs w:val="21"/>
          <w:highlight w:val="none"/>
          <w:lang w:bidi="ar"/>
        </w:rPr>
        <w:t>）；</w:t>
      </w:r>
      <w:r>
        <w:rPr>
          <w:rFonts w:hint="eastAsia" w:ascii="宋体" w:hAnsi="宋体" w:eastAsia="宋体" w:cs="宋体"/>
          <w:b/>
          <w:color w:val="auto"/>
          <w:sz w:val="21"/>
          <w:szCs w:val="21"/>
          <w:highlight w:val="none"/>
          <w:lang w:bidi="ar"/>
        </w:rPr>
        <w:t>依据《国家税务总局关于增值税发票开具有关问题的公告》国家税务总局公告2017年第16号的规定，供应商在索取发票时，请提供纳税人识别号或统一社会信用代码。</w:t>
      </w:r>
    </w:p>
    <w:p>
      <w:pPr>
        <w:pStyle w:val="26"/>
        <w:snapToGrid w:val="0"/>
        <w:spacing w:before="0" w:beforeAutospacing="0" w:after="0" w:afterAutospacing="0" w:line="480" w:lineRule="exact"/>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开户全称：上海正弘建设工程顾问有限公司广西分公司</w:t>
      </w:r>
    </w:p>
    <w:p>
      <w:pPr>
        <w:pStyle w:val="26"/>
        <w:snapToGrid w:val="0"/>
        <w:spacing w:before="0" w:beforeAutospacing="0" w:after="0" w:afterAutospacing="0" w:line="480" w:lineRule="exact"/>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开户银行：广西北部湾银行南宁市嘉宾支行</w:t>
      </w:r>
    </w:p>
    <w:p>
      <w:pPr>
        <w:spacing w:line="360" w:lineRule="auto"/>
        <w:ind w:left="0" w:leftChars="0" w:firstLine="420" w:firstLineChars="200"/>
        <w:rPr>
          <w:rFonts w:hint="eastAsia" w:ascii="宋体" w:hAnsi="宋体" w:cs="宋体"/>
          <w:b/>
          <w:bCs/>
          <w:color w:val="auto"/>
          <w:szCs w:val="21"/>
          <w:highlight w:val="none"/>
          <w:shd w:val="clear" w:color="auto" w:fill="auto"/>
        </w:rPr>
      </w:pPr>
      <w:r>
        <w:rPr>
          <w:rFonts w:hint="eastAsia" w:ascii="宋体" w:hAnsi="宋体" w:eastAsia="宋体" w:cs="宋体"/>
          <w:color w:val="auto"/>
          <w:sz w:val="21"/>
          <w:szCs w:val="21"/>
          <w:highlight w:val="none"/>
        </w:rPr>
        <w:t>账    号：0804 0120 9000 7555</w:t>
      </w:r>
    </w:p>
    <w:p>
      <w:pPr>
        <w:spacing w:line="480" w:lineRule="exact"/>
        <w:ind w:firstLine="211" w:firstLineChars="100"/>
        <w:rPr>
          <w:rFonts w:hint="eastAsia" w:ascii="宋体" w:hAnsi="宋体" w:eastAsia="宋体" w:cs="宋体"/>
          <w:b/>
          <w:bCs/>
          <w:szCs w:val="21"/>
        </w:rPr>
      </w:pPr>
      <w:bookmarkStart w:id="32" w:name="_Toc22564"/>
      <w:bookmarkStart w:id="33" w:name="_Toc6764"/>
      <w:bookmarkStart w:id="34" w:name="_Toc17224"/>
      <w:r>
        <w:rPr>
          <w:rFonts w:hint="eastAsia" w:ascii="宋体" w:hAnsi="宋体" w:cs="宋体"/>
          <w:b/>
          <w:bCs/>
          <w:szCs w:val="21"/>
        </w:rPr>
        <w:t>四、响应文件提交</w:t>
      </w:r>
      <w:bookmarkEnd w:id="32"/>
      <w:bookmarkEnd w:id="33"/>
      <w:bookmarkEnd w:id="34"/>
    </w:p>
    <w:p>
      <w:pPr>
        <w:snapToGrid w:val="0"/>
        <w:spacing w:line="480" w:lineRule="exact"/>
        <w:ind w:firstLine="420" w:firstLineChars="200"/>
        <w:rPr>
          <w:rFonts w:hint="eastAsia" w:ascii="宋体" w:hAnsi="宋体" w:eastAsia="宋体" w:cs="宋体"/>
          <w:szCs w:val="21"/>
        </w:rPr>
      </w:pPr>
      <w:r>
        <w:rPr>
          <w:rFonts w:hint="eastAsia" w:ascii="宋体" w:hAnsi="宋体" w:eastAsia="宋体" w:cs="宋体"/>
          <w:szCs w:val="21"/>
        </w:rPr>
        <w:t>截止时间：</w:t>
      </w:r>
      <w:r>
        <w:rPr>
          <w:rFonts w:hint="eastAsia" w:ascii="宋体" w:hAnsi="宋体" w:eastAsia="宋体" w:cs="宋体"/>
          <w:szCs w:val="21"/>
          <w:u w:val="single"/>
        </w:rPr>
        <w:t xml:space="preserve"> 202</w:t>
      </w:r>
      <w:r>
        <w:rPr>
          <w:rFonts w:hint="eastAsia" w:ascii="宋体" w:hAnsi="宋体" w:cs="宋体"/>
          <w:szCs w:val="21"/>
          <w:u w:val="single"/>
          <w:lang w:val="en-US" w:eastAsia="zh-CN"/>
        </w:rPr>
        <w:t>5</w:t>
      </w:r>
      <w:r>
        <w:rPr>
          <w:rFonts w:hint="eastAsia" w:ascii="宋体" w:hAnsi="宋体" w:eastAsia="宋体" w:cs="宋体"/>
          <w:szCs w:val="21"/>
          <w:u w:val="single"/>
        </w:rPr>
        <w:t>年</w:t>
      </w:r>
      <w:r>
        <w:rPr>
          <w:rFonts w:hint="eastAsia" w:ascii="宋体" w:hAnsi="宋体" w:cs="宋体"/>
          <w:szCs w:val="21"/>
          <w:u w:val="single"/>
          <w:lang w:val="en-US" w:eastAsia="zh-CN"/>
        </w:rPr>
        <w:t xml:space="preserve">  </w:t>
      </w:r>
      <w:r>
        <w:rPr>
          <w:rFonts w:hint="eastAsia" w:ascii="宋体" w:hAnsi="宋体" w:eastAsia="宋体" w:cs="宋体"/>
          <w:szCs w:val="21"/>
          <w:u w:val="single"/>
        </w:rPr>
        <w:t>月</w:t>
      </w:r>
      <w:r>
        <w:rPr>
          <w:rFonts w:hint="eastAsia" w:ascii="宋体" w:hAnsi="宋体" w:cs="宋体"/>
          <w:szCs w:val="21"/>
          <w:u w:val="single"/>
          <w:lang w:val="en-US" w:eastAsia="zh-CN"/>
        </w:rPr>
        <w:t xml:space="preserve">  </w:t>
      </w:r>
      <w:r>
        <w:rPr>
          <w:rFonts w:hint="eastAsia" w:ascii="宋体" w:hAnsi="宋体" w:eastAsia="宋体" w:cs="宋体"/>
          <w:szCs w:val="21"/>
          <w:u w:val="single"/>
        </w:rPr>
        <w:t>日</w:t>
      </w:r>
      <w:r>
        <w:rPr>
          <w:rFonts w:hint="eastAsia" w:ascii="宋体" w:hAnsi="宋体" w:cs="宋体"/>
          <w:szCs w:val="21"/>
          <w:u w:val="single"/>
          <w:lang w:val="en-US" w:eastAsia="zh-CN"/>
        </w:rPr>
        <w:t>9</w:t>
      </w:r>
      <w:r>
        <w:rPr>
          <w:rFonts w:hint="eastAsia" w:ascii="宋体" w:hAnsi="宋体" w:eastAsia="宋体" w:cs="宋体"/>
          <w:szCs w:val="21"/>
          <w:u w:val="single"/>
          <w:lang w:eastAsia="zh-CN"/>
        </w:rPr>
        <w:t>时</w:t>
      </w:r>
      <w:r>
        <w:rPr>
          <w:rFonts w:hint="eastAsia" w:ascii="宋体" w:hAnsi="宋体" w:eastAsia="宋体" w:cs="宋体"/>
          <w:szCs w:val="21"/>
          <w:u w:val="single"/>
          <w:lang w:val="en-US" w:eastAsia="zh-CN"/>
        </w:rPr>
        <w:t>3</w:t>
      </w:r>
      <w:r>
        <w:rPr>
          <w:rFonts w:hint="eastAsia" w:ascii="宋体" w:hAnsi="宋体" w:eastAsia="宋体" w:cs="宋体"/>
          <w:szCs w:val="21"/>
          <w:u w:val="single"/>
        </w:rPr>
        <w:t>0分</w:t>
      </w:r>
      <w:r>
        <w:rPr>
          <w:rFonts w:hint="eastAsia" w:ascii="宋体" w:hAnsi="宋体" w:eastAsia="宋体" w:cs="宋体"/>
          <w:szCs w:val="21"/>
        </w:rPr>
        <w:t>（北京时间）</w:t>
      </w:r>
    </w:p>
    <w:p>
      <w:pPr>
        <w:pStyle w:val="26"/>
        <w:snapToGrid w:val="0"/>
        <w:spacing w:before="0" w:beforeAutospacing="0" w:after="0" w:afterAutospacing="0" w:line="480" w:lineRule="exact"/>
        <w:ind w:firstLine="420" w:firstLineChars="200"/>
        <w:jc w:val="both"/>
        <w:rPr>
          <w:rFonts w:hint="eastAsia" w:ascii="宋体" w:hAnsi="宋体" w:eastAsia="宋体" w:cs="宋体"/>
          <w:kern w:val="2"/>
          <w:sz w:val="21"/>
          <w:szCs w:val="21"/>
          <w:highlight w:val="none"/>
          <w:u w:val="single"/>
        </w:rPr>
      </w:pPr>
      <w:r>
        <w:rPr>
          <w:rFonts w:hint="eastAsia" w:ascii="宋体" w:hAnsi="宋体" w:eastAsia="宋体" w:cs="宋体"/>
          <w:kern w:val="2"/>
          <w:sz w:val="21"/>
          <w:szCs w:val="21"/>
          <w:highlight w:val="none"/>
        </w:rPr>
        <w:t>地点：</w:t>
      </w:r>
      <w:r>
        <w:rPr>
          <w:rFonts w:hint="eastAsia" w:ascii="宋体" w:hAnsi="宋体" w:eastAsia="宋体" w:cs="宋体"/>
          <w:color w:val="auto"/>
          <w:sz w:val="21"/>
          <w:szCs w:val="21"/>
          <w:highlight w:val="none"/>
        </w:rPr>
        <w:t>上海正弘建设工程顾问有限公司广西分公司（南宁市东葛路163号绿地中央广场B1栋9楼(东面)）开标室。</w:t>
      </w:r>
    </w:p>
    <w:p>
      <w:pPr>
        <w:widowControl/>
        <w:numPr>
          <w:ilvl w:val="1"/>
          <w:numId w:val="0"/>
        </w:numPr>
        <w:tabs>
          <w:tab w:val="left" w:pos="3148"/>
        </w:tabs>
        <w:snapToGrid w:val="0"/>
        <w:spacing w:line="480" w:lineRule="exact"/>
        <w:ind w:firstLine="422" w:firstLineChars="200"/>
        <w:rPr>
          <w:rFonts w:hint="eastAsia" w:ascii="宋体" w:hAnsi="宋体" w:eastAsia="宋体" w:cs="宋体"/>
          <w:b/>
          <w:bCs/>
          <w:szCs w:val="21"/>
          <w:highlight w:val="none"/>
        </w:rPr>
      </w:pPr>
      <w:bookmarkStart w:id="35" w:name="_Toc22176"/>
      <w:bookmarkStart w:id="36" w:name="_Toc20785"/>
      <w:bookmarkStart w:id="37" w:name="_Toc21627"/>
      <w:r>
        <w:rPr>
          <w:rFonts w:hint="eastAsia" w:ascii="宋体" w:hAnsi="宋体" w:eastAsia="宋体" w:cs="宋体"/>
          <w:b/>
          <w:bCs/>
          <w:szCs w:val="21"/>
          <w:highlight w:val="none"/>
        </w:rPr>
        <w:t>五、开启</w:t>
      </w:r>
      <w:bookmarkEnd w:id="35"/>
      <w:bookmarkEnd w:id="36"/>
      <w:bookmarkEnd w:id="37"/>
    </w:p>
    <w:p>
      <w:pPr>
        <w:snapToGrid w:val="0"/>
        <w:spacing w:line="480" w:lineRule="exact"/>
        <w:ind w:firstLine="420" w:firstLineChars="200"/>
        <w:rPr>
          <w:rFonts w:hint="eastAsia" w:ascii="宋体" w:hAnsi="宋体" w:eastAsia="宋体" w:cs="宋体"/>
          <w:szCs w:val="21"/>
          <w:highlight w:val="none"/>
          <w:u w:val="single"/>
        </w:rPr>
      </w:pPr>
      <w:r>
        <w:rPr>
          <w:rFonts w:hint="eastAsia" w:ascii="宋体" w:hAnsi="宋体" w:eastAsia="宋体" w:cs="宋体"/>
          <w:szCs w:val="21"/>
          <w:highlight w:val="none"/>
        </w:rPr>
        <w:t>时间：</w:t>
      </w:r>
      <w:r>
        <w:rPr>
          <w:rFonts w:hint="eastAsia" w:ascii="宋体" w:hAnsi="宋体" w:eastAsia="宋体" w:cs="宋体"/>
          <w:szCs w:val="21"/>
          <w:u w:val="single"/>
        </w:rPr>
        <w:t xml:space="preserve"> 202</w:t>
      </w:r>
      <w:r>
        <w:rPr>
          <w:rFonts w:hint="eastAsia" w:ascii="宋体" w:hAnsi="宋体" w:cs="宋体"/>
          <w:szCs w:val="21"/>
          <w:u w:val="single"/>
          <w:lang w:val="en-US" w:eastAsia="zh-CN"/>
        </w:rPr>
        <w:t>5</w:t>
      </w:r>
      <w:r>
        <w:rPr>
          <w:rFonts w:hint="eastAsia" w:ascii="宋体" w:hAnsi="宋体" w:eastAsia="宋体" w:cs="宋体"/>
          <w:szCs w:val="21"/>
          <w:u w:val="single"/>
        </w:rPr>
        <w:t>年</w:t>
      </w:r>
      <w:r>
        <w:rPr>
          <w:rFonts w:hint="eastAsia" w:ascii="宋体" w:hAnsi="宋体" w:cs="宋体"/>
          <w:szCs w:val="21"/>
          <w:u w:val="single"/>
          <w:lang w:val="en-US" w:eastAsia="zh-CN"/>
        </w:rPr>
        <w:t xml:space="preserve">  </w:t>
      </w:r>
      <w:r>
        <w:rPr>
          <w:rFonts w:hint="eastAsia" w:ascii="宋体" w:hAnsi="宋体" w:eastAsia="宋体" w:cs="宋体"/>
          <w:szCs w:val="21"/>
          <w:u w:val="single"/>
        </w:rPr>
        <w:t>月</w:t>
      </w:r>
      <w:r>
        <w:rPr>
          <w:rFonts w:hint="eastAsia" w:ascii="宋体" w:hAnsi="宋体" w:cs="宋体"/>
          <w:szCs w:val="21"/>
          <w:u w:val="single"/>
          <w:lang w:val="en-US" w:eastAsia="zh-CN"/>
        </w:rPr>
        <w:t xml:space="preserve">  </w:t>
      </w:r>
      <w:r>
        <w:rPr>
          <w:rFonts w:hint="eastAsia" w:ascii="宋体" w:hAnsi="宋体" w:eastAsia="宋体" w:cs="宋体"/>
          <w:szCs w:val="21"/>
          <w:u w:val="single"/>
        </w:rPr>
        <w:t>日</w:t>
      </w:r>
      <w:r>
        <w:rPr>
          <w:rFonts w:hint="eastAsia" w:ascii="宋体" w:hAnsi="宋体" w:cs="宋体"/>
          <w:szCs w:val="21"/>
          <w:u w:val="single"/>
          <w:lang w:val="en-US" w:eastAsia="zh-CN"/>
        </w:rPr>
        <w:t>9</w:t>
      </w:r>
      <w:r>
        <w:rPr>
          <w:rFonts w:hint="eastAsia" w:ascii="宋体" w:hAnsi="宋体" w:eastAsia="宋体" w:cs="宋体"/>
          <w:szCs w:val="21"/>
          <w:u w:val="single"/>
          <w:lang w:eastAsia="zh-CN"/>
        </w:rPr>
        <w:t>时</w:t>
      </w:r>
      <w:r>
        <w:rPr>
          <w:rFonts w:hint="eastAsia" w:ascii="宋体" w:hAnsi="宋体" w:eastAsia="宋体" w:cs="宋体"/>
          <w:szCs w:val="21"/>
          <w:u w:val="single"/>
          <w:lang w:val="en-US" w:eastAsia="zh-CN"/>
        </w:rPr>
        <w:t>3</w:t>
      </w:r>
      <w:r>
        <w:rPr>
          <w:rFonts w:hint="eastAsia" w:ascii="宋体" w:hAnsi="宋体" w:eastAsia="宋体" w:cs="宋体"/>
          <w:szCs w:val="21"/>
          <w:u w:val="single"/>
        </w:rPr>
        <w:t>0分</w:t>
      </w:r>
      <w:r>
        <w:rPr>
          <w:rFonts w:hint="eastAsia" w:ascii="宋体" w:hAnsi="宋体" w:eastAsia="宋体" w:cs="宋体"/>
          <w:szCs w:val="21"/>
          <w:highlight w:val="none"/>
        </w:rPr>
        <w:t>（北京时间）</w:t>
      </w:r>
    </w:p>
    <w:p>
      <w:pPr>
        <w:pStyle w:val="26"/>
        <w:snapToGrid w:val="0"/>
        <w:spacing w:before="0" w:beforeAutospacing="0" w:after="0" w:afterAutospacing="0" w:line="480" w:lineRule="exact"/>
        <w:ind w:firstLine="480" w:firstLineChars="200"/>
        <w:jc w:val="both"/>
        <w:rPr>
          <w:rFonts w:hint="eastAsia" w:ascii="宋体" w:hAnsi="宋体" w:eastAsia="宋体" w:cs="宋体"/>
          <w:szCs w:val="21"/>
          <w:highlight w:val="none"/>
          <w:u w:val="single"/>
        </w:rPr>
      </w:pPr>
      <w:r>
        <w:rPr>
          <w:rFonts w:hint="eastAsia" w:ascii="宋体" w:hAnsi="宋体" w:eastAsia="宋体" w:cs="宋体"/>
          <w:szCs w:val="21"/>
          <w:highlight w:val="none"/>
        </w:rPr>
        <w:t>地点：</w:t>
      </w:r>
      <w:r>
        <w:rPr>
          <w:rFonts w:hint="eastAsia" w:ascii="宋体" w:hAnsi="宋体" w:eastAsia="宋体" w:cs="宋体"/>
          <w:color w:val="auto"/>
          <w:sz w:val="21"/>
          <w:szCs w:val="21"/>
          <w:highlight w:val="none"/>
        </w:rPr>
        <w:t>上海正弘建设工程顾问有限公司广西分公司（南宁市东葛路163号绿地中央广场B1栋9楼(东面)）</w:t>
      </w:r>
      <w:r>
        <w:rPr>
          <w:rFonts w:hint="eastAsia" w:ascii="宋体" w:hAnsi="宋体" w:eastAsia="宋体" w:cs="宋体"/>
          <w:color w:val="auto"/>
          <w:sz w:val="21"/>
          <w:szCs w:val="21"/>
          <w:highlight w:val="none"/>
          <w:lang w:eastAsia="zh-CN"/>
        </w:rPr>
        <w:t>评</w:t>
      </w:r>
      <w:r>
        <w:rPr>
          <w:rFonts w:hint="eastAsia" w:ascii="宋体" w:hAnsi="宋体" w:eastAsia="宋体" w:cs="宋体"/>
          <w:color w:val="auto"/>
          <w:sz w:val="21"/>
          <w:szCs w:val="21"/>
          <w:highlight w:val="none"/>
        </w:rPr>
        <w:t>标室。</w:t>
      </w:r>
    </w:p>
    <w:p>
      <w:pPr>
        <w:widowControl/>
        <w:numPr>
          <w:ilvl w:val="1"/>
          <w:numId w:val="0"/>
        </w:numPr>
        <w:tabs>
          <w:tab w:val="left" w:pos="3148"/>
        </w:tabs>
        <w:snapToGrid w:val="0"/>
        <w:spacing w:line="480" w:lineRule="exact"/>
        <w:ind w:firstLine="422" w:firstLineChars="200"/>
        <w:rPr>
          <w:rFonts w:hint="eastAsia" w:ascii="宋体" w:hAnsi="宋体" w:eastAsia="宋体" w:cs="宋体"/>
          <w:bCs/>
          <w:szCs w:val="21"/>
          <w:highlight w:val="none"/>
        </w:rPr>
      </w:pPr>
      <w:bookmarkStart w:id="38" w:name="_Toc21070"/>
      <w:bookmarkStart w:id="39" w:name="_Toc26398"/>
      <w:bookmarkStart w:id="40" w:name="_Toc28690"/>
      <w:r>
        <w:rPr>
          <w:rFonts w:hint="eastAsia" w:ascii="宋体" w:hAnsi="宋体" w:eastAsia="宋体" w:cs="宋体"/>
          <w:b/>
          <w:bCs/>
          <w:szCs w:val="21"/>
          <w:highlight w:val="none"/>
        </w:rPr>
        <w:t>六、公告期限：</w:t>
      </w:r>
      <w:r>
        <w:rPr>
          <w:rFonts w:hint="eastAsia" w:ascii="宋体" w:hAnsi="宋体" w:eastAsia="宋体" w:cs="宋体"/>
          <w:bCs/>
          <w:szCs w:val="21"/>
          <w:highlight w:val="none"/>
        </w:rPr>
        <w:t>自本公告发布之日起5个工作日</w:t>
      </w:r>
      <w:bookmarkEnd w:id="38"/>
      <w:bookmarkEnd w:id="39"/>
      <w:bookmarkEnd w:id="40"/>
    </w:p>
    <w:p>
      <w:pPr>
        <w:widowControl/>
        <w:numPr>
          <w:ilvl w:val="255"/>
          <w:numId w:val="0"/>
        </w:numPr>
        <w:tabs>
          <w:tab w:val="left" w:pos="3148"/>
        </w:tabs>
        <w:snapToGrid w:val="0"/>
        <w:spacing w:line="480" w:lineRule="exact"/>
        <w:ind w:firstLine="422" w:firstLineChars="200"/>
        <w:rPr>
          <w:rFonts w:hint="eastAsia" w:ascii="宋体" w:hAnsi="宋体" w:eastAsia="宋体" w:cs="宋体"/>
          <w:b/>
          <w:bCs/>
          <w:szCs w:val="21"/>
        </w:rPr>
      </w:pPr>
      <w:bookmarkStart w:id="41" w:name="_Toc17583"/>
      <w:bookmarkStart w:id="42" w:name="_Toc7186"/>
      <w:bookmarkStart w:id="43" w:name="_Toc21201"/>
      <w:r>
        <w:rPr>
          <w:rFonts w:hint="eastAsia" w:ascii="宋体" w:hAnsi="宋体" w:eastAsia="宋体" w:cs="宋体"/>
          <w:b/>
          <w:bCs/>
          <w:szCs w:val="21"/>
        </w:rPr>
        <w:t>七、其他补充事宜：</w:t>
      </w:r>
      <w:bookmarkEnd w:id="41"/>
      <w:bookmarkEnd w:id="42"/>
      <w:bookmarkEnd w:id="43"/>
    </w:p>
    <w:p>
      <w:pPr>
        <w:pStyle w:val="26"/>
        <w:snapToGrid w:val="0"/>
        <w:spacing w:before="0" w:beforeAutospacing="0" w:after="0" w:afterAutospacing="0" w:line="480" w:lineRule="exact"/>
        <w:ind w:firstLine="422" w:firstLineChars="200"/>
        <w:jc w:val="both"/>
        <w:rPr>
          <w:rFonts w:hint="eastAsia"/>
          <w:kern w:val="2"/>
          <w:sz w:val="21"/>
          <w:szCs w:val="21"/>
          <w:highlight w:val="none"/>
        </w:rPr>
      </w:pPr>
      <w:bookmarkStart w:id="44" w:name="_Toc18328"/>
      <w:bookmarkStart w:id="45" w:name="_Toc11221"/>
      <w:bookmarkStart w:id="46" w:name="_Toc29436"/>
      <w:r>
        <w:rPr>
          <w:rFonts w:hint="eastAsia"/>
          <w:b/>
          <w:bCs/>
          <w:kern w:val="2"/>
          <w:sz w:val="21"/>
          <w:szCs w:val="21"/>
        </w:rPr>
        <w:t>网上查询地址：</w:t>
      </w:r>
      <w:bookmarkEnd w:id="44"/>
      <w:bookmarkEnd w:id="45"/>
      <w:bookmarkEnd w:id="46"/>
      <w:r>
        <w:rPr>
          <w:rFonts w:hint="eastAsia"/>
          <w:kern w:val="2"/>
          <w:sz w:val="21"/>
          <w:szCs w:val="21"/>
        </w:rPr>
        <w:t>采购与招标网（www.chinabidding.com.cn）、上海正弘建设工程顾问有限公司（http://www.zhenghong.</w:t>
      </w:r>
      <w:r>
        <w:rPr>
          <w:rFonts w:hint="eastAsia"/>
          <w:kern w:val="2"/>
          <w:sz w:val="21"/>
          <w:szCs w:val="21"/>
          <w:highlight w:val="none"/>
        </w:rPr>
        <w:t>net.cn/）</w:t>
      </w:r>
      <w:r>
        <w:rPr>
          <w:rFonts w:hint="eastAsia"/>
          <w:kern w:val="2"/>
          <w:sz w:val="21"/>
          <w:szCs w:val="21"/>
          <w:highlight w:val="none"/>
          <w:lang w:val="en-US" w:eastAsia="zh-CN"/>
        </w:rPr>
        <w:t>、</w:t>
      </w:r>
      <w:r>
        <w:rPr>
          <w:rFonts w:hint="eastAsia"/>
          <w:kern w:val="2"/>
          <w:sz w:val="21"/>
          <w:szCs w:val="21"/>
          <w:highlight w:val="none"/>
        </w:rPr>
        <w:t>广西壮族自治区生态环境厅网站</w:t>
      </w:r>
      <w:r>
        <w:rPr>
          <w:rFonts w:hint="eastAsia"/>
          <w:kern w:val="2"/>
          <w:sz w:val="21"/>
          <w:szCs w:val="21"/>
          <w:highlight w:val="none"/>
          <w:lang w:eastAsia="zh-CN"/>
        </w:rPr>
        <w:t>（http://sthjt.gxzf.gov.cn/）</w:t>
      </w:r>
      <w:r>
        <w:rPr>
          <w:rFonts w:hint="eastAsia"/>
          <w:kern w:val="2"/>
          <w:sz w:val="21"/>
          <w:szCs w:val="21"/>
          <w:highlight w:val="none"/>
        </w:rPr>
        <w:t>。</w:t>
      </w:r>
    </w:p>
    <w:p>
      <w:pPr>
        <w:widowControl/>
        <w:numPr>
          <w:ilvl w:val="255"/>
          <w:numId w:val="0"/>
        </w:numPr>
        <w:tabs>
          <w:tab w:val="left" w:pos="3148"/>
        </w:tabs>
        <w:snapToGrid w:val="0"/>
        <w:spacing w:line="480" w:lineRule="exact"/>
        <w:ind w:firstLine="422" w:firstLineChars="200"/>
        <w:rPr>
          <w:rFonts w:ascii="宋体" w:hAnsi="宋体" w:cs="宋体"/>
          <w:b/>
          <w:bCs/>
          <w:szCs w:val="21"/>
          <w:highlight w:val="none"/>
        </w:rPr>
      </w:pPr>
      <w:bookmarkStart w:id="47" w:name="_Toc12689"/>
      <w:bookmarkStart w:id="48" w:name="_Toc15560"/>
      <w:bookmarkStart w:id="49" w:name="_Toc6696"/>
      <w:r>
        <w:rPr>
          <w:rFonts w:hint="eastAsia" w:ascii="宋体" w:hAnsi="宋体" w:cs="宋体"/>
          <w:b/>
          <w:bCs/>
          <w:szCs w:val="21"/>
          <w:highlight w:val="none"/>
        </w:rPr>
        <w:t>八、凡对本次采购提出询问，请按以下方式联系</w:t>
      </w:r>
      <w:bookmarkEnd w:id="47"/>
      <w:bookmarkEnd w:id="48"/>
      <w:bookmarkEnd w:id="49"/>
      <w:r>
        <w:rPr>
          <w:rFonts w:hint="eastAsia" w:ascii="宋体" w:hAnsi="宋体" w:cs="宋体"/>
          <w:b/>
          <w:bCs/>
          <w:szCs w:val="21"/>
          <w:highlight w:val="none"/>
        </w:rPr>
        <w:t>：</w:t>
      </w:r>
    </w:p>
    <w:p>
      <w:pPr>
        <w:keepNext w:val="0"/>
        <w:keepLines w:val="0"/>
        <w:pageBreakBefore w:val="0"/>
        <w:kinsoku/>
        <w:wordWrap/>
        <w:overflowPunct/>
        <w:topLinePunct w:val="0"/>
        <w:autoSpaceDE/>
        <w:autoSpaceDN/>
        <w:bidi w:val="0"/>
        <w:adjustRightInd/>
        <w:spacing w:line="440" w:lineRule="exact"/>
        <w:ind w:firstLine="567" w:firstLineChars="270"/>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1.采购人信息</w:t>
      </w:r>
    </w:p>
    <w:p>
      <w:pPr>
        <w:keepNext w:val="0"/>
        <w:keepLines w:val="0"/>
        <w:pageBreakBefore w:val="0"/>
        <w:kinsoku/>
        <w:wordWrap/>
        <w:overflowPunct/>
        <w:topLinePunct w:val="0"/>
        <w:autoSpaceDE/>
        <w:autoSpaceDN/>
        <w:bidi w:val="0"/>
        <w:adjustRightInd/>
        <w:spacing w:line="440" w:lineRule="exact"/>
        <w:ind w:firstLine="567" w:firstLineChars="270"/>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名 称：</w:t>
      </w:r>
      <w:r>
        <w:rPr>
          <w:rFonts w:hint="eastAsia" w:ascii="宋体" w:hAnsi="宋体" w:eastAsia="宋体" w:cs="宋体"/>
          <w:color w:val="auto"/>
          <w:szCs w:val="21"/>
          <w:highlight w:val="none"/>
          <w:lang w:val="en-US" w:eastAsia="zh-CN"/>
        </w:rPr>
        <w:t>广西壮族自治区生态环境监测中心</w:t>
      </w:r>
    </w:p>
    <w:p>
      <w:pPr>
        <w:keepNext w:val="0"/>
        <w:keepLines w:val="0"/>
        <w:pageBreakBefore w:val="0"/>
        <w:kinsoku/>
        <w:wordWrap/>
        <w:overflowPunct/>
        <w:topLinePunct w:val="0"/>
        <w:autoSpaceDE/>
        <w:autoSpaceDN/>
        <w:bidi w:val="0"/>
        <w:adjustRightInd/>
        <w:spacing w:line="440" w:lineRule="exact"/>
        <w:ind w:firstLine="567" w:firstLineChars="270"/>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地 </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址：南宁市青秀区佛子岭路16号</w:t>
      </w:r>
    </w:p>
    <w:p>
      <w:pPr>
        <w:keepNext w:val="0"/>
        <w:keepLines w:val="0"/>
        <w:pageBreakBefore w:val="0"/>
        <w:kinsoku/>
        <w:wordWrap/>
        <w:overflowPunct/>
        <w:topLinePunct w:val="0"/>
        <w:autoSpaceDE/>
        <w:autoSpaceDN/>
        <w:bidi w:val="0"/>
        <w:adjustRightInd/>
        <w:spacing w:line="440" w:lineRule="exact"/>
        <w:ind w:firstLine="567" w:firstLineChars="270"/>
        <w:jc w:val="left"/>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联系人：</w:t>
      </w:r>
      <w:r>
        <w:rPr>
          <w:rFonts w:hint="eastAsia" w:ascii="宋体" w:hAnsi="宋体" w:cs="宋体"/>
          <w:color w:val="auto"/>
          <w:szCs w:val="21"/>
          <w:highlight w:val="none"/>
          <w:lang w:eastAsia="zh-CN"/>
        </w:rPr>
        <w:t>吕工</w:t>
      </w:r>
    </w:p>
    <w:p>
      <w:pPr>
        <w:keepNext w:val="0"/>
        <w:keepLines w:val="0"/>
        <w:pageBreakBefore w:val="0"/>
        <w:kinsoku/>
        <w:wordWrap/>
        <w:overflowPunct/>
        <w:topLinePunct w:val="0"/>
        <w:autoSpaceDE/>
        <w:autoSpaceDN/>
        <w:bidi w:val="0"/>
        <w:adjustRightInd/>
        <w:spacing w:line="440" w:lineRule="exact"/>
        <w:ind w:firstLine="567" w:firstLineChars="270"/>
        <w:jc w:val="left"/>
        <w:textAlignment w:val="auto"/>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联系</w:t>
      </w:r>
      <w:r>
        <w:rPr>
          <w:rFonts w:hint="eastAsia" w:ascii="宋体" w:hAnsi="宋体" w:eastAsia="宋体" w:cs="宋体"/>
          <w:color w:val="auto"/>
          <w:szCs w:val="21"/>
          <w:highlight w:val="none"/>
          <w:lang w:eastAsia="zh-CN"/>
        </w:rPr>
        <w:t>电话：</w:t>
      </w:r>
      <w:r>
        <w:rPr>
          <w:rFonts w:hint="eastAsia" w:ascii="宋体" w:hAnsi="宋体" w:cs="宋体"/>
          <w:color w:val="auto"/>
          <w:szCs w:val="21"/>
          <w:highlight w:val="none"/>
          <w:lang w:val="en-US" w:eastAsia="zh-CN"/>
        </w:rPr>
        <w:t>0771-5318290</w:t>
      </w:r>
    </w:p>
    <w:p>
      <w:pPr>
        <w:keepNext w:val="0"/>
        <w:keepLines w:val="0"/>
        <w:pageBreakBefore w:val="0"/>
        <w:kinsoku/>
        <w:wordWrap/>
        <w:overflowPunct/>
        <w:topLinePunct w:val="0"/>
        <w:autoSpaceDE/>
        <w:autoSpaceDN/>
        <w:bidi w:val="0"/>
        <w:adjustRightInd/>
        <w:spacing w:line="440" w:lineRule="exact"/>
        <w:ind w:firstLine="567" w:firstLineChars="270"/>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2.采购代理机构信息</w:t>
      </w:r>
    </w:p>
    <w:p>
      <w:pPr>
        <w:keepNext w:val="0"/>
        <w:keepLines w:val="0"/>
        <w:pageBreakBefore w:val="0"/>
        <w:kinsoku/>
        <w:wordWrap/>
        <w:overflowPunct/>
        <w:topLinePunct w:val="0"/>
        <w:autoSpaceDE/>
        <w:autoSpaceDN/>
        <w:bidi w:val="0"/>
        <w:adjustRightInd/>
        <w:spacing w:line="440" w:lineRule="exact"/>
        <w:ind w:firstLine="567" w:firstLineChars="270"/>
        <w:jc w:val="left"/>
        <w:textAlignment w:val="auto"/>
        <w:rPr>
          <w:rFonts w:hint="eastAsia" w:ascii="宋体" w:hAnsi="宋体" w:eastAsia="宋体" w:cs="宋体"/>
          <w:color w:val="auto"/>
          <w:szCs w:val="21"/>
          <w:highlight w:val="none"/>
        </w:rPr>
      </w:pPr>
      <w:bookmarkStart w:id="50" w:name="_Toc28359010"/>
      <w:bookmarkStart w:id="51" w:name="_Toc28359087"/>
      <w:r>
        <w:rPr>
          <w:rFonts w:hint="eastAsia" w:ascii="宋体" w:hAnsi="宋体" w:eastAsia="宋体" w:cs="宋体"/>
          <w:color w:val="auto"/>
          <w:szCs w:val="21"/>
          <w:highlight w:val="none"/>
        </w:rPr>
        <w:t>采购代理机构：上海正弘建设工程顾问有限公司</w:t>
      </w:r>
    </w:p>
    <w:p>
      <w:pPr>
        <w:keepNext w:val="0"/>
        <w:keepLines w:val="0"/>
        <w:pageBreakBefore w:val="0"/>
        <w:kinsoku/>
        <w:wordWrap/>
        <w:overflowPunct/>
        <w:topLinePunct w:val="0"/>
        <w:autoSpaceDE/>
        <w:autoSpaceDN/>
        <w:bidi w:val="0"/>
        <w:adjustRightInd/>
        <w:spacing w:line="440" w:lineRule="exact"/>
        <w:ind w:firstLine="567" w:firstLineChars="270"/>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地  址：南宁市青秀区东葛路163号绿地中央广场B1栋9层（东面） </w:t>
      </w:r>
    </w:p>
    <w:bookmarkEnd w:id="50"/>
    <w:bookmarkEnd w:id="51"/>
    <w:p>
      <w:pPr>
        <w:keepNext w:val="0"/>
        <w:keepLines w:val="0"/>
        <w:pageBreakBefore w:val="0"/>
        <w:kinsoku/>
        <w:wordWrap/>
        <w:overflowPunct/>
        <w:topLinePunct w:val="0"/>
        <w:autoSpaceDE/>
        <w:autoSpaceDN/>
        <w:bidi w:val="0"/>
        <w:adjustRightInd/>
        <w:spacing w:line="440" w:lineRule="exact"/>
        <w:ind w:firstLine="567" w:firstLineChars="270"/>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项目联系人：李冬宁</w:t>
      </w:r>
    </w:p>
    <w:p>
      <w:pPr>
        <w:keepNext w:val="0"/>
        <w:keepLines w:val="0"/>
        <w:pageBreakBefore w:val="0"/>
        <w:kinsoku/>
        <w:wordWrap/>
        <w:overflowPunct/>
        <w:topLinePunct w:val="0"/>
        <w:autoSpaceDE/>
        <w:autoSpaceDN/>
        <w:bidi w:val="0"/>
        <w:adjustRightInd/>
        <w:spacing w:line="440" w:lineRule="exact"/>
        <w:ind w:firstLine="567" w:firstLineChars="270"/>
        <w:jc w:val="lef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w:t>
      </w:r>
      <w:r>
        <w:rPr>
          <w:rFonts w:hint="eastAsia" w:ascii="宋体" w:hAnsi="宋体" w:eastAsia="宋体" w:cs="宋体"/>
          <w:color w:val="auto"/>
          <w:szCs w:val="21"/>
          <w:highlight w:val="none"/>
          <w:lang w:eastAsia="zh-CN"/>
        </w:rPr>
        <w:t>电话</w:t>
      </w:r>
      <w:r>
        <w:rPr>
          <w:rFonts w:hint="eastAsia" w:ascii="宋体" w:hAnsi="宋体" w:eastAsia="宋体" w:cs="宋体"/>
          <w:color w:val="auto"/>
          <w:szCs w:val="21"/>
          <w:highlight w:val="none"/>
        </w:rPr>
        <w:t>：0771-5300530</w:t>
      </w:r>
    </w:p>
    <w:p>
      <w:pPr>
        <w:snapToGrid w:val="0"/>
        <w:spacing w:line="480" w:lineRule="exact"/>
        <w:ind w:firstLine="630" w:firstLineChars="300"/>
        <w:rPr>
          <w:rFonts w:ascii="宋体" w:hAnsi="宋体" w:cs="宋体"/>
          <w:szCs w:val="21"/>
        </w:rPr>
      </w:pPr>
      <w:r>
        <w:rPr>
          <w:rFonts w:hint="eastAsia" w:ascii="宋体" w:hAnsi="宋体" w:cs="宋体"/>
          <w:szCs w:val="21"/>
        </w:rPr>
        <w:t xml:space="preserve">              </w:t>
      </w:r>
    </w:p>
    <w:p>
      <w:pPr>
        <w:spacing w:line="560" w:lineRule="exact"/>
        <w:ind w:firstLine="630" w:firstLineChars="300"/>
        <w:rPr>
          <w:rFonts w:ascii="宋体" w:hAnsi="宋体" w:cs="宋体"/>
          <w:kern w:val="0"/>
          <w:szCs w:val="21"/>
        </w:rPr>
      </w:pP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上海正弘建设工程顾问有限公司</w:t>
      </w:r>
    </w:p>
    <w:p>
      <w:pPr>
        <w:snapToGrid w:val="0"/>
        <w:spacing w:line="480" w:lineRule="exact"/>
        <w:ind w:firstLine="420" w:firstLineChars="200"/>
        <w:jc w:val="center"/>
        <w:rPr>
          <w:rFonts w:ascii="宋体" w:hAnsi="宋体" w:cs="宋体"/>
          <w:kern w:val="0"/>
          <w:szCs w:val="21"/>
        </w:rPr>
      </w:pPr>
      <w:r>
        <w:rPr>
          <w:rFonts w:hint="eastAsia" w:ascii="宋体" w:hAnsi="宋体" w:cs="宋体"/>
          <w:szCs w:val="21"/>
        </w:rPr>
        <w:t xml:space="preserve">                                </w:t>
      </w:r>
      <w:r>
        <w:rPr>
          <w:rFonts w:hint="eastAsia" w:ascii="宋体" w:hAnsi="宋体" w:cs="宋体"/>
          <w:szCs w:val="21"/>
          <w:lang w:val="en-US" w:eastAsia="zh-CN"/>
        </w:rPr>
        <w:t xml:space="preserve">                    </w:t>
      </w:r>
      <w:r>
        <w:rPr>
          <w:rFonts w:hint="eastAsia" w:ascii="宋体" w:hAnsi="宋体" w:cs="宋体"/>
          <w:szCs w:val="21"/>
        </w:rPr>
        <w:t xml:space="preserve">  202</w:t>
      </w:r>
      <w:r>
        <w:rPr>
          <w:rFonts w:hint="eastAsia" w:ascii="宋体" w:hAnsi="宋体" w:cs="宋体"/>
          <w:szCs w:val="21"/>
          <w:lang w:val="en-US" w:eastAsia="zh-CN"/>
        </w:rPr>
        <w:t>5</w:t>
      </w:r>
      <w:r>
        <w:rPr>
          <w:rFonts w:hint="eastAsia" w:ascii="宋体" w:hAnsi="宋体" w:cs="宋体"/>
          <w:szCs w:val="21"/>
        </w:rPr>
        <w:t>年</w:t>
      </w:r>
      <w:r>
        <w:rPr>
          <w:rFonts w:hint="eastAsia" w:ascii="宋体" w:hAnsi="宋体" w:cs="宋体"/>
          <w:szCs w:val="21"/>
          <w:lang w:val="en-US" w:eastAsia="zh-CN"/>
        </w:rPr>
        <w:t xml:space="preserve">   </w:t>
      </w:r>
      <w:r>
        <w:rPr>
          <w:rFonts w:hint="eastAsia" w:ascii="宋体" w:hAnsi="宋体" w:cs="宋体"/>
          <w:szCs w:val="21"/>
        </w:rPr>
        <w:t>月</w:t>
      </w:r>
      <w:r>
        <w:rPr>
          <w:rFonts w:hint="eastAsia" w:ascii="宋体" w:hAnsi="宋体" w:cs="宋体"/>
          <w:szCs w:val="21"/>
          <w:lang w:val="en-US" w:eastAsia="zh-CN"/>
        </w:rPr>
        <w:t xml:space="preserve">  </w:t>
      </w:r>
      <w:r>
        <w:rPr>
          <w:rFonts w:hint="eastAsia" w:ascii="宋体" w:hAnsi="宋体" w:cs="宋体"/>
          <w:szCs w:val="21"/>
        </w:rPr>
        <w:t>日</w:t>
      </w:r>
      <w:r>
        <w:rPr>
          <w:rFonts w:hint="eastAsia" w:ascii="宋体" w:hAnsi="宋体" w:cs="宋体"/>
          <w:kern w:val="0"/>
          <w:szCs w:val="21"/>
        </w:rPr>
        <w:t xml:space="preserve">  </w:t>
      </w:r>
    </w:p>
    <w:p>
      <w:pPr>
        <w:spacing w:line="360" w:lineRule="auto"/>
        <w:jc w:val="center"/>
        <w:rPr>
          <w:rFonts w:ascii="宋体" w:hAnsi="宋体" w:cs="宋体"/>
          <w:caps/>
          <w:sz w:val="24"/>
        </w:rPr>
      </w:pPr>
    </w:p>
    <w:p>
      <w:pPr>
        <w:rPr>
          <w:rFonts w:ascii="宋体" w:hAnsi="宋体" w:cs="宋体"/>
          <w:sz w:val="27"/>
          <w:szCs w:val="27"/>
        </w:rPr>
      </w:pPr>
    </w:p>
    <w:p>
      <w:pPr>
        <w:rPr>
          <w:rFonts w:ascii="宋体" w:hAnsi="宋体" w:cs="宋体"/>
          <w:b/>
          <w:sz w:val="32"/>
          <w:szCs w:val="32"/>
        </w:rPr>
      </w:pPr>
      <w:bookmarkStart w:id="52" w:name="_Toc14507"/>
      <w:bookmarkStart w:id="53" w:name="_Toc460253699"/>
      <w:bookmarkStart w:id="54" w:name="_Toc485920201"/>
      <w:r>
        <w:rPr>
          <w:rFonts w:hint="eastAsia" w:ascii="宋体" w:hAnsi="宋体" w:cs="宋体"/>
          <w:b/>
          <w:sz w:val="32"/>
          <w:szCs w:val="32"/>
        </w:rPr>
        <w:br w:type="page"/>
      </w:r>
    </w:p>
    <w:p>
      <w:pPr>
        <w:spacing w:line="360" w:lineRule="auto"/>
        <w:jc w:val="center"/>
        <w:outlineLvl w:val="0"/>
        <w:rPr>
          <w:rFonts w:ascii="宋体" w:hAnsi="宋体" w:cs="宋体"/>
          <w:b/>
          <w:bCs/>
          <w:sz w:val="32"/>
          <w:szCs w:val="32"/>
        </w:rPr>
      </w:pPr>
      <w:bookmarkStart w:id="55" w:name="_Toc29237"/>
      <w:r>
        <w:rPr>
          <w:rFonts w:hint="eastAsia" w:ascii="宋体" w:hAnsi="宋体" w:cs="宋体"/>
          <w:b/>
          <w:sz w:val="32"/>
          <w:szCs w:val="32"/>
        </w:rPr>
        <w:t>第二章  磋商供应商须知</w:t>
      </w:r>
      <w:bookmarkEnd w:id="52"/>
      <w:bookmarkEnd w:id="55"/>
      <w:bookmarkStart w:id="56" w:name="_Toc213326415"/>
    </w:p>
    <w:bookmarkEnd w:id="56"/>
    <w:p>
      <w:pPr>
        <w:pStyle w:val="15"/>
        <w:spacing w:line="360" w:lineRule="auto"/>
        <w:ind w:firstLine="420" w:firstLineChars="200"/>
        <w:jc w:val="left"/>
        <w:rPr>
          <w:rFonts w:hAnsi="宋体" w:cs="宋体"/>
          <w:szCs w:val="21"/>
        </w:rPr>
      </w:pPr>
      <w:bookmarkStart w:id="57" w:name="_Toc460253702"/>
      <w:r>
        <w:rPr>
          <w:rFonts w:hint="eastAsia" w:hAnsi="宋体" w:cs="宋体"/>
          <w:szCs w:val="21"/>
        </w:rPr>
        <w:t>本表是关于本次采购项目的具体资料，是对后列条款的具体补充和修改。所有与本次采购有关的事宜，以本表规定的为准。</w:t>
      </w:r>
      <w:bookmarkEnd w:id="57"/>
    </w:p>
    <w:tbl>
      <w:tblPr>
        <w:tblStyle w:val="29"/>
        <w:tblW w:w="101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4"/>
        <w:gridCol w:w="2539"/>
        <w:gridCol w:w="66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bottom"/>
          </w:tcPr>
          <w:p>
            <w:pPr>
              <w:pStyle w:val="15"/>
              <w:snapToGrid w:val="0"/>
              <w:spacing w:line="504" w:lineRule="auto"/>
              <w:jc w:val="center"/>
              <w:rPr>
                <w:rFonts w:hAnsi="宋体" w:cs="宋体"/>
                <w:b/>
                <w:bCs/>
                <w:kern w:val="0"/>
                <w:szCs w:val="21"/>
              </w:rPr>
            </w:pPr>
            <w:r>
              <w:rPr>
                <w:rFonts w:hint="eastAsia" w:hAnsi="宋体" w:cs="宋体"/>
                <w:b/>
                <w:bCs/>
                <w:kern w:val="0"/>
                <w:szCs w:val="21"/>
              </w:rPr>
              <w:t>条款号</w:t>
            </w:r>
          </w:p>
        </w:tc>
        <w:tc>
          <w:tcPr>
            <w:tcW w:w="2539" w:type="dxa"/>
            <w:vAlign w:val="bottom"/>
          </w:tcPr>
          <w:p>
            <w:pPr>
              <w:pStyle w:val="15"/>
              <w:snapToGrid w:val="0"/>
              <w:spacing w:line="504" w:lineRule="auto"/>
              <w:jc w:val="center"/>
              <w:rPr>
                <w:rFonts w:hAnsi="宋体" w:cs="宋体"/>
                <w:b/>
                <w:bCs/>
                <w:kern w:val="0"/>
                <w:szCs w:val="21"/>
              </w:rPr>
            </w:pPr>
            <w:r>
              <w:rPr>
                <w:rFonts w:hint="eastAsia" w:hAnsi="宋体" w:cs="宋体"/>
                <w:b/>
                <w:bCs/>
                <w:kern w:val="0"/>
                <w:szCs w:val="21"/>
              </w:rPr>
              <w:t>条款名称</w:t>
            </w:r>
          </w:p>
        </w:tc>
        <w:tc>
          <w:tcPr>
            <w:tcW w:w="6676" w:type="dxa"/>
            <w:vAlign w:val="bottom"/>
          </w:tcPr>
          <w:p>
            <w:pPr>
              <w:pStyle w:val="15"/>
              <w:snapToGrid w:val="0"/>
              <w:spacing w:line="504" w:lineRule="auto"/>
              <w:jc w:val="center"/>
              <w:rPr>
                <w:rFonts w:hAnsi="宋体" w:cs="宋体"/>
                <w:b/>
                <w:bCs/>
                <w:kern w:val="0"/>
                <w:szCs w:val="21"/>
              </w:rPr>
            </w:pPr>
            <w:r>
              <w:rPr>
                <w:rFonts w:hint="eastAsia" w:hAnsi="宋体" w:cs="宋体"/>
                <w:b/>
                <w:bCs/>
                <w:kern w:val="0"/>
                <w:szCs w:val="21"/>
              </w:rPr>
              <w:t>详细内容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pStyle w:val="15"/>
              <w:snapToGrid w:val="0"/>
              <w:spacing w:line="504" w:lineRule="auto"/>
              <w:jc w:val="center"/>
              <w:rPr>
                <w:rFonts w:hAnsi="宋体" w:cs="宋体"/>
                <w:kern w:val="0"/>
                <w:szCs w:val="21"/>
              </w:rPr>
            </w:pPr>
            <w:r>
              <w:rPr>
                <w:rFonts w:hint="eastAsia" w:hAnsi="宋体" w:cs="宋体"/>
                <w:kern w:val="0"/>
                <w:szCs w:val="21"/>
              </w:rPr>
              <w:t>1.1</w:t>
            </w:r>
          </w:p>
        </w:tc>
        <w:tc>
          <w:tcPr>
            <w:tcW w:w="2539" w:type="dxa"/>
            <w:vAlign w:val="center"/>
          </w:tcPr>
          <w:p>
            <w:pPr>
              <w:pStyle w:val="15"/>
              <w:snapToGrid w:val="0"/>
              <w:spacing w:line="504" w:lineRule="auto"/>
              <w:jc w:val="center"/>
              <w:rPr>
                <w:rFonts w:hAnsi="宋体" w:cs="宋体"/>
                <w:kern w:val="0"/>
                <w:szCs w:val="21"/>
              </w:rPr>
            </w:pPr>
            <w:r>
              <w:rPr>
                <w:rFonts w:hint="eastAsia" w:hAnsi="宋体" w:cs="宋体"/>
                <w:kern w:val="0"/>
                <w:szCs w:val="21"/>
              </w:rPr>
              <w:t>采购人</w:t>
            </w:r>
          </w:p>
        </w:tc>
        <w:tc>
          <w:tcPr>
            <w:tcW w:w="6676" w:type="dxa"/>
            <w:vAlign w:val="center"/>
          </w:tcPr>
          <w:p>
            <w:pPr>
              <w:snapToGrid w:val="0"/>
              <w:spacing w:line="504" w:lineRule="auto"/>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rPr>
              <w:t xml:space="preserve">名 </w:t>
            </w:r>
            <w:r>
              <w:rPr>
                <w:rFonts w:hint="eastAsia" w:ascii="宋体" w:hAnsi="宋体" w:eastAsia="宋体" w:cs="宋体"/>
                <w:color w:val="auto"/>
                <w:szCs w:val="21"/>
                <w:highlight w:val="none"/>
              </w:rPr>
              <w:t>称：</w:t>
            </w:r>
            <w:r>
              <w:rPr>
                <w:rFonts w:hint="eastAsia" w:ascii="宋体" w:hAnsi="宋体" w:eastAsia="宋体" w:cs="宋体"/>
                <w:color w:val="auto"/>
                <w:szCs w:val="21"/>
                <w:highlight w:val="none"/>
                <w:lang w:val="en-US" w:eastAsia="zh-CN"/>
              </w:rPr>
              <w:t>广西壮族自治区生态环境监测中心</w:t>
            </w:r>
          </w:p>
          <w:p>
            <w:pPr>
              <w:snapToGrid w:val="0"/>
              <w:spacing w:line="504" w:lineRule="auto"/>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地址：南宁市青秀区佛子岭路16号</w:t>
            </w:r>
          </w:p>
          <w:p>
            <w:pPr>
              <w:snapToGrid w:val="0"/>
              <w:spacing w:line="504" w:lineRule="auto"/>
              <w:jc w:val="left"/>
              <w:rPr>
                <w:rFonts w:hint="eastAsia" w:ascii="宋体" w:hAnsi="宋体" w:eastAsia="宋体" w:cs="宋体"/>
                <w:color w:val="auto"/>
                <w:szCs w:val="21"/>
                <w:shd w:val="clear" w:color="auto" w:fill="auto"/>
                <w:lang w:eastAsia="zh-CN"/>
              </w:rPr>
            </w:pPr>
            <w:r>
              <w:rPr>
                <w:rFonts w:hint="eastAsia" w:ascii="宋体" w:hAnsi="宋体" w:eastAsia="宋体" w:cs="宋体"/>
                <w:color w:val="auto"/>
                <w:szCs w:val="21"/>
                <w:shd w:val="clear" w:color="auto" w:fill="auto"/>
              </w:rPr>
              <w:t>联系人：</w:t>
            </w:r>
            <w:r>
              <w:rPr>
                <w:rFonts w:hint="eastAsia" w:ascii="宋体" w:hAnsi="宋体" w:cs="宋体"/>
                <w:color w:val="auto"/>
                <w:szCs w:val="21"/>
                <w:shd w:val="clear" w:color="auto" w:fill="auto"/>
                <w:lang w:eastAsia="zh-CN"/>
              </w:rPr>
              <w:t>吕工</w:t>
            </w:r>
          </w:p>
          <w:p>
            <w:pPr>
              <w:snapToGrid w:val="0"/>
              <w:spacing w:line="504" w:lineRule="auto"/>
              <w:jc w:val="left"/>
              <w:rPr>
                <w:rFonts w:hint="default" w:ascii="宋体" w:hAnsi="宋体" w:eastAsia="宋体" w:cs="宋体"/>
                <w:color w:val="auto"/>
                <w:szCs w:val="21"/>
                <w:lang w:val="en-US" w:eastAsia="zh-CN"/>
              </w:rPr>
            </w:pPr>
            <w:r>
              <w:rPr>
                <w:rFonts w:hint="eastAsia" w:ascii="宋体" w:hAnsi="宋体" w:eastAsia="宋体" w:cs="宋体"/>
                <w:color w:val="auto"/>
                <w:szCs w:val="21"/>
                <w:shd w:val="clear" w:color="auto" w:fill="auto"/>
              </w:rPr>
              <w:t xml:space="preserve">电话： </w:t>
            </w:r>
            <w:r>
              <w:rPr>
                <w:rFonts w:hint="eastAsia" w:ascii="宋体" w:hAnsi="宋体" w:cs="宋体"/>
                <w:color w:val="auto"/>
                <w:szCs w:val="21"/>
                <w:shd w:val="clear" w:color="auto" w:fill="auto"/>
                <w:lang w:val="en-US" w:eastAsia="zh-CN"/>
              </w:rPr>
              <w:t>0771-5318290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pStyle w:val="15"/>
              <w:snapToGrid w:val="0"/>
              <w:spacing w:line="504" w:lineRule="auto"/>
              <w:jc w:val="center"/>
              <w:rPr>
                <w:rFonts w:hAnsi="宋体" w:cs="宋体"/>
                <w:kern w:val="0"/>
                <w:szCs w:val="21"/>
              </w:rPr>
            </w:pPr>
            <w:r>
              <w:rPr>
                <w:rFonts w:hint="eastAsia" w:hAnsi="宋体" w:cs="宋体"/>
                <w:kern w:val="0"/>
                <w:szCs w:val="21"/>
              </w:rPr>
              <w:t>1.2</w:t>
            </w:r>
          </w:p>
        </w:tc>
        <w:tc>
          <w:tcPr>
            <w:tcW w:w="2539" w:type="dxa"/>
            <w:vAlign w:val="center"/>
          </w:tcPr>
          <w:p>
            <w:pPr>
              <w:pStyle w:val="15"/>
              <w:snapToGrid w:val="0"/>
              <w:spacing w:line="504" w:lineRule="auto"/>
              <w:jc w:val="center"/>
              <w:rPr>
                <w:rFonts w:hAnsi="宋体" w:cs="宋体"/>
                <w:kern w:val="0"/>
                <w:szCs w:val="21"/>
              </w:rPr>
            </w:pPr>
            <w:r>
              <w:rPr>
                <w:rFonts w:hint="eastAsia" w:hAnsi="宋体" w:cs="宋体"/>
                <w:kern w:val="0"/>
                <w:szCs w:val="21"/>
              </w:rPr>
              <w:t>采购代理机构</w:t>
            </w:r>
          </w:p>
        </w:tc>
        <w:tc>
          <w:tcPr>
            <w:tcW w:w="6676" w:type="dxa"/>
            <w:vAlign w:val="center"/>
          </w:tcPr>
          <w:p>
            <w:pPr>
              <w:snapToGrid w:val="0"/>
              <w:spacing w:line="504" w:lineRule="auto"/>
              <w:jc w:val="left"/>
              <w:rPr>
                <w:rFonts w:hint="eastAsia" w:ascii="宋体" w:hAnsi="宋体" w:eastAsia="宋体" w:cs="宋体"/>
                <w:color w:val="auto"/>
                <w:szCs w:val="21"/>
              </w:rPr>
            </w:pPr>
            <w:r>
              <w:rPr>
                <w:rFonts w:hint="eastAsia" w:ascii="宋体" w:hAnsi="宋体" w:eastAsia="宋体" w:cs="宋体"/>
                <w:color w:val="auto"/>
                <w:szCs w:val="21"/>
              </w:rPr>
              <w:t xml:space="preserve">名称：上海正弘建设工程顾问有限公司 </w:t>
            </w:r>
          </w:p>
          <w:p>
            <w:pPr>
              <w:snapToGrid w:val="0"/>
              <w:spacing w:line="504" w:lineRule="auto"/>
              <w:jc w:val="left"/>
              <w:rPr>
                <w:rFonts w:hint="eastAsia" w:ascii="宋体" w:hAnsi="宋体" w:eastAsia="宋体" w:cs="宋体"/>
                <w:color w:val="auto"/>
                <w:szCs w:val="21"/>
              </w:rPr>
            </w:pPr>
            <w:r>
              <w:rPr>
                <w:rFonts w:hint="eastAsia" w:ascii="宋体" w:hAnsi="宋体" w:eastAsia="宋体" w:cs="宋体"/>
                <w:color w:val="auto"/>
                <w:szCs w:val="21"/>
              </w:rPr>
              <w:t>地址：南宁市青秀区东葛路163号绿地中央广场B1栋9层（东面） </w:t>
            </w:r>
          </w:p>
          <w:p>
            <w:pPr>
              <w:snapToGrid w:val="0"/>
              <w:spacing w:line="504" w:lineRule="auto"/>
              <w:jc w:val="left"/>
              <w:rPr>
                <w:rFonts w:hint="eastAsia" w:ascii="宋体" w:hAnsi="宋体" w:eastAsia="宋体" w:cs="宋体"/>
                <w:color w:val="auto"/>
                <w:szCs w:val="21"/>
              </w:rPr>
            </w:pPr>
            <w:r>
              <w:rPr>
                <w:rFonts w:hint="eastAsia" w:ascii="宋体" w:hAnsi="宋体" w:eastAsia="宋体" w:cs="宋体"/>
                <w:color w:val="auto"/>
                <w:szCs w:val="21"/>
              </w:rPr>
              <w:t>项目联系人：李冬宁</w:t>
            </w:r>
          </w:p>
          <w:p>
            <w:pPr>
              <w:snapToGrid w:val="0"/>
              <w:spacing w:line="504" w:lineRule="auto"/>
              <w:jc w:val="left"/>
              <w:rPr>
                <w:rFonts w:ascii="宋体" w:hAnsi="宋体" w:cs="宋体"/>
                <w:color w:val="auto"/>
                <w:kern w:val="0"/>
                <w:szCs w:val="21"/>
              </w:rPr>
            </w:pPr>
            <w:r>
              <w:rPr>
                <w:rFonts w:hint="eastAsia" w:ascii="宋体" w:hAnsi="宋体" w:eastAsia="宋体" w:cs="宋体"/>
                <w:color w:val="auto"/>
                <w:szCs w:val="21"/>
              </w:rPr>
              <w:t>联系电话：0771-5300530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904" w:type="dxa"/>
            <w:vAlign w:val="center"/>
          </w:tcPr>
          <w:p>
            <w:pPr>
              <w:jc w:val="center"/>
              <w:rPr>
                <w:rFonts w:ascii="宋体" w:hAnsi="宋体" w:cs="宋体"/>
                <w:szCs w:val="21"/>
              </w:rPr>
            </w:pPr>
            <w:r>
              <w:rPr>
                <w:rFonts w:hint="eastAsia" w:ascii="宋体" w:hAnsi="宋体" w:cs="宋体"/>
                <w:szCs w:val="21"/>
              </w:rPr>
              <w:t>1.3</w:t>
            </w:r>
          </w:p>
        </w:tc>
        <w:tc>
          <w:tcPr>
            <w:tcW w:w="2539" w:type="dxa"/>
            <w:vAlign w:val="center"/>
          </w:tcPr>
          <w:p>
            <w:pPr>
              <w:jc w:val="center"/>
              <w:rPr>
                <w:rFonts w:ascii="宋体" w:hAnsi="宋体" w:cs="宋体"/>
                <w:szCs w:val="21"/>
              </w:rPr>
            </w:pPr>
            <w:r>
              <w:rPr>
                <w:rFonts w:hint="eastAsia" w:ascii="宋体" w:hAnsi="宋体" w:cs="宋体"/>
                <w:szCs w:val="21"/>
              </w:rPr>
              <w:t>项目名称</w:t>
            </w:r>
          </w:p>
        </w:tc>
        <w:tc>
          <w:tcPr>
            <w:tcW w:w="6676" w:type="dxa"/>
            <w:vAlign w:val="center"/>
          </w:tcPr>
          <w:p>
            <w:pPr>
              <w:jc w:val="left"/>
              <w:rPr>
                <w:rFonts w:ascii="宋体" w:hAnsi="宋体" w:cs="宋体"/>
                <w:szCs w:val="21"/>
              </w:rPr>
            </w:pPr>
            <w:r>
              <w:rPr>
                <w:rFonts w:hint="eastAsia" w:ascii="宋体" w:hAnsi="宋体" w:eastAsia="宋体" w:cs="宋体"/>
                <w:szCs w:val="21"/>
                <w:lang w:val="en-US" w:eastAsia="zh-CN"/>
              </w:rPr>
              <w:t>2025年野外、应急仪器设备及实验室辅助设施维护管理项目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904" w:type="dxa"/>
            <w:vAlign w:val="center"/>
          </w:tcPr>
          <w:p>
            <w:pPr>
              <w:jc w:val="center"/>
              <w:rPr>
                <w:rFonts w:ascii="宋体" w:hAnsi="宋体" w:cs="宋体"/>
                <w:szCs w:val="21"/>
              </w:rPr>
            </w:pPr>
            <w:r>
              <w:rPr>
                <w:rFonts w:hint="eastAsia" w:ascii="宋体" w:hAnsi="宋体" w:cs="宋体"/>
                <w:szCs w:val="21"/>
              </w:rPr>
              <w:t>1.4</w:t>
            </w:r>
          </w:p>
        </w:tc>
        <w:tc>
          <w:tcPr>
            <w:tcW w:w="2539" w:type="dxa"/>
            <w:vAlign w:val="center"/>
          </w:tcPr>
          <w:p>
            <w:pPr>
              <w:jc w:val="center"/>
              <w:rPr>
                <w:rFonts w:ascii="宋体" w:hAnsi="宋体" w:cs="宋体"/>
                <w:szCs w:val="21"/>
              </w:rPr>
            </w:pPr>
            <w:r>
              <w:rPr>
                <w:rFonts w:hint="eastAsia" w:ascii="宋体" w:hAnsi="宋体" w:cs="宋体"/>
                <w:szCs w:val="21"/>
              </w:rPr>
              <w:t>项目编号</w:t>
            </w:r>
          </w:p>
        </w:tc>
        <w:tc>
          <w:tcPr>
            <w:tcW w:w="6676" w:type="dxa"/>
            <w:vAlign w:val="center"/>
          </w:tcPr>
          <w:p>
            <w:pPr>
              <w:rPr>
                <w:rFonts w:hint="default" w:ascii="宋体" w:hAnsi="宋体" w:eastAsia="宋体" w:cs="宋体"/>
                <w:szCs w:val="21"/>
                <w:lang w:val="en-US" w:eastAsia="zh-CN"/>
              </w:rPr>
            </w:pPr>
            <w:r>
              <w:rPr>
                <w:rFonts w:hint="eastAsia" w:ascii="宋体" w:hAnsi="宋体" w:cs="宋体"/>
                <w:szCs w:val="21"/>
              </w:rPr>
              <w:t>ZHGX-202</w:t>
            </w:r>
            <w:r>
              <w:rPr>
                <w:rFonts w:hint="eastAsia" w:ascii="宋体" w:hAnsi="宋体" w:cs="宋体"/>
                <w:szCs w:val="21"/>
                <w:lang w:val="en-US" w:eastAsia="zh-CN"/>
              </w:rPr>
              <w:t>5</w:t>
            </w:r>
            <w:r>
              <w:rPr>
                <w:rFonts w:hint="eastAsia" w:ascii="宋体" w:hAnsi="宋体" w:cs="宋体"/>
                <w:szCs w:val="21"/>
              </w:rPr>
              <w:t>-0</w:t>
            </w:r>
            <w:r>
              <w:rPr>
                <w:rFonts w:hint="eastAsia" w:ascii="宋体" w:hAnsi="宋体" w:cs="宋体"/>
                <w:szCs w:val="21"/>
                <w:lang w:val="en-US" w:eastAsia="zh-CN"/>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904" w:type="dxa"/>
            <w:vAlign w:val="center"/>
          </w:tcPr>
          <w:p>
            <w:pPr>
              <w:jc w:val="center"/>
              <w:rPr>
                <w:rFonts w:ascii="宋体" w:hAnsi="宋体" w:cs="宋体"/>
                <w:szCs w:val="21"/>
              </w:rPr>
            </w:pPr>
            <w:r>
              <w:rPr>
                <w:rFonts w:hint="eastAsia" w:ascii="宋体" w:hAnsi="宋体" w:cs="宋体"/>
                <w:szCs w:val="21"/>
              </w:rPr>
              <w:t>1.5</w:t>
            </w:r>
          </w:p>
        </w:tc>
        <w:tc>
          <w:tcPr>
            <w:tcW w:w="2539" w:type="dxa"/>
            <w:vAlign w:val="center"/>
          </w:tcPr>
          <w:p>
            <w:pPr>
              <w:jc w:val="center"/>
              <w:rPr>
                <w:rFonts w:hint="eastAsia" w:ascii="宋体" w:hAnsi="宋体" w:eastAsia="宋体" w:cs="宋体"/>
                <w:szCs w:val="21"/>
              </w:rPr>
            </w:pPr>
            <w:r>
              <w:rPr>
                <w:rFonts w:hint="eastAsia" w:ascii="宋体" w:hAnsi="宋体" w:eastAsia="宋体" w:cs="宋体"/>
                <w:szCs w:val="21"/>
              </w:rPr>
              <w:t>采购预算</w:t>
            </w:r>
          </w:p>
        </w:tc>
        <w:tc>
          <w:tcPr>
            <w:tcW w:w="6676" w:type="dxa"/>
            <w:vAlign w:val="center"/>
          </w:tcPr>
          <w:p>
            <w:pPr>
              <w:jc w:val="both"/>
              <w:rPr>
                <w:rFonts w:hint="eastAsia" w:ascii="宋体" w:hAnsi="宋体" w:eastAsia="宋体" w:cs="宋体"/>
                <w:szCs w:val="21"/>
              </w:rPr>
            </w:pPr>
            <w:r>
              <w:rPr>
                <w:rFonts w:hint="eastAsia" w:ascii="宋体" w:hAnsi="宋体" w:eastAsia="宋体" w:cs="宋体"/>
                <w:szCs w:val="21"/>
              </w:rPr>
              <w:t>人民币</w:t>
            </w:r>
            <w:r>
              <w:rPr>
                <w:rFonts w:hint="eastAsia" w:ascii="宋体" w:hAnsi="宋体" w:eastAsia="宋体" w:cs="宋体"/>
                <w:szCs w:val="21"/>
                <w:lang w:val="en-US" w:eastAsia="zh-CN"/>
              </w:rPr>
              <w:t>41万元（其中分包一预算：11万元；分包二</w:t>
            </w:r>
            <w:r>
              <w:rPr>
                <w:rFonts w:hint="default" w:ascii="宋体" w:hAnsi="宋体" w:eastAsia="宋体" w:cs="宋体"/>
                <w:szCs w:val="21"/>
                <w:lang w:val="en-US" w:eastAsia="zh-CN"/>
              </w:rPr>
              <w:t>预算：30万</w:t>
            </w:r>
            <w:r>
              <w:rPr>
                <w:rFonts w:hint="eastAsia" w:ascii="宋体" w:hAnsi="宋体" w:eastAsia="宋体" w:cs="宋体"/>
                <w:szCs w:val="21"/>
                <w:lang w:val="en-US" w:eastAsia="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pStyle w:val="15"/>
              <w:snapToGrid w:val="0"/>
              <w:spacing w:line="504" w:lineRule="auto"/>
              <w:jc w:val="center"/>
              <w:rPr>
                <w:rFonts w:hAnsi="宋体" w:cs="宋体"/>
                <w:kern w:val="0"/>
                <w:szCs w:val="21"/>
              </w:rPr>
            </w:pPr>
            <w:r>
              <w:rPr>
                <w:rFonts w:hint="eastAsia" w:hAnsi="宋体" w:cs="宋体"/>
                <w:kern w:val="0"/>
                <w:szCs w:val="21"/>
              </w:rPr>
              <w:t>1.7</w:t>
            </w:r>
          </w:p>
        </w:tc>
        <w:tc>
          <w:tcPr>
            <w:tcW w:w="2539" w:type="dxa"/>
            <w:vAlign w:val="center"/>
          </w:tcPr>
          <w:p>
            <w:pPr>
              <w:pStyle w:val="15"/>
              <w:snapToGrid w:val="0"/>
              <w:spacing w:line="504" w:lineRule="auto"/>
              <w:jc w:val="left"/>
              <w:rPr>
                <w:rFonts w:hAnsi="宋体" w:cs="宋体"/>
                <w:kern w:val="0"/>
                <w:szCs w:val="21"/>
              </w:rPr>
            </w:pPr>
            <w:r>
              <w:rPr>
                <w:rFonts w:hint="eastAsia" w:hAnsi="宋体" w:cs="宋体"/>
                <w:kern w:val="0"/>
                <w:szCs w:val="21"/>
              </w:rPr>
              <w:t>获取竞争性磋商文件的时间、地点、方式及竞争性磋商文件售价</w:t>
            </w:r>
          </w:p>
        </w:tc>
        <w:tc>
          <w:tcPr>
            <w:tcW w:w="6676" w:type="dxa"/>
            <w:vAlign w:val="center"/>
          </w:tcPr>
          <w:p>
            <w:pPr>
              <w:numPr>
                <w:ilvl w:val="0"/>
                <w:numId w:val="0"/>
              </w:numPr>
              <w:spacing w:line="504" w:lineRule="auto"/>
              <w:rPr>
                <w:rFonts w:ascii="宋体" w:hAnsi="宋体" w:cs="宋体"/>
                <w:szCs w:val="21"/>
              </w:rPr>
            </w:pPr>
            <w:r>
              <w:rPr>
                <w:rFonts w:hint="eastAsia" w:ascii="宋体" w:hAnsi="宋体" w:cs="宋体"/>
                <w:szCs w:val="21"/>
                <w:lang w:eastAsia="zh-CN"/>
              </w:rPr>
              <w:t>详见公告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jc w:val="center"/>
              <w:rPr>
                <w:rFonts w:ascii="宋体" w:hAnsi="宋体" w:cs="宋体"/>
                <w:szCs w:val="21"/>
              </w:rPr>
            </w:pPr>
            <w:r>
              <w:rPr>
                <w:rFonts w:hint="eastAsia" w:ascii="宋体" w:hAnsi="宋体" w:cs="宋体"/>
                <w:szCs w:val="21"/>
              </w:rPr>
              <w:t>1.8</w:t>
            </w:r>
          </w:p>
        </w:tc>
        <w:tc>
          <w:tcPr>
            <w:tcW w:w="2539" w:type="dxa"/>
            <w:vAlign w:val="center"/>
          </w:tcPr>
          <w:p>
            <w:pPr>
              <w:jc w:val="center"/>
              <w:rPr>
                <w:rFonts w:ascii="宋体" w:hAnsi="宋体" w:cs="宋体"/>
                <w:szCs w:val="21"/>
              </w:rPr>
            </w:pPr>
            <w:r>
              <w:rPr>
                <w:rFonts w:hint="eastAsia" w:ascii="宋体" w:hAnsi="宋体" w:cs="宋体"/>
                <w:szCs w:val="21"/>
              </w:rPr>
              <w:t>预留采购份额</w:t>
            </w:r>
          </w:p>
        </w:tc>
        <w:tc>
          <w:tcPr>
            <w:tcW w:w="6676" w:type="dxa"/>
            <w:vAlign w:val="center"/>
          </w:tcPr>
          <w:p>
            <w:pPr>
              <w:spacing w:line="504" w:lineRule="auto"/>
              <w:jc w:val="left"/>
              <w:rPr>
                <w:rFonts w:ascii="宋体" w:hAnsi="宋体" w:cs="宋体"/>
                <w:szCs w:val="21"/>
              </w:rPr>
            </w:pPr>
            <w:r>
              <w:rPr>
                <w:rFonts w:hint="eastAsia" w:ascii="宋体" w:hAnsi="宋体" w:cs="宋体"/>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pStyle w:val="15"/>
              <w:snapToGrid w:val="0"/>
              <w:spacing w:line="504" w:lineRule="auto"/>
              <w:jc w:val="center"/>
              <w:rPr>
                <w:rFonts w:hAnsi="宋体" w:cs="宋体"/>
                <w:kern w:val="0"/>
                <w:szCs w:val="21"/>
              </w:rPr>
            </w:pPr>
            <w:r>
              <w:rPr>
                <w:rFonts w:hint="eastAsia" w:hAnsi="宋体" w:cs="宋体"/>
                <w:kern w:val="0"/>
                <w:szCs w:val="21"/>
              </w:rPr>
              <w:t>3.2</w:t>
            </w:r>
          </w:p>
        </w:tc>
        <w:tc>
          <w:tcPr>
            <w:tcW w:w="2539" w:type="dxa"/>
            <w:vAlign w:val="center"/>
          </w:tcPr>
          <w:p>
            <w:pPr>
              <w:pStyle w:val="15"/>
              <w:snapToGrid w:val="0"/>
              <w:spacing w:line="504" w:lineRule="auto"/>
              <w:jc w:val="center"/>
              <w:rPr>
                <w:rFonts w:hAnsi="宋体" w:cs="宋体"/>
                <w:kern w:val="0"/>
                <w:szCs w:val="21"/>
              </w:rPr>
            </w:pPr>
            <w:r>
              <w:rPr>
                <w:rFonts w:hint="eastAsia" w:hAnsi="宋体" w:cs="宋体"/>
                <w:kern w:val="0"/>
                <w:szCs w:val="21"/>
              </w:rPr>
              <w:t>磋商供应商应具备的资格条件</w:t>
            </w:r>
          </w:p>
        </w:tc>
        <w:tc>
          <w:tcPr>
            <w:tcW w:w="6676" w:type="dxa"/>
            <w:vAlign w:val="center"/>
          </w:tcPr>
          <w:p>
            <w:pPr>
              <w:snapToGrid w:val="0"/>
              <w:spacing w:line="480" w:lineRule="exac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申请人的资格要求：</w:t>
            </w:r>
          </w:p>
          <w:p>
            <w:pPr>
              <w:snapToGrid w:val="0"/>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1、满足《中华人民共和国政府采购法》第二十二条规定。</w:t>
            </w:r>
          </w:p>
          <w:p>
            <w:pPr>
              <w:snapToGrid w:val="0"/>
              <w:spacing w:line="48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2、落实政府采购政策需满足的资格要求：</w:t>
            </w:r>
            <w:r>
              <w:rPr>
                <w:rFonts w:hint="eastAsia" w:ascii="宋体" w:hAnsi="宋体" w:eastAsia="宋体" w:cs="宋体"/>
                <w:color w:val="auto"/>
                <w:szCs w:val="21"/>
                <w:highlight w:val="none"/>
                <w:lang w:eastAsia="zh-CN"/>
              </w:rPr>
              <w:t>无。</w:t>
            </w:r>
          </w:p>
          <w:p>
            <w:pPr>
              <w:snapToGrid w:val="0"/>
              <w:spacing w:line="48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3、本项目的特定资格要求：</w:t>
            </w:r>
            <w:r>
              <w:rPr>
                <w:rFonts w:hint="eastAsia" w:ascii="宋体" w:hAnsi="宋体" w:eastAsia="宋体" w:cs="宋体"/>
                <w:color w:val="auto"/>
                <w:szCs w:val="21"/>
                <w:highlight w:val="none"/>
                <w:lang w:val="en-US" w:eastAsia="zh-CN"/>
              </w:rPr>
              <w:t>无</w:t>
            </w:r>
            <w:r>
              <w:rPr>
                <w:rFonts w:hint="eastAsia" w:ascii="宋体" w:hAnsi="宋体" w:eastAsia="宋体" w:cs="宋体"/>
                <w:color w:val="auto"/>
                <w:szCs w:val="21"/>
                <w:highlight w:val="none"/>
              </w:rPr>
              <w:t>。</w:t>
            </w:r>
          </w:p>
          <w:p>
            <w:pPr>
              <w:snapToGrid w:val="0"/>
              <w:spacing w:line="480" w:lineRule="exact"/>
              <w:ind w:firstLine="420" w:firstLineChars="200"/>
              <w:rPr>
                <w:rFonts w:ascii="宋体" w:hAnsi="宋体" w:cs="宋体"/>
                <w:szCs w:val="21"/>
              </w:rPr>
            </w:pPr>
            <w:r>
              <w:rPr>
                <w:rFonts w:hint="eastAsia" w:ascii="宋体" w:hAnsi="宋体" w:eastAsia="宋体" w:cs="宋体"/>
                <w:color w:val="auto"/>
                <w:szCs w:val="21"/>
                <w:highlight w:val="none"/>
              </w:rPr>
              <w:t>4、对在“信用中国”</w:t>
            </w:r>
            <w:r>
              <w:rPr>
                <w:rFonts w:hint="eastAsia" w:ascii="宋体" w:hAnsi="宋体" w:cs="宋体"/>
                <w:color w:val="auto"/>
                <w:szCs w:val="21"/>
                <w:highlight w:val="none"/>
              </w:rPr>
              <w:t>网站(www.creditchina.gov.cn)、中国政</w:t>
            </w:r>
            <w:r>
              <w:rPr>
                <w:rFonts w:hint="eastAsia" w:ascii="宋体" w:hAnsi="宋体" w:cs="宋体"/>
                <w:szCs w:val="21"/>
              </w:rPr>
              <w:t>府采购网(www.ccgp.gov.cn)等渠道列入失信被执行人、重大税收违法案件当事人名单、政府采购严重违法失信行为记录名单及其他不符合《中华人民共和国政府采购法》第二十二条规定条件的供应商，将被拒绝参与本次采购活动。</w:t>
            </w:r>
          </w:p>
          <w:p>
            <w:pPr>
              <w:snapToGrid w:val="0"/>
              <w:spacing w:line="480" w:lineRule="exact"/>
              <w:ind w:firstLine="420" w:firstLineChars="200"/>
              <w:rPr>
                <w:rFonts w:ascii="宋体" w:hAnsi="宋体" w:cs="宋体"/>
                <w:szCs w:val="21"/>
              </w:rPr>
            </w:pPr>
            <w:r>
              <w:rPr>
                <w:rFonts w:hint="eastAsia" w:ascii="宋体" w:hAnsi="宋体" w:cs="宋体"/>
                <w:szCs w:val="21"/>
              </w:rPr>
              <w:t>5、单位负责人为同一人或者存在直接控股、管理关系的不同供应商，不得参加同一合同项下的采购活动。除单一来源采购项目外，为采购项目提供整体设计、规范编制或者项目管理、监理、检测等服务的供应商，不得再参加该采购项目的其他采购活动。</w:t>
            </w:r>
          </w:p>
          <w:p>
            <w:pPr>
              <w:snapToGrid w:val="0"/>
              <w:spacing w:line="480" w:lineRule="exact"/>
              <w:ind w:firstLine="420" w:firstLineChars="200"/>
              <w:rPr>
                <w:rFonts w:ascii="宋体" w:hAnsi="宋体" w:cs="宋体"/>
                <w:szCs w:val="21"/>
              </w:rPr>
            </w:pPr>
            <w:r>
              <w:rPr>
                <w:rFonts w:hint="eastAsia" w:ascii="宋体" w:hAnsi="宋体" w:cs="宋体"/>
                <w:szCs w:val="21"/>
              </w:rPr>
              <w:t>6、本项目不接受联合体。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pStyle w:val="15"/>
              <w:snapToGrid w:val="0"/>
              <w:spacing w:line="504" w:lineRule="auto"/>
              <w:jc w:val="center"/>
              <w:rPr>
                <w:rFonts w:hAnsi="宋体" w:cs="宋体"/>
                <w:kern w:val="0"/>
                <w:szCs w:val="21"/>
              </w:rPr>
            </w:pPr>
            <w:r>
              <w:rPr>
                <w:rFonts w:hint="eastAsia" w:hAnsi="宋体" w:cs="宋体"/>
                <w:kern w:val="0"/>
                <w:szCs w:val="21"/>
              </w:rPr>
              <w:t>4.2</w:t>
            </w:r>
          </w:p>
        </w:tc>
        <w:tc>
          <w:tcPr>
            <w:tcW w:w="2539" w:type="dxa"/>
            <w:vAlign w:val="center"/>
          </w:tcPr>
          <w:p>
            <w:pPr>
              <w:pStyle w:val="15"/>
              <w:snapToGrid w:val="0"/>
              <w:spacing w:line="504" w:lineRule="auto"/>
              <w:jc w:val="center"/>
              <w:rPr>
                <w:rFonts w:hAnsi="宋体" w:cs="宋体"/>
                <w:kern w:val="0"/>
                <w:szCs w:val="21"/>
              </w:rPr>
            </w:pPr>
            <w:r>
              <w:rPr>
                <w:rFonts w:hint="eastAsia" w:hAnsi="宋体" w:cs="宋体"/>
                <w:kern w:val="0"/>
                <w:szCs w:val="21"/>
              </w:rPr>
              <w:t>质疑受理</w:t>
            </w:r>
          </w:p>
        </w:tc>
        <w:tc>
          <w:tcPr>
            <w:tcW w:w="6676" w:type="dxa"/>
            <w:vAlign w:val="center"/>
          </w:tcPr>
          <w:p>
            <w:pPr>
              <w:widowControl/>
              <w:shd w:val="clear" w:color="auto" w:fill="FFFFFF"/>
              <w:snapToGrid w:val="0"/>
              <w:spacing w:line="504" w:lineRule="auto"/>
              <w:jc w:val="left"/>
              <w:rPr>
                <w:rFonts w:ascii="宋体" w:hAnsi="宋体" w:cs="宋体"/>
                <w:szCs w:val="21"/>
              </w:rPr>
            </w:pPr>
            <w:r>
              <w:rPr>
                <w:rFonts w:hint="eastAsia" w:ascii="宋体" w:hAnsi="宋体" w:cs="宋体"/>
                <w:szCs w:val="21"/>
              </w:rPr>
              <w:t>质疑书的提交地点：上海正弘建设工程顾问有限公司 （地址：南宁市青秀区东葛路</w:t>
            </w:r>
            <w:r>
              <w:rPr>
                <w:rFonts w:ascii="宋体" w:hAnsi="宋体" w:cs="宋体"/>
                <w:szCs w:val="21"/>
              </w:rPr>
              <w:t>163</w:t>
            </w:r>
            <w:r>
              <w:rPr>
                <w:rFonts w:hint="eastAsia" w:ascii="宋体" w:hAnsi="宋体" w:cs="宋体"/>
                <w:szCs w:val="21"/>
              </w:rPr>
              <w:t>号绿地中央广场</w:t>
            </w:r>
            <w:r>
              <w:rPr>
                <w:rFonts w:ascii="宋体" w:hAnsi="宋体" w:cs="宋体"/>
                <w:szCs w:val="21"/>
              </w:rPr>
              <w:t>B1</w:t>
            </w:r>
            <w:r>
              <w:rPr>
                <w:rFonts w:hint="eastAsia" w:ascii="宋体" w:hAnsi="宋体" w:cs="宋体"/>
                <w:szCs w:val="21"/>
              </w:rPr>
              <w:t>栋</w:t>
            </w:r>
            <w:r>
              <w:rPr>
                <w:rFonts w:ascii="宋体" w:hAnsi="宋体" w:cs="宋体"/>
                <w:szCs w:val="21"/>
              </w:rPr>
              <w:t>9</w:t>
            </w:r>
            <w:r>
              <w:rPr>
                <w:rFonts w:hint="eastAsia" w:ascii="宋体" w:hAnsi="宋体" w:cs="宋体"/>
                <w:szCs w:val="21"/>
              </w:rPr>
              <w:t>层（东面））</w:t>
            </w:r>
          </w:p>
          <w:p>
            <w:pPr>
              <w:widowControl/>
              <w:shd w:val="clear" w:color="auto" w:fill="FFFFFF"/>
              <w:snapToGrid w:val="0"/>
              <w:spacing w:line="504" w:lineRule="auto"/>
              <w:jc w:val="left"/>
              <w:rPr>
                <w:rFonts w:ascii="宋体" w:hAnsi="宋体" w:cs="宋体"/>
                <w:kern w:val="0"/>
                <w:szCs w:val="21"/>
              </w:rPr>
            </w:pPr>
            <w:r>
              <w:rPr>
                <w:rFonts w:hint="eastAsia" w:ascii="宋体" w:hAnsi="宋体" w:cs="宋体"/>
                <w:szCs w:val="21"/>
              </w:rPr>
              <w:t>质疑受理电话：</w:t>
            </w:r>
            <w:r>
              <w:rPr>
                <w:rFonts w:ascii="宋体" w:hAnsi="宋体" w:cs="宋体"/>
                <w:szCs w:val="21"/>
              </w:rPr>
              <w:t>0771-5300530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pStyle w:val="15"/>
              <w:snapToGrid w:val="0"/>
              <w:spacing w:line="504" w:lineRule="auto"/>
              <w:jc w:val="center"/>
              <w:rPr>
                <w:rFonts w:hAnsi="宋体" w:cs="宋体"/>
                <w:kern w:val="0"/>
                <w:szCs w:val="21"/>
              </w:rPr>
            </w:pPr>
            <w:r>
              <w:rPr>
                <w:rFonts w:hint="eastAsia" w:hAnsi="宋体" w:cs="宋体"/>
                <w:kern w:val="0"/>
                <w:szCs w:val="21"/>
              </w:rPr>
              <w:t>8.8</w:t>
            </w:r>
          </w:p>
        </w:tc>
        <w:tc>
          <w:tcPr>
            <w:tcW w:w="2539" w:type="dxa"/>
            <w:vAlign w:val="center"/>
          </w:tcPr>
          <w:p>
            <w:pPr>
              <w:pStyle w:val="15"/>
              <w:snapToGrid w:val="0"/>
              <w:spacing w:line="504" w:lineRule="auto"/>
              <w:jc w:val="center"/>
              <w:rPr>
                <w:rFonts w:hAnsi="宋体" w:cs="宋体"/>
                <w:kern w:val="0"/>
                <w:szCs w:val="21"/>
              </w:rPr>
            </w:pPr>
            <w:r>
              <w:rPr>
                <w:rFonts w:hint="eastAsia" w:hAnsi="宋体" w:cs="宋体"/>
                <w:kern w:val="0"/>
                <w:szCs w:val="21"/>
              </w:rPr>
              <w:t>响应文件份数</w:t>
            </w:r>
          </w:p>
        </w:tc>
        <w:tc>
          <w:tcPr>
            <w:tcW w:w="6676" w:type="dxa"/>
            <w:vAlign w:val="center"/>
          </w:tcPr>
          <w:p>
            <w:pPr>
              <w:pStyle w:val="15"/>
              <w:snapToGrid w:val="0"/>
              <w:spacing w:line="504" w:lineRule="auto"/>
              <w:jc w:val="left"/>
              <w:rPr>
                <w:rFonts w:hint="eastAsia" w:ascii="宋体" w:hAnsi="宋体" w:eastAsia="宋体" w:cs="宋体"/>
                <w:szCs w:val="21"/>
                <w:lang w:eastAsia="zh-CN"/>
              </w:rPr>
            </w:pPr>
            <w:r>
              <w:rPr>
                <w:rFonts w:hint="eastAsia" w:hAnsi="宋体" w:cs="宋体"/>
                <w:szCs w:val="21"/>
              </w:rPr>
              <w:t>报价文件：正</w:t>
            </w:r>
            <w:r>
              <w:rPr>
                <w:rFonts w:hint="eastAsia" w:ascii="宋体" w:hAnsi="宋体" w:eastAsia="宋体" w:cs="宋体"/>
                <w:szCs w:val="21"/>
              </w:rPr>
              <w:t>本1份，副本</w:t>
            </w:r>
            <w:r>
              <w:rPr>
                <w:rFonts w:hint="eastAsia" w:ascii="宋体" w:hAnsi="宋体" w:eastAsia="宋体" w:cs="宋体"/>
                <w:szCs w:val="21"/>
                <w:lang w:val="en-US" w:eastAsia="zh-CN"/>
              </w:rPr>
              <w:t>2</w:t>
            </w:r>
            <w:r>
              <w:rPr>
                <w:rFonts w:hint="eastAsia" w:ascii="宋体" w:hAnsi="宋体" w:eastAsia="宋体" w:cs="宋体"/>
                <w:szCs w:val="21"/>
              </w:rPr>
              <w:t>份</w:t>
            </w:r>
            <w:r>
              <w:rPr>
                <w:rFonts w:hint="eastAsia" w:hAnsi="宋体" w:cs="宋体"/>
                <w:szCs w:val="21"/>
                <w:lang w:eastAsia="zh-CN"/>
              </w:rPr>
              <w:t>；</w:t>
            </w:r>
          </w:p>
          <w:p>
            <w:pPr>
              <w:pStyle w:val="15"/>
              <w:snapToGrid w:val="0"/>
              <w:spacing w:line="504" w:lineRule="auto"/>
              <w:jc w:val="left"/>
              <w:rPr>
                <w:rFonts w:hint="eastAsia" w:ascii="宋体" w:hAnsi="宋体" w:eastAsia="宋体" w:cs="宋体"/>
                <w:szCs w:val="21"/>
                <w:lang w:eastAsia="zh-CN"/>
              </w:rPr>
            </w:pPr>
            <w:r>
              <w:rPr>
                <w:rFonts w:hint="eastAsia" w:ascii="宋体" w:hAnsi="宋体" w:eastAsia="宋体" w:cs="宋体"/>
                <w:szCs w:val="21"/>
              </w:rPr>
              <w:t>商务文件：正本1份，副本</w:t>
            </w:r>
            <w:r>
              <w:rPr>
                <w:rFonts w:hint="eastAsia" w:ascii="宋体" w:hAnsi="宋体" w:eastAsia="宋体" w:cs="宋体"/>
                <w:szCs w:val="21"/>
                <w:lang w:val="en-US" w:eastAsia="zh-CN"/>
              </w:rPr>
              <w:t>2</w:t>
            </w:r>
            <w:r>
              <w:rPr>
                <w:rFonts w:hint="eastAsia" w:ascii="宋体" w:hAnsi="宋体" w:eastAsia="宋体" w:cs="宋体"/>
                <w:szCs w:val="21"/>
              </w:rPr>
              <w:t>份</w:t>
            </w:r>
            <w:r>
              <w:rPr>
                <w:rFonts w:hint="eastAsia" w:hAnsi="宋体" w:cs="宋体"/>
                <w:szCs w:val="21"/>
                <w:lang w:eastAsia="zh-CN"/>
              </w:rPr>
              <w:t>；</w:t>
            </w:r>
          </w:p>
          <w:p>
            <w:pPr>
              <w:pStyle w:val="15"/>
              <w:snapToGrid w:val="0"/>
              <w:spacing w:line="504" w:lineRule="auto"/>
              <w:jc w:val="left"/>
              <w:rPr>
                <w:rFonts w:hint="eastAsia" w:ascii="宋体" w:hAnsi="宋体" w:eastAsia="宋体" w:cs="宋体"/>
                <w:szCs w:val="21"/>
                <w:lang w:eastAsia="zh-CN"/>
              </w:rPr>
            </w:pPr>
            <w:r>
              <w:rPr>
                <w:rFonts w:hint="eastAsia" w:ascii="宋体" w:hAnsi="宋体" w:eastAsia="宋体" w:cs="宋体"/>
                <w:szCs w:val="21"/>
              </w:rPr>
              <w:t>技术文件：正本1份，副本</w:t>
            </w:r>
            <w:r>
              <w:rPr>
                <w:rFonts w:hint="eastAsia" w:ascii="宋体" w:hAnsi="宋体" w:eastAsia="宋体" w:cs="宋体"/>
                <w:szCs w:val="21"/>
                <w:lang w:val="en-US" w:eastAsia="zh-CN"/>
              </w:rPr>
              <w:t>2</w:t>
            </w:r>
            <w:r>
              <w:rPr>
                <w:rFonts w:hint="eastAsia" w:ascii="宋体" w:hAnsi="宋体" w:eastAsia="宋体" w:cs="宋体"/>
                <w:szCs w:val="21"/>
              </w:rPr>
              <w:t>份</w:t>
            </w:r>
            <w:r>
              <w:rPr>
                <w:rFonts w:hint="eastAsia" w:hAnsi="宋体" w:cs="宋体"/>
                <w:szCs w:val="21"/>
                <w:lang w:eastAsia="zh-CN"/>
              </w:rPr>
              <w:t>；</w:t>
            </w:r>
          </w:p>
          <w:p>
            <w:pPr>
              <w:pStyle w:val="15"/>
              <w:snapToGrid w:val="0"/>
              <w:spacing w:line="504" w:lineRule="auto"/>
              <w:jc w:val="left"/>
              <w:rPr>
                <w:rFonts w:hint="default" w:eastAsia="黑体"/>
                <w:lang w:val="en-US" w:eastAsia="zh-CN"/>
              </w:rPr>
            </w:pPr>
            <w:r>
              <w:rPr>
                <w:rFonts w:hint="eastAsia" w:ascii="宋体" w:hAnsi="宋体" w:eastAsia="宋体" w:cs="宋体"/>
                <w:b/>
                <w:bCs/>
                <w:szCs w:val="21"/>
                <w:lang w:eastAsia="zh-CN"/>
              </w:rPr>
              <w:t>备注：需提供以上响应文件盖章扫描件电子版</w:t>
            </w:r>
            <w:r>
              <w:rPr>
                <w:rFonts w:hint="eastAsia" w:hAnsi="宋体" w:cs="宋体"/>
                <w:b/>
                <w:bCs/>
                <w:szCs w:val="21"/>
                <w:lang w:val="en-US" w:eastAsia="zh-CN"/>
              </w:rPr>
              <w:t>PDF</w:t>
            </w:r>
            <w:r>
              <w:rPr>
                <w:rFonts w:hint="eastAsia" w:ascii="宋体" w:hAnsi="宋体" w:eastAsia="宋体" w:cs="宋体"/>
                <w:b/>
                <w:bCs/>
                <w:szCs w:val="21"/>
                <w:lang w:eastAsia="zh-CN"/>
              </w:rPr>
              <w:t>（</w:t>
            </w:r>
            <w:r>
              <w:rPr>
                <w:rFonts w:hint="eastAsia" w:ascii="宋体" w:hAnsi="宋体" w:eastAsia="宋体" w:cs="宋体"/>
                <w:b/>
                <w:bCs/>
                <w:szCs w:val="21"/>
                <w:lang w:val="en-US" w:eastAsia="zh-CN"/>
              </w:rPr>
              <w:t>U盘</w:t>
            </w:r>
            <w:r>
              <w:rPr>
                <w:rFonts w:hint="eastAsia" w:ascii="宋体" w:hAnsi="宋体" w:eastAsia="宋体" w:cs="宋体"/>
                <w:b/>
                <w:bCs/>
                <w:szCs w:val="21"/>
                <w:lang w:eastAsia="zh-CN"/>
              </w:rPr>
              <w:t>）</w:t>
            </w:r>
            <w:r>
              <w:rPr>
                <w:rFonts w:hint="eastAsia" w:ascii="宋体" w:hAnsi="宋体" w:eastAsia="宋体" w:cs="宋体"/>
                <w:b/>
                <w:bCs/>
                <w:szCs w:val="21"/>
                <w:lang w:val="en-US" w:eastAsia="zh-CN"/>
              </w:rPr>
              <w:t>1份。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pStyle w:val="15"/>
              <w:snapToGrid w:val="0"/>
              <w:spacing w:line="504" w:lineRule="auto"/>
              <w:jc w:val="center"/>
              <w:rPr>
                <w:rFonts w:hAnsi="宋体" w:cs="宋体"/>
                <w:kern w:val="0"/>
                <w:szCs w:val="21"/>
              </w:rPr>
            </w:pPr>
            <w:r>
              <w:rPr>
                <w:rFonts w:hint="eastAsia" w:hAnsi="宋体" w:cs="宋体"/>
                <w:kern w:val="0"/>
                <w:szCs w:val="21"/>
              </w:rPr>
              <w:t>11.4</w:t>
            </w:r>
          </w:p>
        </w:tc>
        <w:tc>
          <w:tcPr>
            <w:tcW w:w="2539" w:type="dxa"/>
            <w:vAlign w:val="center"/>
          </w:tcPr>
          <w:p>
            <w:pPr>
              <w:pStyle w:val="15"/>
              <w:snapToGrid w:val="0"/>
              <w:spacing w:line="504" w:lineRule="auto"/>
              <w:jc w:val="center"/>
              <w:rPr>
                <w:rFonts w:hAnsi="宋体" w:cs="宋体"/>
                <w:kern w:val="0"/>
                <w:szCs w:val="21"/>
              </w:rPr>
            </w:pPr>
            <w:r>
              <w:rPr>
                <w:rFonts w:hint="eastAsia" w:hAnsi="宋体" w:cs="宋体"/>
                <w:kern w:val="0"/>
                <w:szCs w:val="21"/>
              </w:rPr>
              <w:t>采购代理服务费</w:t>
            </w:r>
          </w:p>
        </w:tc>
        <w:tc>
          <w:tcPr>
            <w:tcW w:w="6676" w:type="dxa"/>
            <w:vAlign w:val="center"/>
          </w:tcPr>
          <w:p>
            <w:pPr>
              <w:pStyle w:val="15"/>
              <w:snapToGrid w:val="0"/>
              <w:spacing w:line="360" w:lineRule="auto"/>
              <w:rPr>
                <w:rFonts w:hAnsi="宋体" w:cs="宋体"/>
                <w:szCs w:val="21"/>
              </w:rPr>
            </w:pPr>
            <w:r>
              <w:rPr>
                <w:rFonts w:hint="eastAsia" w:hAnsi="宋体" w:cs="宋体"/>
                <w:szCs w:val="21"/>
              </w:rPr>
              <w:t xml:space="preserve">1. 是否收取采购代理费：☑是  □否 </w:t>
            </w:r>
          </w:p>
          <w:p>
            <w:pPr>
              <w:pStyle w:val="15"/>
              <w:snapToGrid w:val="0"/>
              <w:spacing w:line="360" w:lineRule="auto"/>
              <w:rPr>
                <w:rFonts w:hAnsi="宋体" w:cs="宋体"/>
                <w:szCs w:val="21"/>
              </w:rPr>
            </w:pPr>
            <w:r>
              <w:rPr>
                <w:rFonts w:hint="eastAsia" w:hAnsi="宋体" w:cs="宋体"/>
                <w:szCs w:val="21"/>
              </w:rPr>
              <w:t>2.采购代理费支付方式：</w:t>
            </w:r>
          </w:p>
          <w:p>
            <w:pPr>
              <w:pStyle w:val="15"/>
              <w:snapToGrid w:val="0"/>
              <w:spacing w:line="360" w:lineRule="auto"/>
              <w:rPr>
                <w:rFonts w:hAnsi="宋体" w:cs="宋体"/>
                <w:szCs w:val="21"/>
              </w:rPr>
            </w:pPr>
            <w:r>
              <w:rPr>
                <w:rFonts w:hint="eastAsia" w:hAnsi="宋体" w:cs="宋体"/>
                <w:szCs w:val="21"/>
              </w:rPr>
              <w:t>☑ 本项目代理服务费由</w:t>
            </w:r>
            <w:r>
              <w:rPr>
                <w:rFonts w:hint="eastAsia" w:hAnsi="宋体" w:cs="宋体"/>
                <w:szCs w:val="21"/>
                <w:u w:val="single"/>
              </w:rPr>
              <w:t>成交供应商</w:t>
            </w:r>
            <w:r>
              <w:rPr>
                <w:rFonts w:hint="eastAsia" w:hAnsi="宋体" w:cs="宋体"/>
                <w:szCs w:val="21"/>
              </w:rPr>
              <w:t>领取成交通知书前，一次性向采购代理机构支付。</w:t>
            </w:r>
          </w:p>
          <w:p>
            <w:pPr>
              <w:pStyle w:val="15"/>
              <w:snapToGrid w:val="0"/>
              <w:spacing w:line="360" w:lineRule="auto"/>
              <w:rPr>
                <w:rFonts w:hAnsi="宋体" w:cs="宋体"/>
                <w:szCs w:val="21"/>
              </w:rPr>
            </w:pPr>
            <w:r>
              <w:rPr>
                <w:rFonts w:hint="eastAsia" w:hAnsi="宋体" w:cs="宋体"/>
                <w:szCs w:val="21"/>
              </w:rPr>
              <w:t>3.采购代理费收取标准：</w:t>
            </w:r>
          </w:p>
          <w:p>
            <w:pPr>
              <w:pStyle w:val="15"/>
              <w:snapToGrid w:val="0"/>
              <w:spacing w:line="360" w:lineRule="auto"/>
              <w:rPr>
                <w:rFonts w:hAnsi="宋体" w:cs="宋体"/>
                <w:szCs w:val="21"/>
                <w:lang w:bidi="ar"/>
              </w:rPr>
            </w:pPr>
            <w:r>
              <w:rPr>
                <w:rFonts w:ascii="Segoe UI Symbol" w:hAnsi="Segoe UI Symbol" w:cs="Segoe UI Symbol"/>
                <w:szCs w:val="21"/>
                <w:lang w:bidi="ar"/>
              </w:rPr>
              <w:t>☑</w:t>
            </w:r>
            <w:r>
              <w:rPr>
                <w:rFonts w:hint="eastAsia" w:hAnsi="宋体" w:cs="宋体"/>
                <w:szCs w:val="21"/>
                <w:lang w:bidi="ar"/>
              </w:rPr>
              <w:t>以分标（</w:t>
            </w:r>
            <w:r>
              <w:rPr>
                <w:rFonts w:ascii="Segoe UI Symbol" w:hAnsi="Segoe UI Symbol" w:cs="Segoe UI Symbol"/>
                <w:szCs w:val="21"/>
                <w:lang w:bidi="ar"/>
              </w:rPr>
              <w:t>☑</w:t>
            </w:r>
            <w:r>
              <w:rPr>
                <w:rFonts w:hint="eastAsia" w:ascii="Segoe UI Symbol" w:hAnsi="Segoe UI Symbol" w:cs="Segoe UI Symbol"/>
                <w:szCs w:val="21"/>
                <w:lang w:bidi="ar"/>
              </w:rPr>
              <w:t>中标（</w:t>
            </w:r>
            <w:r>
              <w:rPr>
                <w:rFonts w:hint="eastAsia" w:hAnsi="宋体" w:cs="宋体"/>
                <w:szCs w:val="21"/>
                <w:lang w:bidi="ar"/>
              </w:rPr>
              <w:t>成交）金额/</w:t>
            </w:r>
            <w:r>
              <w:rPr>
                <w:rFonts w:hint="eastAsia" w:hAnsi="宋体" w:cs="Wingdings 2"/>
                <w:szCs w:val="21"/>
                <w:lang w:bidi="ar"/>
              </w:rPr>
              <w:t>□</w:t>
            </w:r>
            <w:r>
              <w:rPr>
                <w:rFonts w:hint="eastAsia" w:hAnsi="宋体" w:cs="宋体"/>
                <w:szCs w:val="21"/>
                <w:lang w:bidi="ar"/>
              </w:rPr>
              <w:t>采购预算/□暂定成交金额/□其他</w:t>
            </w:r>
            <w:r>
              <w:rPr>
                <w:rFonts w:hint="eastAsia" w:hAnsi="宋体" w:cs="宋体"/>
                <w:szCs w:val="21"/>
                <w:u w:val="single"/>
                <w:lang w:bidi="ar"/>
              </w:rPr>
              <w:t xml:space="preserve">   </w:t>
            </w:r>
            <w:r>
              <w:rPr>
                <w:rFonts w:hint="eastAsia" w:hAnsi="宋体" w:cs="宋体"/>
                <w:szCs w:val="21"/>
                <w:lang w:bidi="ar"/>
              </w:rPr>
              <w:t>）为计费额；</w:t>
            </w:r>
          </w:p>
          <w:p>
            <w:pPr>
              <w:snapToGrid w:val="0"/>
              <w:spacing w:line="360" w:lineRule="auto"/>
              <w:rPr>
                <w:rFonts w:hAnsi="宋体" w:cs="宋体"/>
                <w:szCs w:val="21"/>
              </w:rPr>
            </w:pPr>
            <w:r>
              <w:rPr>
                <w:rFonts w:hint="eastAsia" w:ascii="宋体" w:hAnsi="宋体" w:cs="宋体"/>
                <w:szCs w:val="21"/>
                <w:lang w:bidi="ar"/>
              </w:rPr>
              <w:t>按</w:t>
            </w:r>
            <w:r>
              <w:rPr>
                <w:rFonts w:hint="eastAsia" w:ascii="宋体" w:hAnsi="宋体" w:cs="宋体"/>
                <w:szCs w:val="21"/>
                <w:u w:val="single"/>
                <w:lang w:bidi="ar"/>
              </w:rPr>
              <w:t>服务类</w:t>
            </w:r>
            <w:r>
              <w:rPr>
                <w:rFonts w:hint="eastAsia" w:ascii="宋体" w:hAnsi="宋体" w:cs="宋体"/>
                <w:szCs w:val="21"/>
                <w:lang w:bidi="ar"/>
              </w:rPr>
              <w:t>采用差额定率累进法计算出收费基准价格，采购代理收费以（</w:t>
            </w:r>
            <w:r>
              <w:rPr>
                <w:rFonts w:hint="eastAsia" w:ascii="宋体" w:hAnsi="宋体" w:eastAsia="宋体" w:cs="Wingdings 2"/>
                <w:szCs w:val="21"/>
                <w:lang w:eastAsia="zh-CN" w:bidi="ar"/>
              </w:rPr>
              <w:t>☑</w:t>
            </w:r>
            <w:r>
              <w:rPr>
                <w:rFonts w:hint="eastAsia" w:ascii="宋体" w:hAnsi="宋体" w:cs="宋体"/>
                <w:szCs w:val="21"/>
                <w:lang w:bidi="ar"/>
              </w:rPr>
              <w:t>收费基准价格/</w:t>
            </w:r>
            <w:r>
              <w:rPr>
                <w:rFonts w:hint="eastAsia" w:ascii="Segoe UI Symbol" w:hAnsi="Segoe UI Symbol" w:cs="Segoe UI Symbol"/>
                <w:szCs w:val="21"/>
                <w:lang w:eastAsia="zh-CN" w:bidi="ar"/>
              </w:rPr>
              <w:t>□</w:t>
            </w:r>
            <w:r>
              <w:rPr>
                <w:rFonts w:hint="eastAsia" w:ascii="Segoe UI Symbol" w:hAnsi="Segoe UI Symbol" w:cs="Segoe UI Symbol"/>
                <w:szCs w:val="21"/>
                <w:lang w:bidi="ar"/>
              </w:rPr>
              <w:t>收费</w:t>
            </w:r>
            <w:r>
              <w:rPr>
                <w:rFonts w:hint="eastAsia" w:ascii="宋体" w:hAnsi="宋体" w:cs="宋体"/>
                <w:szCs w:val="21"/>
                <w:lang w:bidi="ar"/>
              </w:rPr>
              <w:t>基准价下浮</w:t>
            </w:r>
            <w:r>
              <w:rPr>
                <w:rFonts w:hint="eastAsia" w:ascii="宋体" w:hAnsi="宋体" w:cs="宋体"/>
                <w:szCs w:val="21"/>
                <w:u w:val="single"/>
                <w:lang w:bidi="ar"/>
              </w:rPr>
              <w:t xml:space="preserve"> </w:t>
            </w:r>
            <w:r>
              <w:rPr>
                <w:rFonts w:hint="eastAsia" w:ascii="宋体" w:hAnsi="宋体" w:cs="宋体"/>
                <w:szCs w:val="21"/>
                <w:u w:val="single"/>
                <w:lang w:val="en-US" w:eastAsia="zh-CN" w:bidi="ar"/>
              </w:rPr>
              <w:t xml:space="preserve"> </w:t>
            </w:r>
            <w:r>
              <w:rPr>
                <w:rFonts w:hint="eastAsia" w:ascii="宋体" w:hAnsi="宋体" w:cs="宋体"/>
                <w:szCs w:val="21"/>
                <w:u w:val="single"/>
                <w:lang w:bidi="ar"/>
              </w:rPr>
              <w:t>%</w:t>
            </w:r>
            <w:r>
              <w:rPr>
                <w:rFonts w:hint="eastAsia" w:ascii="宋体" w:hAnsi="宋体" w:cs="宋体"/>
                <w:szCs w:val="21"/>
                <w:lang w:bidi="ar"/>
              </w:rPr>
              <w:t>/□收费基准价格上浮</w:t>
            </w:r>
            <w:r>
              <w:rPr>
                <w:rFonts w:hint="eastAsia" w:ascii="宋体" w:hAnsi="宋体" w:cs="宋体"/>
                <w:szCs w:val="21"/>
                <w:u w:val="single"/>
                <w:lang w:bidi="ar"/>
              </w:rPr>
              <w:t xml:space="preserve">   %</w:t>
            </w:r>
            <w:r>
              <w:rPr>
                <w:rFonts w:hint="eastAsia" w:ascii="宋体" w:hAnsi="宋体" w:cs="宋体"/>
                <w:szCs w:val="21"/>
                <w:lang w:bidi="ar"/>
              </w:rPr>
              <w:t>）计算。</w:t>
            </w:r>
          </w:p>
          <w:p>
            <w:pPr>
              <w:snapToGrid w:val="0"/>
              <w:spacing w:line="360" w:lineRule="auto"/>
              <w:rPr>
                <w:rFonts w:ascii="宋体" w:hAnsi="宋体" w:cs="宋体"/>
                <w:b/>
                <w:szCs w:val="21"/>
                <w:u w:val="single"/>
                <w:lang w:bidi="ar"/>
              </w:rPr>
            </w:pPr>
            <w:r>
              <w:rPr>
                <w:rFonts w:hint="eastAsia" w:ascii="宋体" w:hAnsi="宋体" w:cs="宋体"/>
                <w:b/>
                <w:szCs w:val="21"/>
                <w:u w:val="single"/>
                <w:lang w:bidi="ar"/>
              </w:rPr>
              <w:t>基准价计算标准如下：</w:t>
            </w:r>
          </w:p>
          <w:p>
            <w:pPr>
              <w:rPr>
                <w:rFonts w:hint="eastAsia" w:ascii="宋体" w:hAnsi="宋体" w:eastAsia="宋体" w:cs="宋体"/>
                <w:sz w:val="21"/>
                <w:szCs w:val="21"/>
              </w:rPr>
            </w:pPr>
            <w:r>
              <w:rPr>
                <w:rFonts w:hint="eastAsia" w:ascii="宋体" w:hAnsi="宋体" w:eastAsia="宋体" w:cs="宋体"/>
                <w:color w:val="auto"/>
                <w:sz w:val="21"/>
                <w:highlight w:val="none"/>
                <w:lang w:eastAsia="zh-CN"/>
              </w:rPr>
              <w:t>按照</w:t>
            </w:r>
            <w:r>
              <w:rPr>
                <w:rFonts w:hint="eastAsia" w:ascii="宋体" w:hAnsi="宋体" w:eastAsia="宋体" w:cs="宋体"/>
                <w:color w:val="auto"/>
                <w:sz w:val="21"/>
                <w:highlight w:val="none"/>
              </w:rPr>
              <w:t>广西壮族自治区物价局转发国家发展改革委关于降低部分建设项目收费标准规范</w:t>
            </w:r>
            <w:r>
              <w:rPr>
                <w:rFonts w:hint="eastAsia" w:hAnsi="宋体" w:cs="仿宋"/>
                <w:szCs w:val="21"/>
                <w:shd w:val="clear" w:color="auto" w:fill="FFFFFF"/>
              </w:rPr>
              <w:t>，采用差额定率累进法计算</w:t>
            </w:r>
            <w:r>
              <w:rPr>
                <w:rFonts w:hint="eastAsia" w:hAnsi="宋体" w:cs="仿宋"/>
                <w:szCs w:val="21"/>
                <w:shd w:val="clear" w:color="auto" w:fill="FFFFFF"/>
                <w:lang w:eastAsia="zh-CN"/>
              </w:rPr>
              <w:t>收取。</w:t>
            </w:r>
          </w:p>
          <w:p>
            <w:pPr>
              <w:rPr>
                <w:rFonts w:hint="eastAsia" w:ascii="宋体" w:hAnsi="宋体" w:eastAsia="宋体" w:cs="宋体"/>
                <w:sz w:val="21"/>
                <w:szCs w:val="21"/>
              </w:rPr>
            </w:pPr>
            <w:r>
              <w:rPr>
                <w:rFonts w:hint="eastAsia" w:ascii="宋体" w:hAnsi="宋体" w:eastAsia="宋体" w:cs="宋体"/>
                <w:sz w:val="21"/>
                <w:szCs w:val="21"/>
              </w:rPr>
              <w:t>4. 采购代理费收取银行账户</w:t>
            </w:r>
          </w:p>
          <w:p>
            <w:pPr>
              <w:snapToGrid w:val="0"/>
              <w:spacing w:line="360" w:lineRule="auto"/>
              <w:rPr>
                <w:rFonts w:hint="eastAsia" w:ascii="宋体" w:hAnsi="宋体" w:eastAsia="宋体" w:cs="宋体"/>
                <w:b/>
                <w:bCs/>
                <w:kern w:val="0"/>
                <w:sz w:val="21"/>
                <w:szCs w:val="21"/>
              </w:rPr>
            </w:pPr>
            <w:r>
              <w:rPr>
                <w:rFonts w:hint="eastAsia" w:ascii="宋体" w:hAnsi="宋体" w:eastAsia="宋体" w:cs="宋体"/>
                <w:b/>
                <w:bCs/>
                <w:kern w:val="0"/>
                <w:sz w:val="21"/>
                <w:szCs w:val="21"/>
              </w:rPr>
              <w:t>开户名称：上海正弘建设工程顾问有限公司广西分公司</w:t>
            </w:r>
          </w:p>
          <w:p>
            <w:pPr>
              <w:snapToGrid w:val="0"/>
              <w:spacing w:line="360" w:lineRule="auto"/>
              <w:rPr>
                <w:rFonts w:hint="eastAsia" w:ascii="宋体" w:hAnsi="宋体" w:eastAsia="宋体" w:cs="宋体"/>
                <w:b/>
                <w:bCs/>
                <w:kern w:val="0"/>
                <w:sz w:val="21"/>
                <w:szCs w:val="21"/>
              </w:rPr>
            </w:pPr>
            <w:r>
              <w:rPr>
                <w:rFonts w:hint="eastAsia" w:ascii="宋体" w:hAnsi="宋体" w:eastAsia="宋体" w:cs="宋体"/>
                <w:b/>
                <w:bCs/>
                <w:kern w:val="0"/>
                <w:sz w:val="21"/>
                <w:szCs w:val="21"/>
              </w:rPr>
              <w:t>开户银行：广西北部湾银行南宁市嘉宾支行</w:t>
            </w:r>
          </w:p>
          <w:p>
            <w:pPr>
              <w:pStyle w:val="45"/>
              <w:rPr>
                <w:sz w:val="21"/>
                <w:szCs w:val="21"/>
              </w:rPr>
            </w:pPr>
            <w:r>
              <w:rPr>
                <w:rFonts w:hint="eastAsia" w:ascii="宋体" w:hAnsi="宋体" w:eastAsia="宋体" w:cs="宋体"/>
                <w:b/>
                <w:sz w:val="21"/>
                <w:szCs w:val="21"/>
              </w:rPr>
              <w:t>银行账号：0804 0120 9000 7555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pStyle w:val="17"/>
              <w:ind w:left="0" w:leftChars="0"/>
              <w:jc w:val="center"/>
              <w:rPr>
                <w:rFonts w:ascii="宋体" w:hAnsi="宋体" w:cs="宋体"/>
                <w:szCs w:val="21"/>
              </w:rPr>
            </w:pPr>
            <w:r>
              <w:rPr>
                <w:rFonts w:hint="eastAsia" w:ascii="宋体" w:hAnsi="宋体" w:cs="宋体"/>
                <w:szCs w:val="21"/>
              </w:rPr>
              <w:t>12.1</w:t>
            </w:r>
          </w:p>
        </w:tc>
        <w:tc>
          <w:tcPr>
            <w:tcW w:w="2539" w:type="dxa"/>
            <w:vAlign w:val="center"/>
          </w:tcPr>
          <w:p>
            <w:pPr>
              <w:pStyle w:val="17"/>
              <w:rPr>
                <w:rFonts w:ascii="宋体" w:hAnsi="宋体" w:cs="宋体"/>
                <w:szCs w:val="21"/>
              </w:rPr>
            </w:pPr>
            <w:r>
              <w:rPr>
                <w:rFonts w:hint="eastAsia" w:ascii="宋体" w:hAnsi="宋体" w:cs="宋体"/>
                <w:szCs w:val="21"/>
              </w:rPr>
              <w:t>响应有效期</w:t>
            </w:r>
          </w:p>
        </w:tc>
        <w:tc>
          <w:tcPr>
            <w:tcW w:w="6676" w:type="dxa"/>
            <w:vAlign w:val="center"/>
          </w:tcPr>
          <w:p>
            <w:pPr>
              <w:rPr>
                <w:rFonts w:ascii="宋体" w:hAnsi="宋体" w:cs="宋体"/>
                <w:szCs w:val="21"/>
              </w:rPr>
            </w:pPr>
            <w:r>
              <w:rPr>
                <w:rFonts w:hint="eastAsia" w:ascii="宋体" w:hAnsi="宋体" w:cs="宋体"/>
                <w:szCs w:val="21"/>
              </w:rPr>
              <w:t>自提交响应文件截止时间起 60 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pStyle w:val="17"/>
              <w:ind w:left="0" w:leftChars="0"/>
              <w:jc w:val="center"/>
              <w:rPr>
                <w:rFonts w:hint="default" w:ascii="宋体" w:hAnsi="宋体" w:eastAsia="宋体" w:cs="宋体"/>
                <w:szCs w:val="21"/>
                <w:lang w:val="en-US" w:eastAsia="zh-CN"/>
              </w:rPr>
            </w:pPr>
            <w:r>
              <w:rPr>
                <w:rFonts w:hint="eastAsia" w:ascii="宋体" w:hAnsi="宋体" w:cs="宋体"/>
                <w:szCs w:val="21"/>
                <w:lang w:val="en-US" w:eastAsia="zh-CN"/>
              </w:rPr>
              <w:t>13.1</w:t>
            </w:r>
          </w:p>
        </w:tc>
        <w:tc>
          <w:tcPr>
            <w:tcW w:w="2539" w:type="dxa"/>
            <w:vAlign w:val="center"/>
          </w:tcPr>
          <w:p>
            <w:pPr>
              <w:pStyle w:val="17"/>
              <w:rPr>
                <w:rFonts w:hint="eastAsia" w:ascii="宋体" w:hAnsi="宋体" w:eastAsia="宋体" w:cs="宋体"/>
                <w:szCs w:val="21"/>
                <w:lang w:eastAsia="zh-CN"/>
              </w:rPr>
            </w:pPr>
            <w:r>
              <w:rPr>
                <w:rFonts w:hint="eastAsia" w:ascii="宋体" w:hAnsi="宋体" w:cs="宋体"/>
                <w:szCs w:val="21"/>
                <w:lang w:eastAsia="zh-CN"/>
              </w:rPr>
              <w:t>磋商保证金</w:t>
            </w:r>
          </w:p>
        </w:tc>
        <w:tc>
          <w:tcPr>
            <w:tcW w:w="6676" w:type="dxa"/>
            <w:vAlign w:val="center"/>
          </w:tcPr>
          <w:p>
            <w:pPr>
              <w:rPr>
                <w:rFonts w:hint="eastAsia" w:ascii="宋体" w:hAnsi="宋体" w:eastAsia="宋体" w:cs="宋体"/>
                <w:szCs w:val="21"/>
                <w:lang w:eastAsia="zh-CN"/>
              </w:rPr>
            </w:pPr>
            <w:r>
              <w:rPr>
                <w:rFonts w:hint="eastAsia" w:ascii="宋体" w:hAnsi="宋体" w:cs="宋体"/>
                <w:szCs w:val="21"/>
                <w:lang w:eastAsia="zh-CN"/>
              </w:rPr>
              <w:t>本项目不收取磋商保证金。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pStyle w:val="17"/>
              <w:ind w:left="0" w:leftChars="0"/>
              <w:jc w:val="center"/>
              <w:rPr>
                <w:rFonts w:ascii="宋体" w:hAnsi="宋体" w:cs="宋体"/>
                <w:szCs w:val="21"/>
              </w:rPr>
            </w:pPr>
            <w:r>
              <w:rPr>
                <w:rFonts w:hint="eastAsia" w:ascii="宋体" w:hAnsi="宋体" w:cs="宋体"/>
                <w:szCs w:val="21"/>
              </w:rPr>
              <w:t>15.1</w:t>
            </w:r>
          </w:p>
        </w:tc>
        <w:tc>
          <w:tcPr>
            <w:tcW w:w="2539" w:type="dxa"/>
            <w:vAlign w:val="center"/>
          </w:tcPr>
          <w:p>
            <w:pPr>
              <w:rPr>
                <w:rFonts w:ascii="宋体" w:hAnsi="宋体" w:cs="宋体"/>
                <w:szCs w:val="21"/>
              </w:rPr>
            </w:pPr>
            <w:r>
              <w:rPr>
                <w:rFonts w:hint="eastAsia" w:ascii="宋体" w:hAnsi="宋体" w:cs="宋体"/>
                <w:szCs w:val="21"/>
              </w:rPr>
              <w:t>提交响应文件截止时间</w:t>
            </w:r>
          </w:p>
        </w:tc>
        <w:tc>
          <w:tcPr>
            <w:tcW w:w="6676" w:type="dxa"/>
            <w:vAlign w:val="center"/>
          </w:tcPr>
          <w:p>
            <w:pPr>
              <w:rPr>
                <w:rFonts w:hint="eastAsia" w:ascii="宋体" w:hAnsi="宋体" w:eastAsia="宋体" w:cs="宋体"/>
                <w:szCs w:val="21"/>
                <w:lang w:eastAsia="zh-CN"/>
              </w:rPr>
            </w:pPr>
            <w:r>
              <w:rPr>
                <w:rFonts w:hint="eastAsia" w:ascii="宋体" w:hAnsi="宋体" w:cs="宋体"/>
                <w:szCs w:val="21"/>
              </w:rPr>
              <w:t xml:space="preserve"> </w:t>
            </w:r>
            <w:r>
              <w:rPr>
                <w:rFonts w:hint="eastAsia" w:ascii="宋体" w:hAnsi="宋体" w:eastAsia="宋体" w:cs="宋体"/>
                <w:szCs w:val="21"/>
                <w:lang w:eastAsia="zh-CN"/>
              </w:rPr>
              <w:t>详见</w:t>
            </w:r>
            <w:r>
              <w:rPr>
                <w:rFonts w:hint="eastAsia" w:ascii="宋体" w:hAnsi="宋体" w:cs="宋体"/>
                <w:szCs w:val="21"/>
                <w:lang w:eastAsia="zh-CN"/>
              </w:rPr>
              <w:t>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pStyle w:val="15"/>
              <w:snapToGrid w:val="0"/>
              <w:spacing w:line="504" w:lineRule="auto"/>
              <w:jc w:val="center"/>
              <w:rPr>
                <w:rFonts w:hAnsi="宋体" w:cs="宋体"/>
                <w:kern w:val="0"/>
                <w:szCs w:val="21"/>
              </w:rPr>
            </w:pPr>
            <w:r>
              <w:rPr>
                <w:rFonts w:hint="eastAsia" w:hAnsi="宋体" w:cs="宋体"/>
                <w:kern w:val="0"/>
                <w:szCs w:val="21"/>
              </w:rPr>
              <w:t>15.2</w:t>
            </w:r>
          </w:p>
        </w:tc>
        <w:tc>
          <w:tcPr>
            <w:tcW w:w="2539" w:type="dxa"/>
            <w:vAlign w:val="center"/>
          </w:tcPr>
          <w:p>
            <w:pPr>
              <w:rPr>
                <w:rFonts w:hAnsi="宋体" w:cs="宋体"/>
                <w:kern w:val="0"/>
                <w:szCs w:val="21"/>
              </w:rPr>
            </w:pPr>
            <w:r>
              <w:rPr>
                <w:rFonts w:hint="eastAsia" w:hAnsi="宋体" w:cs="宋体"/>
                <w:kern w:val="0"/>
                <w:szCs w:val="21"/>
              </w:rPr>
              <w:t>提交响应文件地点</w:t>
            </w:r>
          </w:p>
        </w:tc>
        <w:tc>
          <w:tcPr>
            <w:tcW w:w="6676" w:type="dxa"/>
            <w:vAlign w:val="center"/>
          </w:tcPr>
          <w:p>
            <w:pPr>
              <w:rPr>
                <w:sz w:val="21"/>
                <w:szCs w:val="21"/>
                <w:highlight w:val="none"/>
              </w:rPr>
            </w:pPr>
            <w:r>
              <w:rPr>
                <w:rFonts w:hint="eastAsia" w:ascii="宋体" w:hAnsi="宋体" w:eastAsia="宋体" w:cs="宋体"/>
                <w:kern w:val="2"/>
                <w:sz w:val="21"/>
                <w:szCs w:val="21"/>
                <w:lang w:val="en-US" w:eastAsia="zh-CN" w:bidi="ar-SA"/>
              </w:rPr>
              <w:t>上海正弘建设工程顾问有限公司广西分公司（南宁市东葛路163号绿地中央</w:t>
            </w:r>
            <w:r>
              <w:rPr>
                <w:rFonts w:hint="eastAsia" w:ascii="宋体" w:hAnsi="宋体" w:eastAsia="宋体" w:cs="宋体"/>
                <w:szCs w:val="21"/>
                <w:lang w:val="en-US" w:eastAsia="zh-CN"/>
              </w:rPr>
              <w:t>广场</w:t>
            </w:r>
            <w:r>
              <w:rPr>
                <w:rFonts w:hint="eastAsia" w:ascii="宋体" w:hAnsi="宋体" w:eastAsia="宋体" w:cs="宋体"/>
                <w:kern w:val="2"/>
                <w:sz w:val="21"/>
                <w:szCs w:val="21"/>
                <w:lang w:val="en-US" w:eastAsia="zh-CN" w:bidi="ar-SA"/>
              </w:rPr>
              <w:t>B1栋9楼(东面)）开标厅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jc w:val="center"/>
              <w:rPr>
                <w:rFonts w:ascii="宋体" w:hAnsi="宋体" w:cs="宋体"/>
                <w:szCs w:val="21"/>
              </w:rPr>
            </w:pPr>
            <w:r>
              <w:rPr>
                <w:rFonts w:hint="eastAsia" w:ascii="宋体" w:hAnsi="宋体" w:cs="宋体"/>
                <w:szCs w:val="21"/>
              </w:rPr>
              <w:t>15.3</w:t>
            </w:r>
          </w:p>
        </w:tc>
        <w:tc>
          <w:tcPr>
            <w:tcW w:w="2539" w:type="dxa"/>
            <w:vAlign w:val="center"/>
          </w:tcPr>
          <w:p>
            <w:pPr>
              <w:jc w:val="center"/>
              <w:rPr>
                <w:rFonts w:ascii="宋体" w:hAnsi="宋体" w:cs="宋体"/>
                <w:szCs w:val="21"/>
              </w:rPr>
            </w:pPr>
            <w:r>
              <w:rPr>
                <w:rFonts w:hint="eastAsia" w:ascii="宋体" w:hAnsi="宋体" w:cs="宋体"/>
                <w:szCs w:val="21"/>
              </w:rPr>
              <w:t>提交样品截止时间</w:t>
            </w:r>
          </w:p>
        </w:tc>
        <w:tc>
          <w:tcPr>
            <w:tcW w:w="6676" w:type="dxa"/>
            <w:vAlign w:val="center"/>
          </w:tcPr>
          <w:p>
            <w:pPr>
              <w:jc w:val="center"/>
              <w:rPr>
                <w:rFonts w:ascii="宋体" w:hAnsi="宋体" w:cs="宋体"/>
                <w:szCs w:val="21"/>
              </w:rPr>
            </w:pPr>
            <w:r>
              <w:rPr>
                <w:rFonts w:hint="eastAsia" w:ascii="宋体" w:hAnsi="宋体" w:cs="宋体"/>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jc w:val="center"/>
              <w:rPr>
                <w:rFonts w:ascii="宋体" w:hAnsi="宋体" w:cs="宋体"/>
                <w:szCs w:val="21"/>
              </w:rPr>
            </w:pPr>
            <w:r>
              <w:rPr>
                <w:rFonts w:hint="eastAsia" w:ascii="宋体" w:hAnsi="宋体" w:cs="宋体"/>
                <w:szCs w:val="21"/>
              </w:rPr>
              <w:t>15.4</w:t>
            </w:r>
          </w:p>
        </w:tc>
        <w:tc>
          <w:tcPr>
            <w:tcW w:w="2539" w:type="dxa"/>
            <w:vAlign w:val="center"/>
          </w:tcPr>
          <w:p>
            <w:pPr>
              <w:jc w:val="center"/>
              <w:rPr>
                <w:rFonts w:ascii="宋体" w:hAnsi="宋体" w:cs="宋体"/>
                <w:szCs w:val="21"/>
              </w:rPr>
            </w:pPr>
            <w:r>
              <w:rPr>
                <w:rFonts w:hint="eastAsia" w:ascii="宋体" w:hAnsi="宋体" w:cs="宋体"/>
                <w:szCs w:val="21"/>
              </w:rPr>
              <w:t>提交样品地点</w:t>
            </w:r>
          </w:p>
        </w:tc>
        <w:tc>
          <w:tcPr>
            <w:tcW w:w="6676" w:type="dxa"/>
            <w:vAlign w:val="center"/>
          </w:tcPr>
          <w:p>
            <w:pPr>
              <w:jc w:val="center"/>
              <w:rPr>
                <w:rFonts w:ascii="宋体" w:hAnsi="宋体" w:cs="宋体"/>
                <w:szCs w:val="21"/>
              </w:rPr>
            </w:pPr>
            <w:r>
              <w:rPr>
                <w:rFonts w:hint="eastAsia" w:ascii="宋体" w:hAnsi="宋体" w:cs="宋体"/>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jc w:val="center"/>
              <w:rPr>
                <w:rFonts w:ascii="宋体" w:hAnsi="宋体" w:cs="宋体"/>
                <w:szCs w:val="21"/>
              </w:rPr>
            </w:pPr>
            <w:r>
              <w:rPr>
                <w:rFonts w:hint="eastAsia" w:ascii="宋体" w:hAnsi="宋体" w:cs="宋体"/>
                <w:szCs w:val="21"/>
              </w:rPr>
              <w:t>17.4.8（1）</w:t>
            </w:r>
          </w:p>
        </w:tc>
        <w:tc>
          <w:tcPr>
            <w:tcW w:w="2539" w:type="dxa"/>
            <w:vAlign w:val="center"/>
          </w:tcPr>
          <w:p>
            <w:pPr>
              <w:jc w:val="center"/>
              <w:rPr>
                <w:rFonts w:ascii="宋体" w:hAnsi="宋体" w:cs="宋体"/>
                <w:szCs w:val="21"/>
              </w:rPr>
            </w:pPr>
            <w:r>
              <w:rPr>
                <w:rFonts w:hint="eastAsia" w:ascii="宋体" w:hAnsi="宋体" w:cs="宋体"/>
                <w:szCs w:val="21"/>
              </w:rPr>
              <w:t>磋商地点</w:t>
            </w:r>
          </w:p>
        </w:tc>
        <w:tc>
          <w:tcPr>
            <w:tcW w:w="6676" w:type="dxa"/>
            <w:vAlign w:val="center"/>
          </w:tcPr>
          <w:p>
            <w:pPr>
              <w:rPr>
                <w:rFonts w:ascii="宋体" w:hAnsi="宋体" w:cs="宋体"/>
                <w:szCs w:val="21"/>
              </w:rPr>
            </w:pPr>
            <w:r>
              <w:rPr>
                <w:rFonts w:hint="eastAsia" w:ascii="宋体" w:hAnsi="宋体" w:cs="宋体"/>
                <w:szCs w:val="21"/>
              </w:rPr>
              <w:t>磋商时间：提交响应文件截止时间后（具体时间另行通知）</w:t>
            </w:r>
          </w:p>
          <w:p>
            <w:pPr>
              <w:rPr>
                <w:rFonts w:ascii="宋体" w:hAnsi="宋体" w:cs="宋体"/>
                <w:szCs w:val="21"/>
              </w:rPr>
            </w:pPr>
            <w:r>
              <w:rPr>
                <w:rFonts w:hint="eastAsia" w:ascii="宋体" w:hAnsi="宋体" w:cs="宋体"/>
                <w:szCs w:val="21"/>
              </w:rPr>
              <w:t>磋商地点：具体地点另行通知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04" w:type="dxa"/>
            <w:vAlign w:val="center"/>
          </w:tcPr>
          <w:p>
            <w:pPr>
              <w:jc w:val="center"/>
              <w:rPr>
                <w:rFonts w:ascii="宋体" w:hAnsi="宋体" w:cs="宋体"/>
                <w:szCs w:val="21"/>
              </w:rPr>
            </w:pPr>
            <w:r>
              <w:rPr>
                <w:rFonts w:hint="eastAsia" w:ascii="宋体" w:hAnsi="宋体" w:cs="宋体"/>
                <w:szCs w:val="21"/>
              </w:rPr>
              <w:t>28.1</w:t>
            </w:r>
          </w:p>
        </w:tc>
        <w:tc>
          <w:tcPr>
            <w:tcW w:w="2539" w:type="dxa"/>
            <w:vAlign w:val="center"/>
          </w:tcPr>
          <w:p>
            <w:pPr>
              <w:jc w:val="center"/>
              <w:rPr>
                <w:rFonts w:ascii="宋体" w:hAnsi="宋体" w:cs="宋体"/>
                <w:szCs w:val="21"/>
              </w:rPr>
            </w:pPr>
            <w:r>
              <w:rPr>
                <w:rFonts w:hint="eastAsia" w:ascii="宋体" w:hAnsi="宋体" w:cs="宋体"/>
                <w:szCs w:val="21"/>
              </w:rPr>
              <w:t>需要补充的其他内容</w:t>
            </w:r>
          </w:p>
        </w:tc>
        <w:tc>
          <w:tcPr>
            <w:tcW w:w="6676" w:type="dxa"/>
            <w:vAlign w:val="center"/>
          </w:tcPr>
          <w:p>
            <w:pPr>
              <w:jc w:val="left"/>
              <w:rPr>
                <w:rFonts w:ascii="宋体" w:hAnsi="宋体" w:cs="宋体"/>
                <w:szCs w:val="21"/>
              </w:rPr>
            </w:pPr>
            <w:r>
              <w:rPr>
                <w:rFonts w:hint="eastAsia" w:ascii="宋体" w:hAnsi="宋体" w:eastAsia="宋体" w:cs="宋体"/>
                <w:color w:val="auto"/>
                <w:szCs w:val="21"/>
                <w:highlight w:val="none"/>
              </w:rPr>
              <w:t>解释：构成本</w:t>
            </w:r>
            <w:r>
              <w:rPr>
                <w:rFonts w:hint="eastAsia" w:ascii="宋体" w:hAnsi="宋体" w:eastAsia="宋体" w:cs="宋体"/>
                <w:color w:val="auto"/>
                <w:szCs w:val="21"/>
                <w:highlight w:val="none"/>
                <w:lang w:eastAsia="zh-CN"/>
              </w:rPr>
              <w:t>采购</w:t>
            </w:r>
            <w:r>
              <w:rPr>
                <w:rFonts w:hint="eastAsia" w:ascii="宋体" w:hAnsi="宋体" w:eastAsia="宋体" w:cs="宋体"/>
                <w:color w:val="auto"/>
                <w:szCs w:val="21"/>
                <w:highlight w:val="none"/>
              </w:rPr>
              <w:t>文件的各个组成文件应互为解释，互为说明；除</w:t>
            </w:r>
            <w:r>
              <w:rPr>
                <w:rFonts w:hint="eastAsia" w:ascii="宋体" w:hAnsi="宋体" w:eastAsia="宋体" w:cs="宋体"/>
                <w:color w:val="auto"/>
                <w:szCs w:val="21"/>
                <w:highlight w:val="none"/>
                <w:lang w:eastAsia="zh-CN"/>
              </w:rPr>
              <w:t>采购</w:t>
            </w:r>
            <w:r>
              <w:rPr>
                <w:rFonts w:hint="eastAsia" w:ascii="宋体" w:hAnsi="宋体" w:eastAsia="宋体" w:cs="宋体"/>
                <w:color w:val="auto"/>
                <w:szCs w:val="21"/>
                <w:highlight w:val="none"/>
              </w:rPr>
              <w:t>文件中有特别规定外，仅适用于</w:t>
            </w:r>
            <w:r>
              <w:rPr>
                <w:rFonts w:hint="eastAsia" w:ascii="宋体" w:hAnsi="宋体" w:eastAsia="宋体" w:cs="宋体"/>
                <w:color w:val="auto"/>
                <w:szCs w:val="21"/>
                <w:highlight w:val="none"/>
                <w:lang w:eastAsia="zh-CN"/>
              </w:rPr>
              <w:t>采购</w:t>
            </w:r>
            <w:r>
              <w:rPr>
                <w:rFonts w:hint="eastAsia" w:ascii="宋体" w:hAnsi="宋体" w:eastAsia="宋体" w:cs="宋体"/>
                <w:color w:val="auto"/>
                <w:szCs w:val="21"/>
                <w:highlight w:val="none"/>
              </w:rPr>
              <w:t>阶段的规定，按更正公告（澄清公告）、</w:t>
            </w:r>
            <w:r>
              <w:rPr>
                <w:rFonts w:hint="eastAsia" w:ascii="宋体" w:hAnsi="宋体" w:eastAsia="宋体" w:cs="宋体"/>
                <w:color w:val="auto"/>
                <w:szCs w:val="21"/>
                <w:highlight w:val="none"/>
                <w:lang w:eastAsia="zh-CN"/>
              </w:rPr>
              <w:t>采购</w:t>
            </w:r>
            <w:r>
              <w:rPr>
                <w:rFonts w:hint="eastAsia" w:ascii="宋体" w:hAnsi="宋体" w:eastAsia="宋体" w:cs="宋体"/>
                <w:color w:val="auto"/>
                <w:szCs w:val="21"/>
                <w:highlight w:val="none"/>
              </w:rPr>
              <w:t>公告、采购需求、</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须知、评标方法及评标标准、拟签订的合同文本、</w:t>
            </w:r>
            <w:r>
              <w:rPr>
                <w:rFonts w:hint="eastAsia" w:ascii="宋体" w:hAnsi="宋体" w:eastAsia="宋体" w:cs="宋体"/>
                <w:color w:val="auto"/>
                <w:szCs w:val="21"/>
                <w:highlight w:val="none"/>
                <w:lang w:eastAsia="zh-CN"/>
              </w:rPr>
              <w:t>响应</w:t>
            </w:r>
            <w:r>
              <w:rPr>
                <w:rFonts w:hint="eastAsia" w:ascii="宋体" w:hAnsi="宋体" w:eastAsia="宋体" w:cs="宋体"/>
                <w:color w:val="auto"/>
                <w:szCs w:val="21"/>
                <w:highlight w:val="none"/>
              </w:rPr>
              <w:t>文件格式的先后顺序解释；同一组成文件中就同一事项的规定或者约定不一致的，以编排顺序在后者为准；同一组成文件不同版本之间有不一致的，以形成时间在后者为准；更正公告（澄清公告）与同步更新的</w:t>
            </w:r>
            <w:r>
              <w:rPr>
                <w:rFonts w:hint="eastAsia" w:ascii="宋体" w:hAnsi="宋体" w:eastAsia="宋体" w:cs="宋体"/>
                <w:color w:val="auto"/>
                <w:szCs w:val="21"/>
                <w:highlight w:val="none"/>
                <w:lang w:eastAsia="zh-CN"/>
              </w:rPr>
              <w:t>采购</w:t>
            </w:r>
            <w:r>
              <w:rPr>
                <w:rFonts w:hint="eastAsia" w:ascii="宋体" w:hAnsi="宋体" w:eastAsia="宋体" w:cs="宋体"/>
                <w:color w:val="auto"/>
                <w:szCs w:val="21"/>
                <w:highlight w:val="none"/>
              </w:rPr>
              <w:t>文件不一致时以更正公告（澄清公告）为准。按本款前述规定仍不能形成结论的，由采购人或者采购代理机构负责解释。</w:t>
            </w:r>
          </w:p>
        </w:tc>
      </w:tr>
    </w:tbl>
    <w:p>
      <w:pPr>
        <w:rPr>
          <w:rFonts w:ascii="宋体" w:hAnsi="宋体" w:cs="宋体"/>
          <w:szCs w:val="28"/>
        </w:rPr>
      </w:pPr>
      <w:r>
        <w:rPr>
          <w:rFonts w:hint="eastAsia" w:ascii="宋体" w:hAnsi="宋体" w:cs="宋体"/>
          <w:sz w:val="24"/>
          <w:szCs w:val="24"/>
        </w:rPr>
        <w:br w:type="page"/>
      </w:r>
      <w:bookmarkStart w:id="58" w:name="_Toc10915"/>
      <w:bookmarkStart w:id="59" w:name="_Toc11689"/>
      <w:bookmarkStart w:id="60" w:name="_Toc495334410"/>
      <w:bookmarkStart w:id="61" w:name="_Toc27478"/>
      <w:bookmarkStart w:id="62" w:name="_Toc31620"/>
      <w:bookmarkStart w:id="63" w:name="_Toc213326416"/>
      <w:r>
        <w:rPr>
          <w:rFonts w:hint="eastAsia" w:ascii="宋体" w:hAnsi="宋体" w:cs="宋体"/>
        </w:rPr>
        <w:t>一    总则</w:t>
      </w:r>
      <w:bookmarkEnd w:id="58"/>
      <w:bookmarkEnd w:id="59"/>
      <w:bookmarkEnd w:id="60"/>
      <w:bookmarkEnd w:id="61"/>
      <w:bookmarkEnd w:id="62"/>
      <w:bookmarkEnd w:id="63"/>
    </w:p>
    <w:p>
      <w:pPr>
        <w:pStyle w:val="15"/>
        <w:spacing w:line="360" w:lineRule="auto"/>
        <w:ind w:left="1"/>
        <w:jc w:val="left"/>
        <w:rPr>
          <w:rFonts w:hAnsi="宋体" w:cs="宋体"/>
          <w:bCs/>
          <w:szCs w:val="21"/>
        </w:rPr>
      </w:pPr>
      <w:r>
        <w:rPr>
          <w:rFonts w:hint="eastAsia" w:hAnsi="宋体" w:cs="宋体"/>
          <w:bCs/>
          <w:szCs w:val="21"/>
        </w:rPr>
        <w:t>1.  项目概况</w:t>
      </w:r>
    </w:p>
    <w:p>
      <w:pPr>
        <w:pStyle w:val="15"/>
        <w:spacing w:line="360" w:lineRule="auto"/>
        <w:ind w:firstLine="420" w:firstLineChars="200"/>
        <w:jc w:val="left"/>
        <w:rPr>
          <w:rFonts w:hAnsi="宋体" w:cs="宋体"/>
          <w:bCs/>
          <w:szCs w:val="21"/>
        </w:rPr>
      </w:pPr>
      <w:r>
        <w:rPr>
          <w:rFonts w:hint="eastAsia" w:hAnsi="宋体" w:cs="宋体"/>
          <w:bCs/>
          <w:szCs w:val="21"/>
        </w:rPr>
        <w:t>1.1  采购人：见</w:t>
      </w:r>
      <w:r>
        <w:rPr>
          <w:rFonts w:hint="eastAsia" w:hAnsi="宋体" w:cs="宋体"/>
          <w:szCs w:val="21"/>
        </w:rPr>
        <w:t>磋商供应商</w:t>
      </w:r>
      <w:r>
        <w:rPr>
          <w:rFonts w:hint="eastAsia" w:hAnsi="宋体" w:cs="宋体"/>
          <w:bCs/>
          <w:szCs w:val="21"/>
        </w:rPr>
        <w:t>须知前附表。</w:t>
      </w:r>
    </w:p>
    <w:p>
      <w:pPr>
        <w:pStyle w:val="15"/>
        <w:spacing w:line="360" w:lineRule="auto"/>
        <w:ind w:firstLine="420" w:firstLineChars="200"/>
        <w:jc w:val="left"/>
        <w:rPr>
          <w:rFonts w:hAnsi="宋体" w:cs="宋体"/>
          <w:bCs/>
          <w:szCs w:val="21"/>
        </w:rPr>
      </w:pPr>
      <w:r>
        <w:rPr>
          <w:rFonts w:hint="eastAsia" w:hAnsi="宋体" w:cs="宋体"/>
          <w:bCs/>
          <w:szCs w:val="21"/>
        </w:rPr>
        <w:t>1.2  采购代理机构：见</w:t>
      </w:r>
      <w:r>
        <w:rPr>
          <w:rFonts w:hint="eastAsia" w:hAnsi="宋体" w:cs="宋体"/>
          <w:szCs w:val="21"/>
        </w:rPr>
        <w:t>磋商供应商</w:t>
      </w:r>
      <w:r>
        <w:rPr>
          <w:rFonts w:hint="eastAsia" w:hAnsi="宋体" w:cs="宋体"/>
          <w:bCs/>
          <w:szCs w:val="21"/>
        </w:rPr>
        <w:t>须知前附表。</w:t>
      </w:r>
    </w:p>
    <w:p>
      <w:pPr>
        <w:pStyle w:val="15"/>
        <w:spacing w:line="360" w:lineRule="auto"/>
        <w:ind w:firstLine="420" w:firstLineChars="200"/>
        <w:jc w:val="left"/>
        <w:rPr>
          <w:rFonts w:hAnsi="宋体" w:cs="宋体"/>
          <w:bCs/>
          <w:szCs w:val="21"/>
        </w:rPr>
      </w:pPr>
      <w:r>
        <w:rPr>
          <w:rFonts w:hint="eastAsia" w:hAnsi="宋体" w:cs="宋体"/>
          <w:szCs w:val="21"/>
        </w:rPr>
        <w:t>1.3  项目名称：</w:t>
      </w:r>
      <w:r>
        <w:rPr>
          <w:rFonts w:hint="eastAsia" w:hAnsi="宋体" w:cs="宋体"/>
          <w:bCs/>
          <w:szCs w:val="21"/>
        </w:rPr>
        <w:t>见</w:t>
      </w:r>
      <w:r>
        <w:rPr>
          <w:rFonts w:hint="eastAsia" w:hAnsi="宋体" w:cs="宋体"/>
          <w:szCs w:val="21"/>
        </w:rPr>
        <w:t>磋商供应商</w:t>
      </w:r>
      <w:r>
        <w:rPr>
          <w:rFonts w:hint="eastAsia" w:hAnsi="宋体" w:cs="宋体"/>
          <w:bCs/>
          <w:szCs w:val="21"/>
        </w:rPr>
        <w:t>须知前附表。</w:t>
      </w:r>
    </w:p>
    <w:p>
      <w:pPr>
        <w:pStyle w:val="15"/>
        <w:spacing w:line="360" w:lineRule="auto"/>
        <w:ind w:firstLine="420" w:firstLineChars="200"/>
        <w:jc w:val="left"/>
        <w:rPr>
          <w:rFonts w:hAnsi="宋体" w:cs="宋体"/>
          <w:bCs/>
          <w:szCs w:val="21"/>
        </w:rPr>
      </w:pPr>
      <w:r>
        <w:rPr>
          <w:rFonts w:hint="eastAsia" w:hAnsi="宋体" w:cs="宋体"/>
          <w:szCs w:val="21"/>
        </w:rPr>
        <w:t>1.4  项目编号：</w:t>
      </w:r>
      <w:r>
        <w:rPr>
          <w:rFonts w:hint="eastAsia" w:hAnsi="宋体" w:cs="宋体"/>
          <w:bCs/>
          <w:szCs w:val="21"/>
        </w:rPr>
        <w:t>见</w:t>
      </w:r>
      <w:r>
        <w:rPr>
          <w:rFonts w:hint="eastAsia" w:hAnsi="宋体" w:cs="宋体"/>
          <w:szCs w:val="21"/>
        </w:rPr>
        <w:t>磋商供应商</w:t>
      </w:r>
      <w:r>
        <w:rPr>
          <w:rFonts w:hint="eastAsia" w:hAnsi="宋体" w:cs="宋体"/>
          <w:bCs/>
          <w:szCs w:val="21"/>
        </w:rPr>
        <w:t>须知前附表。</w:t>
      </w:r>
    </w:p>
    <w:p>
      <w:pPr>
        <w:pStyle w:val="15"/>
        <w:spacing w:line="360" w:lineRule="auto"/>
        <w:ind w:firstLine="420" w:firstLineChars="200"/>
        <w:jc w:val="left"/>
        <w:rPr>
          <w:rFonts w:hAnsi="宋体" w:cs="宋体"/>
          <w:bCs/>
          <w:szCs w:val="21"/>
        </w:rPr>
      </w:pPr>
      <w:r>
        <w:rPr>
          <w:rFonts w:hint="eastAsia" w:hAnsi="宋体" w:cs="宋体"/>
          <w:bCs/>
          <w:szCs w:val="21"/>
        </w:rPr>
        <w:t>1.5  采购预算：见</w:t>
      </w:r>
      <w:r>
        <w:rPr>
          <w:rFonts w:hint="eastAsia" w:hAnsi="宋体" w:cs="宋体"/>
          <w:szCs w:val="21"/>
        </w:rPr>
        <w:t>磋商供应商</w:t>
      </w:r>
      <w:r>
        <w:rPr>
          <w:rFonts w:hint="eastAsia" w:hAnsi="宋体" w:cs="宋体"/>
          <w:bCs/>
          <w:szCs w:val="21"/>
        </w:rPr>
        <w:t>须知前附表。</w:t>
      </w:r>
    </w:p>
    <w:p>
      <w:pPr>
        <w:pStyle w:val="15"/>
        <w:spacing w:line="360" w:lineRule="auto"/>
        <w:ind w:firstLine="420" w:firstLineChars="200"/>
        <w:jc w:val="left"/>
        <w:rPr>
          <w:rFonts w:hAnsi="宋体" w:cs="宋体"/>
          <w:bCs/>
          <w:szCs w:val="21"/>
        </w:rPr>
      </w:pPr>
      <w:r>
        <w:rPr>
          <w:rFonts w:hint="eastAsia" w:hAnsi="宋体" w:cs="宋体"/>
          <w:bCs/>
          <w:szCs w:val="21"/>
        </w:rPr>
        <w:t xml:space="preserve">1.6 </w:t>
      </w:r>
      <w:r>
        <w:rPr>
          <w:rFonts w:hint="eastAsia" w:hAnsi="宋体" w:cs="宋体"/>
          <w:szCs w:val="21"/>
        </w:rPr>
        <w:t xml:space="preserve"> 获取竞争性磋商文件的时间、地点、方式及竞争性磋商文件售价及报名要求：</w:t>
      </w:r>
      <w:r>
        <w:rPr>
          <w:rFonts w:hint="eastAsia" w:hAnsi="宋体" w:cs="宋体"/>
          <w:bCs/>
          <w:szCs w:val="21"/>
        </w:rPr>
        <w:t>见</w:t>
      </w:r>
      <w:r>
        <w:rPr>
          <w:rFonts w:hint="eastAsia" w:hAnsi="宋体" w:cs="宋体"/>
          <w:szCs w:val="21"/>
        </w:rPr>
        <w:t>磋商供应商</w:t>
      </w:r>
      <w:r>
        <w:rPr>
          <w:rFonts w:hint="eastAsia" w:hAnsi="宋体" w:cs="宋体"/>
          <w:bCs/>
          <w:szCs w:val="21"/>
        </w:rPr>
        <w:t>须知前附表。</w:t>
      </w:r>
    </w:p>
    <w:p>
      <w:pPr>
        <w:pStyle w:val="15"/>
        <w:spacing w:line="360" w:lineRule="auto"/>
        <w:jc w:val="left"/>
        <w:rPr>
          <w:rFonts w:hAnsi="宋体" w:cs="宋体"/>
          <w:bCs/>
          <w:szCs w:val="21"/>
        </w:rPr>
      </w:pPr>
      <w:r>
        <w:rPr>
          <w:rFonts w:hint="eastAsia" w:hAnsi="宋体" w:cs="宋体"/>
          <w:bCs/>
          <w:szCs w:val="21"/>
        </w:rPr>
        <w:t>2.  采购信息发布媒体：</w:t>
      </w:r>
    </w:p>
    <w:p>
      <w:pPr>
        <w:spacing w:line="360" w:lineRule="auto"/>
        <w:ind w:firstLine="630" w:firstLineChars="300"/>
        <w:rPr>
          <w:rFonts w:ascii="宋体" w:hAnsi="宋体" w:cs="宋体"/>
          <w:szCs w:val="21"/>
          <w:highlight w:val="none"/>
        </w:rPr>
      </w:pPr>
      <w:r>
        <w:rPr>
          <w:rFonts w:hint="eastAsia" w:ascii="宋体" w:hAnsi="宋体" w:cs="宋体"/>
          <w:bCs/>
          <w:szCs w:val="21"/>
        </w:rPr>
        <w:t>2.1  与本项目相关的业务信息（包括竞争性磋商公告、成交公告及其更正事项等）将在以下媒体上发布：采购与招标网（www.chinabidding.com.cn）、上海正弘建设工程顾问有限公司网</w:t>
      </w:r>
      <w:r>
        <w:rPr>
          <w:rFonts w:hint="eastAsia" w:ascii="宋体" w:hAnsi="宋体" w:cs="宋体"/>
          <w:szCs w:val="21"/>
        </w:rPr>
        <w:t>（http://www.zhenghong.net.cn/）</w:t>
      </w:r>
      <w:r>
        <w:rPr>
          <w:rFonts w:hint="eastAsia" w:ascii="宋体" w:hAnsi="宋体" w:cs="宋体"/>
          <w:szCs w:val="21"/>
          <w:highlight w:val="none"/>
          <w:lang w:eastAsia="zh-CN"/>
        </w:rPr>
        <w:t>、</w:t>
      </w:r>
      <w:r>
        <w:rPr>
          <w:rFonts w:hint="eastAsia"/>
          <w:kern w:val="2"/>
          <w:sz w:val="21"/>
          <w:szCs w:val="21"/>
          <w:highlight w:val="none"/>
        </w:rPr>
        <w:t>广西壮族自治区生态环境厅网站</w:t>
      </w:r>
      <w:r>
        <w:rPr>
          <w:rFonts w:hint="eastAsia"/>
          <w:kern w:val="2"/>
          <w:sz w:val="21"/>
          <w:szCs w:val="21"/>
          <w:highlight w:val="none"/>
          <w:lang w:eastAsia="zh-CN"/>
        </w:rPr>
        <w:t>（http://sthjt.gxzf.gov.cn/）</w:t>
      </w:r>
      <w:r>
        <w:rPr>
          <w:rFonts w:hint="eastAsia" w:ascii="宋体" w:hAnsi="宋体" w:cs="宋体"/>
          <w:bCs/>
          <w:szCs w:val="21"/>
          <w:highlight w:val="none"/>
        </w:rPr>
        <w:t>。</w:t>
      </w:r>
    </w:p>
    <w:p>
      <w:pPr>
        <w:pStyle w:val="15"/>
        <w:spacing w:line="440" w:lineRule="exact"/>
        <w:ind w:left="202" w:hanging="212" w:hangingChars="101"/>
        <w:jc w:val="left"/>
        <w:rPr>
          <w:rFonts w:hint="eastAsia" w:ascii="宋体" w:hAnsi="宋体" w:eastAsia="宋体" w:cs="宋体"/>
          <w:bCs/>
          <w:sz w:val="21"/>
          <w:szCs w:val="21"/>
        </w:rPr>
      </w:pPr>
      <w:r>
        <w:rPr>
          <w:rFonts w:hint="eastAsia" w:ascii="宋体" w:hAnsi="宋体" w:eastAsia="宋体" w:cs="宋体"/>
          <w:bCs/>
          <w:sz w:val="21"/>
          <w:szCs w:val="21"/>
        </w:rPr>
        <w:t>3. 供应商资格要求：</w:t>
      </w:r>
    </w:p>
    <w:p>
      <w:pPr>
        <w:pStyle w:val="15"/>
        <w:spacing w:line="440" w:lineRule="exact"/>
        <w:ind w:firstLine="420"/>
        <w:rPr>
          <w:rFonts w:hint="eastAsia" w:ascii="宋体" w:hAnsi="宋体" w:eastAsia="宋体" w:cs="宋体"/>
          <w:bCs/>
          <w:sz w:val="21"/>
          <w:szCs w:val="21"/>
        </w:rPr>
      </w:pPr>
      <w:r>
        <w:rPr>
          <w:rFonts w:hint="eastAsia" w:ascii="宋体" w:hAnsi="宋体" w:eastAsia="宋体" w:cs="宋体"/>
          <w:bCs/>
          <w:sz w:val="21"/>
          <w:szCs w:val="21"/>
        </w:rPr>
        <w:t>3.1 见供应商须知前附表。</w:t>
      </w:r>
    </w:p>
    <w:p>
      <w:pPr>
        <w:pStyle w:val="15"/>
        <w:spacing w:line="440" w:lineRule="exact"/>
        <w:ind w:firstLine="420"/>
        <w:rPr>
          <w:rFonts w:hint="eastAsia" w:ascii="宋体" w:hAnsi="宋体" w:eastAsia="宋体" w:cs="宋体"/>
          <w:bCs/>
          <w:sz w:val="21"/>
          <w:szCs w:val="21"/>
        </w:rPr>
      </w:pPr>
      <w:r>
        <w:rPr>
          <w:rFonts w:hint="eastAsia" w:ascii="宋体" w:hAnsi="宋体" w:eastAsia="宋体" w:cs="宋体"/>
          <w:bCs/>
          <w:sz w:val="21"/>
          <w:szCs w:val="21"/>
        </w:rPr>
        <w:t>3.2  针对本项目，供应商应具备的特定条件：见供应商须知前附表。</w:t>
      </w:r>
    </w:p>
    <w:p>
      <w:pPr>
        <w:pStyle w:val="15"/>
        <w:spacing w:line="360" w:lineRule="auto"/>
        <w:ind w:firstLine="420" w:firstLineChars="200"/>
        <w:rPr>
          <w:rFonts w:hint="eastAsia" w:ascii="宋体" w:hAnsi="宋体" w:eastAsia="宋体" w:cs="宋体"/>
          <w:sz w:val="21"/>
          <w:szCs w:val="21"/>
        </w:rPr>
      </w:pPr>
      <w:r>
        <w:rPr>
          <w:rFonts w:hint="eastAsia" w:hAnsi="宋体" w:cs="宋体"/>
          <w:bCs/>
          <w:szCs w:val="21"/>
        </w:rPr>
        <w:t xml:space="preserve">3.3 </w:t>
      </w:r>
      <w:r>
        <w:rPr>
          <w:rFonts w:hint="eastAsia" w:ascii="宋体" w:hAnsi="宋体" w:eastAsia="宋体" w:cs="宋体"/>
          <w:sz w:val="21"/>
          <w:szCs w:val="21"/>
        </w:rPr>
        <w:t>供应商须知前附表规定接受联合体磋商的，两个以上供应商可以组成一个磋商联合体，以一个供应商的身份共同参加磋商。以联合体形式参加磋商的，联合体各方均应当符合本章第3.1项的要求，至少应当有一方符合本章第3.2项的要求；联合体各方应签订共同磋商协议，明确联合体各方承担的工作和相应的责任，并将共同磋商协议连同响应文件一并提交采购代理机构；由同一专业的单位组成的联合体，按照资质等级最低的单位确定资质等级；联合体各方不得再以自己名义单独或组成新的联合体参加同一项目同一分标磋商，否则与之相关的响应文件作废；磋商联合体的业绩和信誉按联合体主体方（或牵头方）计算；联合体供应商的名称应统一按“××××公司与××××公司的联合体”的规则填写；联合体各方均应在《联合体协议》的签章处签章（包括单位公章和法人签字或盖章），其他磋商材料签章处可由联合体牵头方签章；在签订《采购合同》时，联合体各方应共同与采购人签订合同，联合体各方均应在合同的签章处签章。</w:t>
      </w:r>
    </w:p>
    <w:p>
      <w:pPr>
        <w:pStyle w:val="15"/>
        <w:spacing w:line="360" w:lineRule="auto"/>
        <w:ind w:firstLine="420" w:firstLineChars="200"/>
        <w:rPr>
          <w:rFonts w:hint="eastAsia" w:hAnsi="宋体" w:cs="宋体"/>
          <w:szCs w:val="21"/>
        </w:rPr>
      </w:pPr>
      <w:r>
        <w:rPr>
          <w:rFonts w:hint="eastAsia" w:hAnsi="宋体" w:cs="宋体"/>
          <w:bCs/>
          <w:szCs w:val="21"/>
        </w:rPr>
        <w:t xml:space="preserve">3.4  </w:t>
      </w:r>
      <w:r>
        <w:rPr>
          <w:rFonts w:hint="eastAsia" w:hAnsi="宋体" w:cs="宋体"/>
          <w:szCs w:val="21"/>
        </w:rPr>
        <w:t xml:space="preserve">磋商供应商不得直接或间接地与为本次采购的项目内容进行设计、编制规范和其他文件的咨询公司、采购人、采购代理机构或其附属机构有任何关联。 </w:t>
      </w:r>
    </w:p>
    <w:p>
      <w:pPr>
        <w:spacing w:line="360" w:lineRule="auto"/>
        <w:ind w:firstLine="418"/>
        <w:rPr>
          <w:rFonts w:ascii="宋体" w:hAnsi="宋体" w:cs="宋体"/>
          <w:szCs w:val="21"/>
        </w:rPr>
      </w:pPr>
      <w:r>
        <w:rPr>
          <w:rFonts w:hint="eastAsia" w:ascii="宋体" w:hAnsi="宋体" w:cs="宋体"/>
          <w:szCs w:val="21"/>
        </w:rPr>
        <w:t>4.质疑</w:t>
      </w:r>
    </w:p>
    <w:p>
      <w:pPr>
        <w:spacing w:line="360" w:lineRule="auto"/>
        <w:ind w:firstLine="418"/>
        <w:rPr>
          <w:rFonts w:ascii="宋体" w:hAnsi="宋体" w:cs="宋体"/>
          <w:szCs w:val="21"/>
        </w:rPr>
      </w:pPr>
      <w:r>
        <w:rPr>
          <w:rFonts w:hint="eastAsia" w:ascii="宋体" w:hAnsi="宋体" w:cs="宋体"/>
          <w:szCs w:val="21"/>
        </w:rPr>
        <w:t>4.1  磋商供应商认为竞争性磋商文件、采购过程或成交结果使自己的合法权益受到损害的，应当在知道或者应知其权益受到损害之日起七个工作日内，以书面形式向采购人、采购代理机构提出质疑。</w:t>
      </w:r>
    </w:p>
    <w:p>
      <w:pPr>
        <w:spacing w:line="360" w:lineRule="auto"/>
        <w:ind w:firstLine="418"/>
        <w:rPr>
          <w:rFonts w:ascii="宋体" w:hAnsi="宋体" w:cs="宋体"/>
          <w:szCs w:val="21"/>
        </w:rPr>
      </w:pPr>
      <w:r>
        <w:rPr>
          <w:rFonts w:hint="eastAsia" w:ascii="宋体" w:hAnsi="宋体" w:cs="宋体"/>
          <w:szCs w:val="21"/>
        </w:rPr>
        <w:t>4.2提出质疑的磋商供应商应当是参与所质疑项目采购活动的供应商，质疑函应按</w:t>
      </w:r>
      <w:r>
        <w:rPr>
          <w:rFonts w:hint="eastAsia"/>
        </w:rPr>
        <w:fldChar w:fldCharType="begin"/>
      </w:r>
      <w:r>
        <w:instrText xml:space="preserve"> HYPERLINK "https://www.baidu.com/link?url=FnEKpEfecgHI29OKpvrr0ThhhsjQDNw-iC11hZexO2s8DSLZMvZjUN1CP-ntt8geS3G5mNVZ0i2D2OwgmglOo6vjFDXXMR3ZdYuFwaHcBwa&amp;wd=&amp;eqid=f309d5cf0000e588000000065a976ec3" \t "_blank" </w:instrText>
      </w:r>
      <w:r>
        <w:rPr>
          <w:rFonts w:hint="eastAsia"/>
        </w:rPr>
        <w:fldChar w:fldCharType="separate"/>
      </w:r>
      <w:r>
        <w:rPr>
          <w:rFonts w:hint="eastAsia" w:ascii="宋体" w:hAnsi="宋体" w:cs="宋体"/>
          <w:szCs w:val="21"/>
        </w:rPr>
        <w:t>财政部发布《政府采购供应商质疑函范本》</w:t>
      </w:r>
      <w:r>
        <w:rPr>
          <w:rFonts w:hint="eastAsia" w:ascii="宋体" w:hAnsi="宋体" w:cs="宋体"/>
          <w:szCs w:val="21"/>
        </w:rPr>
        <w:fldChar w:fldCharType="end"/>
      </w:r>
      <w:r>
        <w:rPr>
          <w:rFonts w:hint="eastAsia" w:ascii="宋体" w:hAnsi="宋体" w:cs="宋体"/>
          <w:szCs w:val="21"/>
        </w:rPr>
        <w:t>编制，质疑函内容或格式不符合其规定的，磋商供应商应按该范本要求进行修改后重新提交。其必须在法定质疑期内一次性提出针对同一采购程序环节的质疑。供应商对同一采购程序环节重复提出质疑的，采购代理机构将不予受理。且其质疑行为和质疑函内容应当符合《政府采购质疑和投诉办法》（中华人民共和国财政部令第94号）规定。</w:t>
      </w:r>
    </w:p>
    <w:p>
      <w:pPr>
        <w:spacing w:line="360" w:lineRule="auto"/>
        <w:ind w:firstLine="418"/>
        <w:rPr>
          <w:rFonts w:ascii="宋体" w:hAnsi="宋体" w:cs="宋体"/>
          <w:szCs w:val="21"/>
        </w:rPr>
      </w:pPr>
      <w:r>
        <w:rPr>
          <w:rFonts w:hint="eastAsia" w:ascii="宋体" w:hAnsi="宋体" w:cs="宋体"/>
          <w:szCs w:val="21"/>
        </w:rPr>
        <w:t>4.3供应商质疑实行实名制，其质疑应当有具体的质疑事项及事实根据，质疑应当坚持依法依规、诚实信用原则，不得进行虚假、恶意质疑。</w:t>
      </w:r>
    </w:p>
    <w:p>
      <w:pPr>
        <w:spacing w:line="360" w:lineRule="auto"/>
        <w:ind w:firstLine="418"/>
        <w:rPr>
          <w:rFonts w:ascii="宋体" w:hAnsi="宋体" w:cs="宋体"/>
          <w:szCs w:val="21"/>
        </w:rPr>
      </w:pPr>
      <w:r>
        <w:rPr>
          <w:rFonts w:hint="eastAsia" w:ascii="宋体" w:hAnsi="宋体" w:cs="宋体"/>
          <w:szCs w:val="21"/>
        </w:rPr>
        <w:t>4.4供应商提交质疑应当提交质疑函和必要的证明材料，质疑函应当包括下列内容：</w:t>
      </w:r>
    </w:p>
    <w:p>
      <w:pPr>
        <w:spacing w:line="360" w:lineRule="auto"/>
        <w:ind w:firstLine="418"/>
        <w:rPr>
          <w:rFonts w:ascii="宋体" w:hAnsi="宋体" w:cs="宋体"/>
          <w:szCs w:val="21"/>
        </w:rPr>
      </w:pPr>
      <w:r>
        <w:rPr>
          <w:rFonts w:hint="eastAsia" w:ascii="宋体" w:hAnsi="宋体" w:cs="宋体"/>
          <w:szCs w:val="21"/>
        </w:rPr>
        <w:t>（1）供应商的姓名或者名称、地址、邮编、联系人及联系电话；</w:t>
      </w:r>
    </w:p>
    <w:p>
      <w:pPr>
        <w:spacing w:line="360" w:lineRule="auto"/>
        <w:ind w:firstLine="418"/>
        <w:rPr>
          <w:rFonts w:ascii="宋体" w:hAnsi="宋体" w:cs="宋体"/>
          <w:szCs w:val="21"/>
        </w:rPr>
      </w:pPr>
      <w:r>
        <w:rPr>
          <w:rFonts w:hint="eastAsia" w:ascii="宋体" w:hAnsi="宋体" w:cs="宋体"/>
          <w:szCs w:val="21"/>
        </w:rPr>
        <w:t>（2）质疑项目的名称、编号；</w:t>
      </w:r>
    </w:p>
    <w:p>
      <w:pPr>
        <w:spacing w:line="360" w:lineRule="auto"/>
        <w:ind w:firstLine="418"/>
        <w:rPr>
          <w:rFonts w:ascii="宋体" w:hAnsi="宋体" w:cs="宋体"/>
          <w:szCs w:val="21"/>
        </w:rPr>
      </w:pPr>
      <w:r>
        <w:rPr>
          <w:rFonts w:hint="eastAsia" w:ascii="宋体" w:hAnsi="宋体" w:cs="宋体"/>
          <w:szCs w:val="21"/>
        </w:rPr>
        <w:t>（3）具体、明确的质疑事项和质疑事项相关的请求；</w:t>
      </w:r>
    </w:p>
    <w:p>
      <w:pPr>
        <w:spacing w:line="360" w:lineRule="auto"/>
        <w:ind w:firstLine="418"/>
        <w:rPr>
          <w:rFonts w:ascii="宋体" w:hAnsi="宋体" w:cs="宋体"/>
          <w:szCs w:val="21"/>
        </w:rPr>
      </w:pPr>
      <w:r>
        <w:rPr>
          <w:rFonts w:hint="eastAsia" w:ascii="宋体" w:hAnsi="宋体" w:cs="宋体"/>
          <w:szCs w:val="21"/>
        </w:rPr>
        <w:t>（4）事实依据；</w:t>
      </w:r>
    </w:p>
    <w:p>
      <w:pPr>
        <w:spacing w:line="360" w:lineRule="auto"/>
        <w:ind w:firstLine="418"/>
        <w:rPr>
          <w:rFonts w:ascii="宋体" w:hAnsi="宋体" w:cs="宋体"/>
          <w:szCs w:val="21"/>
        </w:rPr>
      </w:pPr>
      <w:r>
        <w:rPr>
          <w:rFonts w:hint="eastAsia" w:ascii="宋体" w:hAnsi="宋体" w:cs="宋体"/>
          <w:szCs w:val="21"/>
        </w:rPr>
        <w:t>（5）必要的法律依据；</w:t>
      </w:r>
    </w:p>
    <w:p>
      <w:pPr>
        <w:spacing w:line="360" w:lineRule="auto"/>
        <w:ind w:firstLine="418"/>
        <w:rPr>
          <w:rFonts w:hint="eastAsia" w:ascii="宋体" w:hAnsi="宋体" w:cs="宋体"/>
          <w:szCs w:val="21"/>
        </w:rPr>
      </w:pPr>
      <w:r>
        <w:rPr>
          <w:rFonts w:hint="eastAsia" w:ascii="宋体" w:hAnsi="宋体" w:cs="宋体"/>
          <w:szCs w:val="21"/>
        </w:rPr>
        <w:t>（6）提起质疑的日期；</w:t>
      </w:r>
    </w:p>
    <w:p>
      <w:pPr>
        <w:pStyle w:val="11"/>
        <w:ind w:firstLine="420" w:firstLineChars="200"/>
        <w:rPr>
          <w:rFonts w:hint="eastAsia"/>
        </w:rPr>
      </w:pPr>
      <w:r>
        <w:rPr>
          <w:rFonts w:hint="eastAsia"/>
          <w:lang w:eastAsia="zh-CN"/>
        </w:rPr>
        <w:t>（</w:t>
      </w:r>
      <w:r>
        <w:rPr>
          <w:rFonts w:hint="eastAsia"/>
          <w:lang w:val="en-US" w:eastAsia="zh-CN"/>
        </w:rPr>
        <w:t>7）</w:t>
      </w:r>
      <w:r>
        <w:rPr>
          <w:rFonts w:hint="eastAsia"/>
        </w:rPr>
        <w:t>营业执照（或事业单位法人证书）复印件；</w:t>
      </w:r>
    </w:p>
    <w:p>
      <w:pPr>
        <w:spacing w:line="360" w:lineRule="auto"/>
        <w:ind w:firstLine="418"/>
        <w:rPr>
          <w:rFonts w:ascii="宋体" w:hAnsi="宋体" w:cs="宋体"/>
          <w:szCs w:val="21"/>
        </w:rPr>
      </w:pPr>
      <w:r>
        <w:rPr>
          <w:rFonts w:hint="eastAsia" w:ascii="宋体" w:hAnsi="宋体" w:cs="宋体"/>
          <w:szCs w:val="21"/>
        </w:rPr>
        <w:t>质疑书应当署名。供应商为自然人的，应当由本人签字；质疑供应商为法人或者其他组织的，应当由法定代表人、主要负责人签字或其授权代表签字或盖章并加盖公章。</w:t>
      </w:r>
    </w:p>
    <w:p>
      <w:pPr>
        <w:spacing w:line="360" w:lineRule="auto"/>
        <w:ind w:firstLine="418"/>
        <w:rPr>
          <w:rFonts w:ascii="宋体" w:hAnsi="宋体" w:cs="宋体"/>
          <w:szCs w:val="21"/>
        </w:rPr>
      </w:pPr>
      <w:r>
        <w:rPr>
          <w:rFonts w:hint="eastAsia" w:ascii="宋体" w:hAnsi="宋体" w:cs="宋体"/>
          <w:szCs w:val="21"/>
        </w:rPr>
        <w:t>4.5 质疑供应商可以委托代理人办理质疑事务。委托代理人办理质疑事务时，除提交质疑书外，还应当提交质疑供应商的授权委托书，授权委托书应当载明委托代理的具体权限和事项；提交委托代理人身份证明复印件（原件备查）。</w:t>
      </w:r>
    </w:p>
    <w:p>
      <w:pPr>
        <w:spacing w:line="360" w:lineRule="auto"/>
        <w:ind w:firstLine="418"/>
        <w:rPr>
          <w:rFonts w:ascii="宋体" w:hAnsi="宋体" w:cs="宋体"/>
          <w:szCs w:val="21"/>
        </w:rPr>
      </w:pPr>
      <w:r>
        <w:rPr>
          <w:rFonts w:hint="eastAsia" w:ascii="宋体" w:hAnsi="宋体" w:cs="宋体"/>
          <w:szCs w:val="21"/>
        </w:rPr>
        <w:t>4.6  质疑供应商提起质疑应当符合下列条件：</w:t>
      </w:r>
    </w:p>
    <w:p>
      <w:pPr>
        <w:spacing w:line="360" w:lineRule="auto"/>
        <w:ind w:firstLine="418"/>
        <w:rPr>
          <w:rFonts w:ascii="宋体" w:hAnsi="宋体" w:cs="宋体"/>
          <w:szCs w:val="21"/>
        </w:rPr>
      </w:pPr>
      <w:r>
        <w:rPr>
          <w:rFonts w:hint="eastAsia" w:ascii="宋体" w:hAnsi="宋体" w:cs="宋体"/>
          <w:szCs w:val="21"/>
        </w:rPr>
        <w:t>（1）质疑供应商是参与所质疑采购活动的供应商，以联合体形式参加采购活动的，其质疑应当由组成联合体的所有供应商共同提出；</w:t>
      </w:r>
    </w:p>
    <w:p>
      <w:pPr>
        <w:spacing w:line="360" w:lineRule="auto"/>
        <w:ind w:firstLine="418"/>
        <w:rPr>
          <w:rFonts w:ascii="宋体" w:hAnsi="宋体" w:cs="宋体"/>
          <w:szCs w:val="21"/>
        </w:rPr>
      </w:pPr>
      <w:r>
        <w:rPr>
          <w:rFonts w:hint="eastAsia" w:ascii="宋体" w:hAnsi="宋体" w:cs="宋体"/>
          <w:szCs w:val="21"/>
        </w:rPr>
        <w:t>（2）质疑函内容符合本章第4.4项的规定；</w:t>
      </w:r>
    </w:p>
    <w:p>
      <w:pPr>
        <w:spacing w:line="360" w:lineRule="auto"/>
        <w:ind w:firstLine="418"/>
        <w:rPr>
          <w:rFonts w:ascii="宋体" w:hAnsi="宋体" w:cs="宋体"/>
          <w:szCs w:val="21"/>
        </w:rPr>
      </w:pPr>
      <w:r>
        <w:rPr>
          <w:rFonts w:hint="eastAsia" w:ascii="宋体" w:hAnsi="宋体" w:cs="宋体"/>
          <w:szCs w:val="21"/>
        </w:rPr>
        <w:t>（3）在质疑有效期限内提起质疑；</w:t>
      </w:r>
    </w:p>
    <w:p>
      <w:pPr>
        <w:spacing w:line="360" w:lineRule="auto"/>
        <w:ind w:firstLine="418"/>
        <w:rPr>
          <w:rFonts w:ascii="宋体" w:hAnsi="宋体" w:cs="宋体"/>
          <w:szCs w:val="21"/>
        </w:rPr>
      </w:pPr>
      <w:r>
        <w:rPr>
          <w:rFonts w:hint="eastAsia" w:ascii="宋体" w:hAnsi="宋体" w:cs="宋体"/>
          <w:szCs w:val="21"/>
        </w:rPr>
        <w:t>（4）属于所质疑的采购人或采购人委托的采购代理机构组织的采购活动；</w:t>
      </w:r>
    </w:p>
    <w:p>
      <w:pPr>
        <w:spacing w:line="360" w:lineRule="auto"/>
        <w:ind w:firstLine="418"/>
        <w:rPr>
          <w:rFonts w:ascii="宋体" w:hAnsi="宋体" w:cs="宋体"/>
          <w:szCs w:val="21"/>
        </w:rPr>
      </w:pPr>
      <w:r>
        <w:rPr>
          <w:rFonts w:hint="eastAsia" w:ascii="宋体" w:hAnsi="宋体" w:cs="宋体"/>
          <w:szCs w:val="21"/>
        </w:rPr>
        <w:t xml:space="preserve">（5）同一质疑事项未经采购人或采购人委托的采购代理机构质疑处理； </w:t>
      </w:r>
    </w:p>
    <w:p>
      <w:pPr>
        <w:spacing w:line="360" w:lineRule="auto"/>
        <w:ind w:firstLine="418"/>
        <w:rPr>
          <w:rFonts w:ascii="宋体" w:hAnsi="宋体" w:cs="宋体"/>
          <w:szCs w:val="21"/>
        </w:rPr>
      </w:pPr>
      <w:r>
        <w:rPr>
          <w:rFonts w:hint="eastAsia" w:ascii="宋体" w:hAnsi="宋体" w:cs="宋体"/>
          <w:szCs w:val="21"/>
        </w:rPr>
        <w:t>（6）供应商对同一采购程序环节的质疑应当在质疑有效期内一次性提出；</w:t>
      </w:r>
    </w:p>
    <w:p>
      <w:pPr>
        <w:spacing w:line="360" w:lineRule="auto"/>
        <w:ind w:firstLine="418"/>
        <w:rPr>
          <w:rFonts w:ascii="宋体" w:hAnsi="宋体" w:cs="宋体"/>
          <w:szCs w:val="21"/>
        </w:rPr>
      </w:pPr>
      <w:r>
        <w:rPr>
          <w:rFonts w:hint="eastAsia" w:ascii="宋体" w:hAnsi="宋体" w:cs="宋体"/>
          <w:szCs w:val="21"/>
        </w:rPr>
        <w:t>（7）供应商提交质疑应当提交必要的证明材料，证明材料应以合法手段取得；</w:t>
      </w:r>
    </w:p>
    <w:p>
      <w:pPr>
        <w:spacing w:line="360" w:lineRule="auto"/>
        <w:ind w:firstLine="418"/>
        <w:rPr>
          <w:rFonts w:ascii="宋体" w:hAnsi="宋体" w:cs="宋体"/>
          <w:szCs w:val="21"/>
        </w:rPr>
      </w:pPr>
      <w:r>
        <w:rPr>
          <w:rFonts w:hint="eastAsia" w:ascii="宋体" w:hAnsi="宋体" w:cs="宋体"/>
          <w:szCs w:val="21"/>
        </w:rPr>
        <w:t>（8）财政部门规定的其他条件。</w:t>
      </w:r>
    </w:p>
    <w:p>
      <w:pPr>
        <w:spacing w:line="360" w:lineRule="auto"/>
        <w:ind w:firstLine="418"/>
        <w:rPr>
          <w:rFonts w:ascii="宋体" w:hAnsi="宋体" w:cs="宋体"/>
          <w:szCs w:val="21"/>
        </w:rPr>
      </w:pPr>
      <w:r>
        <w:rPr>
          <w:rFonts w:hint="eastAsia" w:ascii="宋体" w:hAnsi="宋体" w:cs="宋体"/>
          <w:szCs w:val="21"/>
        </w:rPr>
        <w:t>4.7  采购人或采购人委托的采购代理机构自受理质疑之日起七个工作日内，对质疑事项作出答复，并以书面形式通知质疑供应商及其他有关供应商。</w:t>
      </w:r>
    </w:p>
    <w:p>
      <w:pPr>
        <w:pStyle w:val="15"/>
        <w:spacing w:line="360" w:lineRule="auto"/>
        <w:ind w:firstLine="420" w:firstLineChars="200"/>
        <w:jc w:val="left"/>
        <w:rPr>
          <w:rFonts w:hAnsi="宋体" w:cs="宋体"/>
          <w:bCs/>
          <w:szCs w:val="21"/>
        </w:rPr>
      </w:pPr>
      <w:r>
        <w:rPr>
          <w:rFonts w:hint="eastAsia" w:hAnsi="宋体" w:cs="宋体"/>
          <w:bCs/>
          <w:szCs w:val="21"/>
        </w:rPr>
        <w:t>5. 投诉</w:t>
      </w:r>
    </w:p>
    <w:p>
      <w:pPr>
        <w:pStyle w:val="15"/>
        <w:spacing w:line="360" w:lineRule="auto"/>
        <w:ind w:firstLine="420" w:firstLineChars="200"/>
        <w:jc w:val="left"/>
        <w:rPr>
          <w:rFonts w:hAnsi="宋体" w:cs="宋体"/>
          <w:bCs/>
          <w:szCs w:val="21"/>
        </w:rPr>
      </w:pPr>
      <w:r>
        <w:rPr>
          <w:rFonts w:hint="eastAsia" w:hAnsi="宋体" w:cs="宋体"/>
          <w:bCs/>
          <w:szCs w:val="21"/>
        </w:rPr>
        <w:t>5.1  供应商对采购人、采购代理机构的答复不满意，或者采购人、采购代理机构未在规定时间内作出答复的，可以在答复期满后15个工作日内按照相关法律法规向</w:t>
      </w:r>
      <w:r>
        <w:rPr>
          <w:rFonts w:hint="eastAsia" w:hAnsi="宋体" w:cs="宋体"/>
          <w:bCs/>
          <w:szCs w:val="21"/>
          <w:lang w:val="en-US" w:eastAsia="zh-CN"/>
        </w:rPr>
        <w:t>相关</w:t>
      </w:r>
      <w:r>
        <w:rPr>
          <w:rFonts w:hint="eastAsia" w:hAnsi="宋体" w:cs="宋体"/>
          <w:bCs/>
          <w:szCs w:val="21"/>
        </w:rPr>
        <w:t>部门提起投诉。</w:t>
      </w:r>
    </w:p>
    <w:p>
      <w:pPr>
        <w:pStyle w:val="15"/>
        <w:spacing w:line="360" w:lineRule="auto"/>
        <w:ind w:firstLine="420" w:firstLineChars="200"/>
        <w:jc w:val="left"/>
        <w:rPr>
          <w:rFonts w:hAnsi="宋体" w:cs="宋体"/>
          <w:szCs w:val="21"/>
        </w:rPr>
      </w:pPr>
      <w:r>
        <w:rPr>
          <w:rFonts w:hint="eastAsia" w:hAnsi="宋体" w:cs="宋体"/>
          <w:szCs w:val="21"/>
        </w:rPr>
        <w:t>5.2  投诉人投诉时，应当提交投诉书，并按照被投诉采购人、采购代理机构和与投诉事项有关的供应商数量提供投诉书的副本。投诉书应当包括下列主要内容（如材料中有外文资料应同时附上对应的中文译本）：</w:t>
      </w:r>
    </w:p>
    <w:p>
      <w:pPr>
        <w:pStyle w:val="15"/>
        <w:spacing w:line="360" w:lineRule="auto"/>
        <w:ind w:firstLine="420" w:firstLineChars="200"/>
        <w:jc w:val="left"/>
        <w:rPr>
          <w:rFonts w:hAnsi="宋体" w:cs="宋体"/>
          <w:szCs w:val="21"/>
        </w:rPr>
      </w:pPr>
      <w:r>
        <w:rPr>
          <w:rFonts w:hint="eastAsia" w:hAnsi="宋体" w:cs="宋体"/>
          <w:szCs w:val="21"/>
        </w:rPr>
        <w:t xml:space="preserve">（1）投诉人和被投诉人的名称、地址、电话等； </w:t>
      </w:r>
    </w:p>
    <w:p>
      <w:pPr>
        <w:pStyle w:val="15"/>
        <w:spacing w:line="360" w:lineRule="auto"/>
        <w:ind w:firstLine="420" w:firstLineChars="200"/>
        <w:jc w:val="left"/>
        <w:rPr>
          <w:rFonts w:hAnsi="宋体" w:cs="宋体"/>
          <w:szCs w:val="21"/>
        </w:rPr>
      </w:pPr>
      <w:r>
        <w:rPr>
          <w:rFonts w:hint="eastAsia" w:hAnsi="宋体" w:cs="宋体"/>
          <w:szCs w:val="21"/>
        </w:rPr>
        <w:t>（2）具体的投诉事项及事实依据；</w:t>
      </w:r>
    </w:p>
    <w:p>
      <w:pPr>
        <w:pStyle w:val="15"/>
        <w:spacing w:line="360" w:lineRule="auto"/>
        <w:ind w:firstLine="420" w:firstLineChars="200"/>
        <w:jc w:val="left"/>
        <w:rPr>
          <w:rFonts w:hAnsi="宋体" w:cs="宋体"/>
          <w:szCs w:val="21"/>
        </w:rPr>
      </w:pPr>
      <w:r>
        <w:rPr>
          <w:rFonts w:hint="eastAsia" w:hAnsi="宋体" w:cs="宋体"/>
          <w:szCs w:val="21"/>
        </w:rPr>
        <w:t xml:space="preserve">（3）质疑和质疑答复情况及相关证明材料； </w:t>
      </w:r>
    </w:p>
    <w:p>
      <w:pPr>
        <w:pStyle w:val="15"/>
        <w:tabs>
          <w:tab w:val="right" w:pos="9638"/>
        </w:tabs>
        <w:spacing w:line="360" w:lineRule="auto"/>
        <w:ind w:firstLine="420" w:firstLineChars="200"/>
        <w:jc w:val="left"/>
        <w:rPr>
          <w:rFonts w:hAnsi="宋体" w:cs="宋体"/>
          <w:szCs w:val="21"/>
        </w:rPr>
      </w:pPr>
      <w:r>
        <w:rPr>
          <w:rFonts w:hint="eastAsia" w:hAnsi="宋体" w:cs="宋体"/>
          <w:szCs w:val="21"/>
        </w:rPr>
        <w:t>（4）提起投诉的日期。</w:t>
      </w:r>
      <w:r>
        <w:rPr>
          <w:rFonts w:hint="eastAsia" w:hAnsi="宋体" w:cs="宋体"/>
          <w:szCs w:val="21"/>
        </w:rPr>
        <w:tab/>
      </w:r>
    </w:p>
    <w:p>
      <w:pPr>
        <w:pStyle w:val="15"/>
        <w:tabs>
          <w:tab w:val="right" w:pos="9638"/>
        </w:tabs>
        <w:spacing w:line="360" w:lineRule="auto"/>
        <w:ind w:firstLine="420" w:firstLineChars="200"/>
        <w:jc w:val="left"/>
        <w:rPr>
          <w:rFonts w:hAnsi="宋体" w:cs="宋体"/>
          <w:szCs w:val="21"/>
        </w:rPr>
      </w:pPr>
      <w:r>
        <w:rPr>
          <w:rFonts w:hint="eastAsia" w:hAnsi="宋体" w:cs="宋体"/>
          <w:szCs w:val="21"/>
        </w:rPr>
        <w:t>投诉书应当署名。投诉人为法人或者其他组织的，应当由法定代表人或者主要负责人签字盖章并加盖公章。</w:t>
      </w:r>
    </w:p>
    <w:p>
      <w:pPr>
        <w:pStyle w:val="15"/>
        <w:spacing w:line="360" w:lineRule="auto"/>
        <w:ind w:firstLine="420" w:firstLineChars="200"/>
        <w:rPr>
          <w:rFonts w:hAnsi="宋体" w:cs="宋体"/>
          <w:color w:val="auto"/>
          <w:szCs w:val="21"/>
        </w:rPr>
      </w:pPr>
      <w:r>
        <w:rPr>
          <w:rFonts w:hint="eastAsia" w:hAnsi="宋体" w:cs="宋体"/>
          <w:szCs w:val="21"/>
        </w:rPr>
        <w:t>5.3  投诉人可以委托代理人办理投诉事务。代理人办理投诉事务时，除提交投诉书外，还应当提交投诉人的授权委托书，授权委托书应</w:t>
      </w:r>
      <w:r>
        <w:rPr>
          <w:rFonts w:hint="eastAsia" w:hAnsi="宋体" w:cs="宋体"/>
          <w:color w:val="auto"/>
          <w:szCs w:val="21"/>
        </w:rPr>
        <w:t>当载明委托代理的具体权限和事项。</w:t>
      </w:r>
    </w:p>
    <w:p>
      <w:pPr>
        <w:pStyle w:val="15"/>
        <w:spacing w:line="360" w:lineRule="auto"/>
        <w:ind w:firstLine="420" w:firstLineChars="200"/>
        <w:rPr>
          <w:rFonts w:hAnsi="宋体" w:cs="宋体"/>
          <w:color w:val="auto"/>
          <w:szCs w:val="21"/>
        </w:rPr>
      </w:pPr>
      <w:r>
        <w:rPr>
          <w:rFonts w:hint="eastAsia" w:hAnsi="宋体" w:cs="宋体"/>
          <w:color w:val="auto"/>
          <w:szCs w:val="21"/>
        </w:rPr>
        <w:t>5.4  投诉人提起投诉应当符合下列条件：</w:t>
      </w:r>
    </w:p>
    <w:p>
      <w:pPr>
        <w:spacing w:line="360" w:lineRule="auto"/>
        <w:ind w:firstLine="420" w:firstLineChars="200"/>
        <w:rPr>
          <w:rFonts w:hint="eastAsia" w:ascii="宋体" w:hAnsi="宋体" w:cs="宋体"/>
          <w:color w:val="auto"/>
        </w:rPr>
      </w:pPr>
      <w:r>
        <w:rPr>
          <w:rFonts w:hint="eastAsia" w:ascii="宋体" w:hAnsi="宋体" w:cs="宋体"/>
          <w:color w:val="auto"/>
        </w:rPr>
        <w:t>（1）投诉人是参与所投诉采购活动的供应商；</w:t>
      </w:r>
    </w:p>
    <w:p>
      <w:pPr>
        <w:spacing w:line="360" w:lineRule="auto"/>
        <w:ind w:firstLine="420" w:firstLineChars="200"/>
        <w:rPr>
          <w:rFonts w:hint="eastAsia" w:ascii="宋体" w:hAnsi="宋体" w:cs="宋体"/>
          <w:color w:val="auto"/>
        </w:rPr>
      </w:pPr>
      <w:r>
        <w:rPr>
          <w:rFonts w:hint="eastAsia" w:ascii="宋体" w:hAnsi="宋体" w:cs="宋体"/>
          <w:color w:val="auto"/>
        </w:rPr>
        <w:t>（2）提起投诉前已依法进行质疑；</w:t>
      </w:r>
    </w:p>
    <w:p>
      <w:pPr>
        <w:spacing w:line="360" w:lineRule="auto"/>
        <w:ind w:firstLine="420" w:firstLineChars="200"/>
        <w:rPr>
          <w:rFonts w:hint="eastAsia" w:ascii="宋体" w:hAnsi="宋体" w:cs="宋体"/>
          <w:color w:val="auto"/>
        </w:rPr>
      </w:pPr>
      <w:r>
        <w:rPr>
          <w:rFonts w:hint="eastAsia" w:ascii="宋体" w:hAnsi="宋体" w:cs="宋体"/>
          <w:color w:val="auto"/>
        </w:rPr>
        <w:t>（3）投诉书内容符合本章第</w:t>
      </w:r>
      <w:r>
        <w:rPr>
          <w:rFonts w:hint="eastAsia" w:ascii="宋体" w:hAnsi="宋体" w:cs="宋体"/>
          <w:color w:val="auto"/>
          <w:lang w:val="en-US" w:eastAsia="zh-CN"/>
        </w:rPr>
        <w:t>5.2</w:t>
      </w:r>
      <w:r>
        <w:rPr>
          <w:rFonts w:hint="eastAsia" w:ascii="宋体" w:hAnsi="宋体" w:cs="宋体"/>
          <w:color w:val="auto"/>
        </w:rPr>
        <w:t>项的规定；</w:t>
      </w:r>
    </w:p>
    <w:p>
      <w:pPr>
        <w:spacing w:line="360" w:lineRule="auto"/>
        <w:ind w:firstLine="420" w:firstLineChars="200"/>
        <w:rPr>
          <w:rFonts w:hint="eastAsia" w:ascii="宋体" w:hAnsi="宋体" w:cs="宋体"/>
          <w:color w:val="auto"/>
        </w:rPr>
      </w:pPr>
      <w:r>
        <w:rPr>
          <w:rFonts w:hint="eastAsia" w:ascii="宋体" w:hAnsi="宋体" w:cs="宋体"/>
          <w:color w:val="auto"/>
        </w:rPr>
        <w:t>（4）在投诉有效期限内提起投诉；</w:t>
      </w:r>
    </w:p>
    <w:p>
      <w:pPr>
        <w:spacing w:line="360" w:lineRule="auto"/>
        <w:ind w:firstLine="420" w:firstLineChars="200"/>
        <w:rPr>
          <w:rFonts w:hint="eastAsia" w:ascii="宋体" w:hAnsi="宋体" w:cs="宋体"/>
          <w:color w:val="auto"/>
        </w:rPr>
      </w:pPr>
      <w:r>
        <w:rPr>
          <w:rFonts w:hint="eastAsia" w:ascii="宋体" w:hAnsi="宋体" w:cs="宋体"/>
          <w:color w:val="auto"/>
        </w:rPr>
        <w:t>（6）同一投诉事项未经</w:t>
      </w:r>
      <w:r>
        <w:rPr>
          <w:rFonts w:hint="eastAsia" w:ascii="宋体" w:hAnsi="宋体" w:cs="宋体"/>
          <w:bCs/>
          <w:color w:val="auto"/>
        </w:rPr>
        <w:t>监督管理部门</w:t>
      </w:r>
      <w:r>
        <w:rPr>
          <w:rFonts w:hint="eastAsia" w:ascii="宋体" w:hAnsi="宋体" w:cs="宋体"/>
          <w:color w:val="auto"/>
        </w:rPr>
        <w:t>投诉处理；</w:t>
      </w:r>
    </w:p>
    <w:p>
      <w:pPr>
        <w:spacing w:line="360" w:lineRule="auto"/>
        <w:ind w:firstLine="420" w:firstLineChars="200"/>
        <w:rPr>
          <w:rFonts w:hint="eastAsia" w:ascii="宋体" w:hAnsi="宋体" w:cs="宋体"/>
          <w:color w:val="auto"/>
        </w:rPr>
      </w:pPr>
      <w:r>
        <w:rPr>
          <w:rFonts w:hint="eastAsia" w:ascii="宋体" w:hAnsi="宋体" w:cs="宋体"/>
          <w:color w:val="auto"/>
        </w:rPr>
        <w:t>（7）国务院财政部门规定的其他条件。</w:t>
      </w:r>
    </w:p>
    <w:p>
      <w:pPr>
        <w:spacing w:line="360" w:lineRule="auto"/>
        <w:ind w:firstLine="420" w:firstLineChars="200"/>
        <w:rPr>
          <w:rFonts w:ascii="宋体" w:hAnsi="宋体" w:cs="宋体"/>
          <w:szCs w:val="21"/>
        </w:rPr>
      </w:pPr>
      <w:r>
        <w:rPr>
          <w:rFonts w:hint="eastAsia" w:ascii="宋体" w:hAnsi="宋体" w:cs="宋体"/>
          <w:color w:val="auto"/>
          <w:szCs w:val="21"/>
        </w:rPr>
        <w:t>5.5在确定受理投诉后，</w:t>
      </w:r>
      <w:r>
        <w:rPr>
          <w:rFonts w:hint="eastAsia" w:ascii="宋体" w:hAnsi="宋体" w:cs="宋体"/>
          <w:color w:val="auto"/>
          <w:szCs w:val="21"/>
          <w:lang w:eastAsia="zh-CN"/>
        </w:rPr>
        <w:t>相关</w:t>
      </w:r>
      <w:r>
        <w:rPr>
          <w:rFonts w:hint="eastAsia" w:ascii="宋体" w:hAnsi="宋体" w:cs="宋体"/>
          <w:color w:val="auto"/>
          <w:szCs w:val="21"/>
        </w:rPr>
        <w:t>部门自受理投诉之日起30个</w:t>
      </w:r>
      <w:r>
        <w:rPr>
          <w:rFonts w:hint="eastAsia" w:ascii="宋体" w:hAnsi="宋体" w:cs="宋体"/>
          <w:szCs w:val="21"/>
        </w:rPr>
        <w:t>工作日内（需要检验、检测、鉴定、专家评审以及需要投诉人补正材料的，所需时间不计算在投诉处理期限内）对投诉事项做出处理决定。</w:t>
      </w:r>
    </w:p>
    <w:p>
      <w:pPr>
        <w:pStyle w:val="15"/>
        <w:spacing w:line="360" w:lineRule="auto"/>
        <w:ind w:firstLine="420" w:firstLineChars="200"/>
        <w:rPr>
          <w:rFonts w:hAnsi="宋体" w:cs="宋体"/>
          <w:bCs/>
          <w:szCs w:val="21"/>
        </w:rPr>
      </w:pPr>
      <w:r>
        <w:rPr>
          <w:rFonts w:hint="eastAsia" w:hAnsi="宋体" w:cs="宋体"/>
          <w:szCs w:val="21"/>
        </w:rPr>
        <w:t>5.6  采购单位在处理投诉事项期间，可以视具体情况暂停采购活动。</w:t>
      </w:r>
    </w:p>
    <w:p>
      <w:pPr>
        <w:pStyle w:val="27"/>
        <w:spacing w:line="360" w:lineRule="auto"/>
        <w:outlineLvl w:val="1"/>
        <w:rPr>
          <w:rFonts w:ascii="宋体" w:hAnsi="宋体" w:cs="宋体"/>
          <w:sz w:val="21"/>
          <w:szCs w:val="21"/>
        </w:rPr>
      </w:pPr>
      <w:bookmarkStart w:id="64" w:name="_Toc495334411"/>
      <w:bookmarkStart w:id="65" w:name="_Toc18027"/>
      <w:bookmarkStart w:id="66" w:name="_Toc213326417"/>
      <w:bookmarkStart w:id="67" w:name="_Toc3792"/>
      <w:bookmarkStart w:id="68" w:name="_Toc24502"/>
      <w:bookmarkStart w:id="69" w:name="_Toc7579"/>
      <w:r>
        <w:rPr>
          <w:rFonts w:hint="eastAsia" w:ascii="宋体" w:hAnsi="宋体" w:cs="宋体"/>
          <w:sz w:val="21"/>
          <w:szCs w:val="21"/>
        </w:rPr>
        <w:t>二    竞争性磋商采购文件</w:t>
      </w:r>
      <w:bookmarkEnd w:id="64"/>
      <w:bookmarkEnd w:id="65"/>
      <w:bookmarkEnd w:id="66"/>
      <w:bookmarkEnd w:id="67"/>
      <w:bookmarkEnd w:id="68"/>
      <w:bookmarkEnd w:id="69"/>
    </w:p>
    <w:p>
      <w:pPr>
        <w:pStyle w:val="15"/>
        <w:spacing w:line="360" w:lineRule="auto"/>
        <w:rPr>
          <w:rFonts w:hAnsi="宋体" w:cs="宋体"/>
          <w:bCs/>
          <w:szCs w:val="21"/>
        </w:rPr>
      </w:pPr>
      <w:r>
        <w:rPr>
          <w:rFonts w:hint="eastAsia" w:hAnsi="宋体" w:cs="宋体"/>
          <w:bCs/>
          <w:szCs w:val="21"/>
        </w:rPr>
        <w:t>6.  竞争性磋商采购文件的组成</w:t>
      </w:r>
    </w:p>
    <w:p>
      <w:pPr>
        <w:pStyle w:val="15"/>
        <w:spacing w:line="360" w:lineRule="auto"/>
        <w:ind w:firstLine="420" w:firstLineChars="200"/>
        <w:rPr>
          <w:rFonts w:hAnsi="宋体" w:cs="宋体"/>
          <w:szCs w:val="21"/>
        </w:rPr>
      </w:pPr>
      <w:r>
        <w:rPr>
          <w:rFonts w:hint="eastAsia" w:hAnsi="宋体" w:cs="宋体"/>
          <w:szCs w:val="21"/>
        </w:rPr>
        <w:t>6.1  本</w:t>
      </w:r>
      <w:r>
        <w:rPr>
          <w:rFonts w:hint="eastAsia" w:hAnsi="宋体" w:cs="宋体"/>
          <w:bCs/>
          <w:szCs w:val="21"/>
        </w:rPr>
        <w:t>竞争性磋商采购文件</w:t>
      </w:r>
      <w:r>
        <w:rPr>
          <w:rFonts w:hint="eastAsia" w:hAnsi="宋体" w:cs="宋体"/>
          <w:szCs w:val="21"/>
        </w:rPr>
        <w:t>包括六个章节，各章的内容如下：</w:t>
      </w:r>
    </w:p>
    <w:p>
      <w:pPr>
        <w:pStyle w:val="15"/>
        <w:spacing w:line="360" w:lineRule="auto"/>
        <w:ind w:firstLine="420" w:firstLineChars="200"/>
        <w:rPr>
          <w:rFonts w:hAnsi="宋体" w:cs="宋体"/>
          <w:szCs w:val="21"/>
        </w:rPr>
      </w:pPr>
      <w:r>
        <w:fldChar w:fldCharType="begin"/>
      </w:r>
      <w:r>
        <w:instrText xml:space="preserve"> HYPERLINK \l "_Toc32264" </w:instrText>
      </w:r>
      <w:r>
        <w:fldChar w:fldCharType="separate"/>
      </w:r>
      <w:r>
        <w:rPr>
          <w:rFonts w:hint="eastAsia" w:hAnsi="宋体" w:cs="宋体"/>
          <w:szCs w:val="21"/>
        </w:rPr>
        <w:t xml:space="preserve">第一章 </w:t>
      </w:r>
      <w:r>
        <w:rPr>
          <w:rFonts w:hint="eastAsia" w:hAnsi="宋体" w:cs="宋体"/>
          <w:szCs w:val="21"/>
          <w:lang w:val="en-US" w:eastAsia="zh-CN"/>
        </w:rPr>
        <w:t xml:space="preserve"> </w:t>
      </w:r>
      <w:r>
        <w:rPr>
          <w:rFonts w:hint="eastAsia" w:hAnsi="宋体" w:cs="宋体"/>
          <w:szCs w:val="21"/>
        </w:rPr>
        <w:t>公告</w:t>
      </w:r>
      <w:r>
        <w:rPr>
          <w:rFonts w:hint="eastAsia" w:hAnsi="宋体" w:cs="宋体"/>
          <w:szCs w:val="21"/>
        </w:rPr>
        <w:tab/>
      </w:r>
      <w:r>
        <w:rPr>
          <w:rFonts w:hint="eastAsia" w:hAnsi="宋体" w:cs="宋体"/>
          <w:szCs w:val="21"/>
        </w:rPr>
        <w:fldChar w:fldCharType="end"/>
      </w:r>
    </w:p>
    <w:p>
      <w:pPr>
        <w:pStyle w:val="15"/>
        <w:spacing w:line="360" w:lineRule="auto"/>
        <w:ind w:firstLine="420" w:firstLineChars="200"/>
        <w:rPr>
          <w:rFonts w:hAnsi="宋体" w:cs="宋体"/>
          <w:szCs w:val="21"/>
        </w:rPr>
      </w:pPr>
      <w:r>
        <w:fldChar w:fldCharType="begin"/>
      </w:r>
      <w:r>
        <w:instrText xml:space="preserve"> HYPERLINK \l "_Toc14507" </w:instrText>
      </w:r>
      <w:r>
        <w:fldChar w:fldCharType="separate"/>
      </w:r>
      <w:r>
        <w:rPr>
          <w:rFonts w:hint="eastAsia" w:hAnsi="宋体" w:cs="宋体"/>
          <w:szCs w:val="21"/>
        </w:rPr>
        <w:t>第二章  磋商供应商须知</w:t>
      </w:r>
      <w:r>
        <w:rPr>
          <w:rFonts w:hint="eastAsia" w:hAnsi="宋体" w:cs="宋体"/>
          <w:szCs w:val="21"/>
        </w:rPr>
        <w:fldChar w:fldCharType="end"/>
      </w:r>
    </w:p>
    <w:p>
      <w:pPr>
        <w:pStyle w:val="15"/>
        <w:spacing w:line="360" w:lineRule="auto"/>
        <w:ind w:firstLine="420" w:firstLineChars="200"/>
        <w:rPr>
          <w:rFonts w:hAnsi="宋体" w:cs="宋体"/>
          <w:szCs w:val="21"/>
        </w:rPr>
      </w:pPr>
      <w:r>
        <w:fldChar w:fldCharType="begin"/>
      </w:r>
      <w:r>
        <w:instrText xml:space="preserve"> HYPERLINK \l "_Toc27800" </w:instrText>
      </w:r>
      <w:r>
        <w:fldChar w:fldCharType="separate"/>
      </w:r>
      <w:r>
        <w:rPr>
          <w:rFonts w:hint="eastAsia" w:hAnsi="宋体" w:cs="宋体"/>
          <w:szCs w:val="21"/>
        </w:rPr>
        <w:t>第三章  服务需求一览表</w:t>
      </w:r>
      <w:r>
        <w:rPr>
          <w:rFonts w:hint="eastAsia" w:hAnsi="宋体" w:cs="宋体"/>
          <w:szCs w:val="21"/>
        </w:rPr>
        <w:tab/>
      </w:r>
      <w:r>
        <w:rPr>
          <w:rFonts w:hint="eastAsia" w:hAnsi="宋体" w:cs="宋体"/>
          <w:szCs w:val="21"/>
        </w:rPr>
        <w:fldChar w:fldCharType="end"/>
      </w:r>
    </w:p>
    <w:p>
      <w:pPr>
        <w:pStyle w:val="15"/>
        <w:spacing w:line="360" w:lineRule="auto"/>
        <w:ind w:firstLine="420" w:firstLineChars="200"/>
        <w:rPr>
          <w:rFonts w:hAnsi="宋体" w:cs="宋体"/>
          <w:szCs w:val="21"/>
        </w:rPr>
      </w:pPr>
      <w:r>
        <w:fldChar w:fldCharType="begin"/>
      </w:r>
      <w:r>
        <w:instrText xml:space="preserve"> HYPERLINK \l "_Toc32375" </w:instrText>
      </w:r>
      <w:r>
        <w:fldChar w:fldCharType="separate"/>
      </w:r>
      <w:r>
        <w:rPr>
          <w:rFonts w:hint="eastAsia" w:hAnsi="宋体" w:cs="宋体"/>
          <w:szCs w:val="21"/>
        </w:rPr>
        <w:t>第四章  响应文件格式</w:t>
      </w:r>
      <w:r>
        <w:rPr>
          <w:rFonts w:hint="eastAsia" w:hAnsi="宋体" w:cs="宋体"/>
          <w:szCs w:val="21"/>
        </w:rPr>
        <w:tab/>
      </w:r>
      <w:r>
        <w:rPr>
          <w:rFonts w:hint="eastAsia" w:hAnsi="宋体" w:cs="宋体"/>
          <w:szCs w:val="21"/>
        </w:rPr>
        <w:fldChar w:fldCharType="end"/>
      </w:r>
    </w:p>
    <w:p>
      <w:pPr>
        <w:pStyle w:val="15"/>
        <w:spacing w:line="360" w:lineRule="auto"/>
        <w:ind w:firstLine="420" w:firstLineChars="200"/>
        <w:rPr>
          <w:rFonts w:hAnsi="宋体" w:cs="宋体"/>
          <w:szCs w:val="21"/>
        </w:rPr>
      </w:pPr>
      <w:r>
        <w:fldChar w:fldCharType="begin"/>
      </w:r>
      <w:r>
        <w:instrText xml:space="preserve"> HYPERLINK \l "_Toc18117" </w:instrText>
      </w:r>
      <w:r>
        <w:fldChar w:fldCharType="separate"/>
      </w:r>
      <w:r>
        <w:rPr>
          <w:rFonts w:hint="eastAsia" w:hAnsi="宋体" w:cs="宋体"/>
          <w:szCs w:val="21"/>
        </w:rPr>
        <w:t>第五章  合同条款及格式</w:t>
      </w:r>
      <w:r>
        <w:rPr>
          <w:rFonts w:hint="eastAsia" w:hAnsi="宋体" w:cs="宋体"/>
          <w:szCs w:val="21"/>
        </w:rPr>
        <w:tab/>
      </w:r>
      <w:r>
        <w:rPr>
          <w:rFonts w:hint="eastAsia" w:hAnsi="宋体" w:cs="宋体"/>
          <w:szCs w:val="21"/>
        </w:rPr>
        <w:fldChar w:fldCharType="end"/>
      </w:r>
    </w:p>
    <w:p>
      <w:pPr>
        <w:pStyle w:val="15"/>
        <w:spacing w:line="360" w:lineRule="auto"/>
        <w:ind w:firstLine="420" w:firstLineChars="200"/>
        <w:rPr>
          <w:rFonts w:hAnsi="宋体" w:cs="宋体"/>
          <w:szCs w:val="21"/>
        </w:rPr>
      </w:pPr>
      <w:r>
        <w:fldChar w:fldCharType="begin"/>
      </w:r>
      <w:r>
        <w:instrText xml:space="preserve"> HYPERLINK \l "_Toc7881" </w:instrText>
      </w:r>
      <w:r>
        <w:fldChar w:fldCharType="separate"/>
      </w:r>
      <w:r>
        <w:rPr>
          <w:rFonts w:hint="eastAsia" w:hAnsi="宋体" w:cs="宋体"/>
          <w:szCs w:val="21"/>
        </w:rPr>
        <w:t>第六章  评审方法</w:t>
      </w:r>
      <w:r>
        <w:rPr>
          <w:rFonts w:hint="eastAsia" w:hAnsi="宋体" w:cs="宋体"/>
          <w:szCs w:val="21"/>
        </w:rPr>
        <w:tab/>
      </w:r>
      <w:r>
        <w:rPr>
          <w:rFonts w:hint="eastAsia" w:hAnsi="宋体" w:cs="宋体"/>
          <w:szCs w:val="21"/>
        </w:rPr>
        <w:fldChar w:fldCharType="end"/>
      </w:r>
    </w:p>
    <w:p>
      <w:pPr>
        <w:pStyle w:val="15"/>
        <w:spacing w:line="360" w:lineRule="auto"/>
        <w:ind w:firstLine="420" w:firstLineChars="200"/>
        <w:rPr>
          <w:rFonts w:hAnsi="宋体" w:cs="宋体"/>
          <w:szCs w:val="21"/>
        </w:rPr>
      </w:pPr>
      <w:r>
        <w:rPr>
          <w:rFonts w:hint="eastAsia" w:hAnsi="宋体" w:cs="宋体"/>
          <w:szCs w:val="21"/>
        </w:rPr>
        <w:t>6.2  根据本章第7.1项的规定对竞争性磋商文件所做的澄清、修改，构成竞争性磋商文件的组成部分。当竞争性磋商文件与澄清和修改的同一内容的表述不一致时，以最后发出的书面文件为准。</w:t>
      </w:r>
    </w:p>
    <w:p>
      <w:pPr>
        <w:pStyle w:val="15"/>
        <w:spacing w:line="360" w:lineRule="auto"/>
        <w:rPr>
          <w:rFonts w:hAnsi="宋体" w:cs="宋体"/>
          <w:bCs/>
          <w:szCs w:val="21"/>
        </w:rPr>
      </w:pPr>
      <w:bookmarkStart w:id="70" w:name="_Toc213326418"/>
      <w:bookmarkStart w:id="71" w:name="_Toc495334412"/>
      <w:r>
        <w:rPr>
          <w:rFonts w:hint="eastAsia" w:hAnsi="宋体" w:cs="宋体"/>
          <w:bCs/>
          <w:szCs w:val="21"/>
        </w:rPr>
        <w:t>7.  竞争性</w:t>
      </w:r>
      <w:r>
        <w:rPr>
          <w:rFonts w:hint="eastAsia" w:hAnsi="宋体" w:cs="宋体"/>
          <w:szCs w:val="21"/>
        </w:rPr>
        <w:t>磋商</w:t>
      </w:r>
      <w:r>
        <w:rPr>
          <w:rFonts w:hint="eastAsia" w:hAnsi="宋体" w:cs="宋体"/>
          <w:bCs/>
          <w:szCs w:val="21"/>
        </w:rPr>
        <w:t>采购文件的澄清和修改</w:t>
      </w:r>
    </w:p>
    <w:p>
      <w:pPr>
        <w:pStyle w:val="15"/>
        <w:spacing w:line="360" w:lineRule="auto"/>
        <w:ind w:left="2" w:leftChars="1" w:firstLine="420" w:firstLineChars="200"/>
        <w:rPr>
          <w:rFonts w:hAnsi="宋体" w:cs="宋体"/>
          <w:szCs w:val="21"/>
        </w:rPr>
      </w:pPr>
      <w:r>
        <w:rPr>
          <w:rFonts w:hint="eastAsia" w:hAnsi="宋体" w:cs="宋体"/>
          <w:szCs w:val="21"/>
        </w:rPr>
        <w:t>7.1　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不足5日的，采购人、采购代理机构应当顺延提交首次响应文件截止时间。同时，采购代理机构在本章第2.1项规定的媒体上发布更正公告，并将变更公告书面通知所有竞争性磋商文件收受人。</w:t>
      </w:r>
    </w:p>
    <w:p>
      <w:pPr>
        <w:pStyle w:val="27"/>
        <w:spacing w:line="360" w:lineRule="auto"/>
        <w:outlineLvl w:val="1"/>
        <w:rPr>
          <w:rFonts w:ascii="宋体" w:hAnsi="宋体" w:cs="宋体"/>
          <w:sz w:val="21"/>
          <w:szCs w:val="21"/>
        </w:rPr>
      </w:pPr>
      <w:bookmarkStart w:id="72" w:name="_Toc10038"/>
      <w:bookmarkStart w:id="73" w:name="_Toc27823"/>
      <w:bookmarkStart w:id="74" w:name="_Toc8612"/>
      <w:bookmarkStart w:id="75" w:name="_Toc15935"/>
      <w:r>
        <w:rPr>
          <w:rFonts w:hint="eastAsia" w:ascii="宋体" w:hAnsi="宋体" w:cs="宋体"/>
          <w:sz w:val="21"/>
          <w:szCs w:val="21"/>
        </w:rPr>
        <w:t>三    响应文件</w:t>
      </w:r>
      <w:bookmarkEnd w:id="70"/>
      <w:bookmarkEnd w:id="71"/>
      <w:bookmarkEnd w:id="72"/>
      <w:bookmarkEnd w:id="73"/>
      <w:bookmarkEnd w:id="74"/>
      <w:bookmarkEnd w:id="75"/>
    </w:p>
    <w:p>
      <w:pPr>
        <w:pStyle w:val="15"/>
        <w:spacing w:line="360" w:lineRule="auto"/>
        <w:rPr>
          <w:rFonts w:hAnsi="宋体" w:cs="宋体"/>
          <w:bCs/>
          <w:szCs w:val="21"/>
        </w:rPr>
      </w:pPr>
      <w:r>
        <w:rPr>
          <w:rFonts w:hint="eastAsia" w:hAnsi="宋体" w:cs="宋体"/>
          <w:bCs/>
          <w:szCs w:val="21"/>
        </w:rPr>
        <w:t>8.  响应文件的编制</w:t>
      </w:r>
    </w:p>
    <w:p>
      <w:pPr>
        <w:pStyle w:val="15"/>
        <w:spacing w:line="360" w:lineRule="auto"/>
        <w:ind w:left="2" w:leftChars="1" w:firstLine="420" w:firstLineChars="200"/>
        <w:rPr>
          <w:rFonts w:hAnsi="宋体" w:cs="宋体"/>
          <w:szCs w:val="21"/>
        </w:rPr>
      </w:pPr>
      <w:r>
        <w:rPr>
          <w:rFonts w:hint="eastAsia" w:hAnsi="宋体" w:cs="宋体"/>
          <w:szCs w:val="21"/>
        </w:rPr>
        <w:t>8.1 磋商供应商应仔细阅读竞争性磋商文件，在充分了解采购的内容、技术参数要求和商务条款以及实质性要求和条件后，编写响应文件。</w:t>
      </w:r>
    </w:p>
    <w:p>
      <w:pPr>
        <w:pStyle w:val="15"/>
        <w:spacing w:line="360" w:lineRule="auto"/>
        <w:ind w:left="2" w:leftChars="1" w:firstLine="420" w:firstLineChars="200"/>
        <w:rPr>
          <w:rFonts w:hAnsi="宋体" w:cs="宋体"/>
          <w:szCs w:val="21"/>
        </w:rPr>
      </w:pPr>
      <w:r>
        <w:rPr>
          <w:rFonts w:hint="eastAsia" w:hAnsi="宋体" w:cs="宋体"/>
          <w:szCs w:val="21"/>
        </w:rPr>
        <w:t>8.2  对竞争性磋商文件的实质性要求和条件作出响应是指磋商供应商必须对竞争性磋商文件成交注为实质性要求和条件的技术参数要求、商务条款及其它内容</w:t>
      </w:r>
      <w:r>
        <w:rPr>
          <w:rFonts w:hint="eastAsia" w:hAnsi="宋体" w:cs="宋体"/>
          <w:b/>
          <w:szCs w:val="21"/>
        </w:rPr>
        <w:t>作出满足或者优于原要求和条件的承诺</w:t>
      </w:r>
      <w:r>
        <w:rPr>
          <w:rFonts w:hint="eastAsia" w:hAnsi="宋体" w:cs="宋体"/>
          <w:szCs w:val="21"/>
        </w:rPr>
        <w:t>。</w:t>
      </w:r>
    </w:p>
    <w:p>
      <w:pPr>
        <w:pStyle w:val="15"/>
        <w:spacing w:line="360" w:lineRule="auto"/>
        <w:ind w:left="2" w:leftChars="1" w:firstLine="420" w:firstLineChars="200"/>
        <w:rPr>
          <w:rFonts w:hAnsi="宋体" w:cs="宋体"/>
          <w:szCs w:val="21"/>
        </w:rPr>
      </w:pPr>
      <w:r>
        <w:rPr>
          <w:rFonts w:hint="eastAsia" w:hAnsi="宋体" w:cs="宋体"/>
          <w:szCs w:val="21"/>
        </w:rPr>
        <w:t>8.3  竞争性磋商文件成交注★号的内容为实质性要求和条件。</w:t>
      </w:r>
    </w:p>
    <w:p>
      <w:pPr>
        <w:pStyle w:val="15"/>
        <w:spacing w:line="360" w:lineRule="auto"/>
        <w:ind w:left="2" w:leftChars="1" w:firstLine="420" w:firstLineChars="200"/>
        <w:rPr>
          <w:rFonts w:hAnsi="宋体" w:cs="宋体"/>
          <w:szCs w:val="21"/>
        </w:rPr>
      </w:pPr>
      <w:r>
        <w:rPr>
          <w:rFonts w:hint="eastAsia" w:hAnsi="宋体" w:cs="宋体"/>
          <w:szCs w:val="21"/>
        </w:rPr>
        <w:t>8.4  响应文件应用不褪色的材料书写或打印，保证其清楚、工整，相关材料的复印件应清晰可辨认。响应文件字迹潦草、表达不清、模糊无法辨认而导致非唯一理解是磋商供应商的风险，很可能导致该响应无效。</w:t>
      </w:r>
    </w:p>
    <w:p>
      <w:pPr>
        <w:pStyle w:val="15"/>
        <w:spacing w:line="360" w:lineRule="auto"/>
        <w:ind w:left="2" w:leftChars="1" w:firstLine="420" w:firstLineChars="200"/>
        <w:rPr>
          <w:rFonts w:hAnsi="宋体" w:cs="宋体"/>
          <w:szCs w:val="21"/>
        </w:rPr>
      </w:pPr>
      <w:r>
        <w:rPr>
          <w:rFonts w:hint="eastAsia" w:hAnsi="宋体" w:cs="宋体"/>
          <w:szCs w:val="21"/>
        </w:rPr>
        <w:t>8.5  第四章“响应文件格式”中规定了响应文件格式的，应按相应格式要求编写。</w:t>
      </w:r>
    </w:p>
    <w:p>
      <w:pPr>
        <w:pStyle w:val="15"/>
        <w:spacing w:line="360" w:lineRule="auto"/>
        <w:ind w:left="2" w:leftChars="1" w:firstLine="420" w:firstLineChars="200"/>
        <w:rPr>
          <w:rFonts w:hAnsi="宋体" w:cs="宋体"/>
          <w:szCs w:val="21"/>
        </w:rPr>
      </w:pPr>
      <w:r>
        <w:rPr>
          <w:rFonts w:hint="eastAsia" w:hAnsi="宋体" w:cs="宋体"/>
          <w:szCs w:val="21"/>
        </w:rPr>
        <w:t>8.6  响应文件应由磋商供应商的法定代表人或其委托代理人在凡规定签章处逐一签字或盖章并加盖单位公章。响应文件应尽量避免涂改、行间插字或删除。如果出现上述情况，改动之处应加盖单位公章或由磋商供应商的法定代表人或其委托代理人签字或盖章确认。</w:t>
      </w:r>
    </w:p>
    <w:p>
      <w:pPr>
        <w:pStyle w:val="15"/>
        <w:spacing w:line="360" w:lineRule="auto"/>
        <w:ind w:left="2" w:leftChars="1" w:firstLine="420" w:firstLineChars="200"/>
        <w:rPr>
          <w:rFonts w:hAnsi="宋体" w:cs="宋体"/>
          <w:szCs w:val="21"/>
        </w:rPr>
      </w:pPr>
      <w:r>
        <w:rPr>
          <w:rFonts w:hint="eastAsia" w:hAnsi="宋体" w:cs="宋体"/>
          <w:szCs w:val="21"/>
        </w:rPr>
        <w:t>8.7  响应文件应编制目录，且页码清晰准确。</w:t>
      </w:r>
    </w:p>
    <w:p>
      <w:pPr>
        <w:pStyle w:val="15"/>
        <w:spacing w:line="360" w:lineRule="auto"/>
        <w:ind w:left="2" w:leftChars="1" w:firstLine="420" w:firstLineChars="200"/>
        <w:rPr>
          <w:rFonts w:hAnsi="宋体" w:cs="宋体"/>
          <w:szCs w:val="21"/>
        </w:rPr>
      </w:pPr>
      <w:r>
        <w:rPr>
          <w:rFonts w:hint="eastAsia" w:hAnsi="宋体" w:cs="宋体"/>
          <w:szCs w:val="21"/>
        </w:rPr>
        <w:t>8.8  响应文件的正本和副本应分别装订成册，封面上应清楚地标记“正本”或“副本”字样，并标明项目名称、项目编号、磋商供应商名称等内容。副本可以采用正本的复印件，当副本和正本不一致时，以正本为准。磋商供应商应准备首次报价文件正本、技术文件正本、商务文件正本各一份，副本份数见磋商供应商须知前附表。</w:t>
      </w:r>
    </w:p>
    <w:p>
      <w:pPr>
        <w:pStyle w:val="15"/>
        <w:spacing w:line="360" w:lineRule="auto"/>
        <w:rPr>
          <w:rFonts w:hAnsi="宋体" w:cs="宋体"/>
          <w:bCs/>
          <w:szCs w:val="21"/>
        </w:rPr>
      </w:pPr>
      <w:r>
        <w:rPr>
          <w:rFonts w:hint="eastAsia" w:hAnsi="宋体" w:cs="宋体"/>
          <w:bCs/>
          <w:szCs w:val="21"/>
        </w:rPr>
        <w:t>9.  响应文件语言文字及计量单位</w:t>
      </w:r>
    </w:p>
    <w:p>
      <w:pPr>
        <w:pStyle w:val="15"/>
        <w:spacing w:line="360" w:lineRule="auto"/>
        <w:ind w:firstLine="420" w:firstLineChars="200"/>
        <w:rPr>
          <w:rFonts w:hAnsi="宋体" w:cs="宋体"/>
          <w:szCs w:val="21"/>
        </w:rPr>
      </w:pPr>
      <w:r>
        <w:rPr>
          <w:rFonts w:hint="eastAsia" w:hAnsi="宋体" w:cs="宋体"/>
          <w:szCs w:val="21"/>
        </w:rPr>
        <w:t>9.1  磋商供应商的响应文件以及磋商供应商与采购人、采购代理机构就有关磋商的所有往来函电统一使用中文（特别规定除外）。磋商供应商随响应文件或往来函电所提交的相关证明材料等可以使用其他语言，但必须同时提供由专业翻译机构出具的或经公证的中文译文，否则视同未提供该项证明材料。</w:t>
      </w:r>
    </w:p>
    <w:p>
      <w:pPr>
        <w:pStyle w:val="15"/>
        <w:spacing w:line="360" w:lineRule="auto"/>
        <w:ind w:firstLine="420" w:firstLineChars="200"/>
        <w:rPr>
          <w:rFonts w:hAnsi="宋体" w:cs="宋体"/>
          <w:szCs w:val="21"/>
        </w:rPr>
      </w:pPr>
      <w:r>
        <w:rPr>
          <w:rFonts w:hint="eastAsia" w:hAnsi="宋体" w:cs="宋体"/>
          <w:szCs w:val="21"/>
        </w:rPr>
        <w:t>9.2  对不同文字文本响应文件的解释发生异议的，以中文文本为准。</w:t>
      </w:r>
    </w:p>
    <w:p>
      <w:pPr>
        <w:pStyle w:val="15"/>
        <w:spacing w:line="360" w:lineRule="auto"/>
        <w:ind w:firstLine="420" w:firstLineChars="200"/>
        <w:rPr>
          <w:rFonts w:hAnsi="宋体" w:cs="宋体"/>
          <w:szCs w:val="21"/>
        </w:rPr>
      </w:pPr>
      <w:r>
        <w:rPr>
          <w:rFonts w:hint="eastAsia" w:hAnsi="宋体" w:cs="宋体"/>
          <w:szCs w:val="21"/>
        </w:rPr>
        <w:t>9.3  响应文件使用的计量单位除竞争性磋商文件中有特殊规定外，一律使用中华人民共和国法定计量单位。</w:t>
      </w:r>
    </w:p>
    <w:p>
      <w:pPr>
        <w:pStyle w:val="15"/>
        <w:spacing w:line="360" w:lineRule="auto"/>
        <w:rPr>
          <w:rFonts w:hAnsi="宋体" w:cs="宋体"/>
          <w:bCs/>
          <w:szCs w:val="21"/>
        </w:rPr>
      </w:pPr>
      <w:r>
        <w:rPr>
          <w:rFonts w:hint="eastAsia" w:hAnsi="宋体" w:cs="宋体"/>
          <w:bCs/>
          <w:szCs w:val="21"/>
        </w:rPr>
        <w:t>10.  响应文件的组成</w:t>
      </w:r>
    </w:p>
    <w:p>
      <w:pPr>
        <w:pStyle w:val="15"/>
        <w:spacing w:line="360" w:lineRule="auto"/>
        <w:ind w:firstLine="420" w:firstLineChars="200"/>
        <w:rPr>
          <w:rFonts w:hAnsi="宋体" w:cs="宋体"/>
          <w:szCs w:val="21"/>
        </w:rPr>
      </w:pPr>
      <w:r>
        <w:rPr>
          <w:rFonts w:hint="eastAsia" w:hAnsi="宋体" w:cs="宋体"/>
          <w:szCs w:val="21"/>
        </w:rPr>
        <w:t>10.1  磋商供应商需编制的响应文件包括首次报价文件、技术文件和商务文件三部分，磋商供应商应按下列说明编写和提交。应提交的有关文件如未特别注明为原件的，可提交复印件。</w:t>
      </w:r>
    </w:p>
    <w:p>
      <w:pPr>
        <w:pStyle w:val="15"/>
        <w:spacing w:line="360" w:lineRule="auto"/>
        <w:ind w:firstLine="420" w:firstLineChars="200"/>
        <w:rPr>
          <w:rFonts w:hAnsi="宋体" w:cs="宋体"/>
          <w:szCs w:val="21"/>
        </w:rPr>
      </w:pPr>
      <w:r>
        <w:rPr>
          <w:rFonts w:hint="eastAsia" w:hAnsi="宋体" w:cs="宋体"/>
          <w:szCs w:val="21"/>
        </w:rPr>
        <w:t>10.1.1  首次报价文件，包括：</w:t>
      </w:r>
    </w:p>
    <w:p>
      <w:pPr>
        <w:pStyle w:val="15"/>
        <w:spacing w:line="360" w:lineRule="auto"/>
        <w:ind w:firstLine="420" w:firstLineChars="200"/>
        <w:rPr>
          <w:rFonts w:hAnsi="宋体" w:cs="宋体"/>
          <w:szCs w:val="21"/>
        </w:rPr>
      </w:pPr>
      <w:r>
        <w:rPr>
          <w:rFonts w:hint="eastAsia" w:hAnsi="宋体" w:cs="宋体"/>
          <w:szCs w:val="21"/>
        </w:rPr>
        <w:t>（1）响应函：按第四章“响应文件格式”提供的“响应函（格式）”的要求填写；</w:t>
      </w:r>
    </w:p>
    <w:p>
      <w:pPr>
        <w:pStyle w:val="15"/>
        <w:spacing w:line="360" w:lineRule="auto"/>
        <w:ind w:firstLine="420" w:firstLineChars="200"/>
        <w:rPr>
          <w:rFonts w:hAnsi="宋体" w:cs="宋体"/>
          <w:szCs w:val="21"/>
        </w:rPr>
      </w:pPr>
      <w:r>
        <w:rPr>
          <w:rFonts w:hint="eastAsia" w:hAnsi="宋体" w:cs="宋体"/>
          <w:szCs w:val="21"/>
        </w:rPr>
        <w:t>（2）响应报价表：按第四章“响应文件格式”提供的“响应报价表（格式）”的要求填写。</w:t>
      </w:r>
    </w:p>
    <w:p>
      <w:pPr>
        <w:pStyle w:val="15"/>
        <w:spacing w:line="360" w:lineRule="auto"/>
        <w:ind w:firstLine="422" w:firstLineChars="200"/>
        <w:rPr>
          <w:rFonts w:hAnsi="宋体" w:cs="宋体"/>
          <w:b/>
          <w:szCs w:val="21"/>
        </w:rPr>
      </w:pPr>
      <w:r>
        <w:rPr>
          <w:rFonts w:hint="eastAsia" w:hAnsi="宋体" w:cs="宋体"/>
          <w:b/>
          <w:szCs w:val="21"/>
        </w:rPr>
        <w:t>其中，报价文件组成要求的第（1）～（2）项必须提交。</w:t>
      </w:r>
    </w:p>
    <w:p>
      <w:pPr>
        <w:pStyle w:val="15"/>
        <w:spacing w:line="360" w:lineRule="auto"/>
        <w:ind w:firstLine="420"/>
        <w:rPr>
          <w:rFonts w:hAnsi="宋体" w:cs="宋体"/>
          <w:b/>
          <w:bCs/>
          <w:szCs w:val="21"/>
        </w:rPr>
      </w:pPr>
      <w:r>
        <w:rPr>
          <w:rFonts w:hint="eastAsia" w:hAnsi="宋体" w:cs="宋体"/>
          <w:szCs w:val="21"/>
        </w:rPr>
        <w:t>10.1.2  技术文件，包括：</w:t>
      </w:r>
    </w:p>
    <w:p>
      <w:pPr>
        <w:pStyle w:val="15"/>
        <w:spacing w:line="360" w:lineRule="auto"/>
        <w:ind w:firstLine="420"/>
        <w:rPr>
          <w:rFonts w:hAnsi="宋体" w:cs="宋体"/>
          <w:szCs w:val="21"/>
        </w:rPr>
      </w:pPr>
      <w:r>
        <w:rPr>
          <w:rFonts w:hint="eastAsia" w:hAnsi="宋体" w:cs="宋体"/>
          <w:szCs w:val="21"/>
        </w:rPr>
        <w:t>（1）响应服务技术</w:t>
      </w:r>
      <w:r>
        <w:rPr>
          <w:rFonts w:hint="eastAsia" w:hAnsi="宋体" w:cs="宋体"/>
          <w:szCs w:val="21"/>
          <w:lang w:eastAsia="zh-CN"/>
        </w:rPr>
        <w:t>偏离</w:t>
      </w:r>
      <w:r>
        <w:rPr>
          <w:rFonts w:hint="eastAsia" w:hAnsi="宋体" w:cs="宋体"/>
          <w:szCs w:val="21"/>
        </w:rPr>
        <w:t>表：按第四章“响应文件格式”提供的“响应服务技术</w:t>
      </w:r>
      <w:r>
        <w:rPr>
          <w:rFonts w:hint="eastAsia" w:hAnsi="宋体" w:cs="宋体"/>
          <w:szCs w:val="21"/>
          <w:lang w:eastAsia="zh-CN"/>
        </w:rPr>
        <w:t>偏离</w:t>
      </w:r>
      <w:r>
        <w:rPr>
          <w:rFonts w:hint="eastAsia" w:hAnsi="宋体" w:cs="宋体"/>
          <w:szCs w:val="21"/>
        </w:rPr>
        <w:t>表（格式）”的要求填写；</w:t>
      </w:r>
    </w:p>
    <w:p>
      <w:pPr>
        <w:pStyle w:val="15"/>
        <w:spacing w:line="360" w:lineRule="auto"/>
        <w:ind w:firstLine="420"/>
        <w:rPr>
          <w:rFonts w:hAnsi="宋体" w:cs="宋体"/>
          <w:szCs w:val="21"/>
        </w:rPr>
      </w:pPr>
      <w:r>
        <w:rPr>
          <w:rFonts w:hint="eastAsia" w:hAnsi="宋体" w:cs="宋体"/>
          <w:szCs w:val="21"/>
        </w:rPr>
        <w:t>（2）详细说明针对本项目的实施方案，拟投入的人员及相关证明材料等等。</w:t>
      </w:r>
    </w:p>
    <w:p>
      <w:pPr>
        <w:pStyle w:val="15"/>
        <w:spacing w:line="360" w:lineRule="auto"/>
        <w:ind w:firstLine="420"/>
        <w:rPr>
          <w:rFonts w:hAnsi="宋体" w:cs="宋体"/>
          <w:b/>
          <w:bCs/>
          <w:szCs w:val="21"/>
        </w:rPr>
      </w:pPr>
      <w:r>
        <w:rPr>
          <w:rFonts w:hint="eastAsia" w:hAnsi="宋体" w:cs="宋体"/>
          <w:b/>
          <w:szCs w:val="21"/>
        </w:rPr>
        <w:t>技术文件中的第（1）项必须提交；第（2）项如有请提交。</w:t>
      </w:r>
    </w:p>
    <w:p>
      <w:pPr>
        <w:pStyle w:val="15"/>
        <w:spacing w:line="360" w:lineRule="auto"/>
        <w:ind w:firstLine="420" w:firstLineChars="200"/>
        <w:rPr>
          <w:rFonts w:hint="eastAsia" w:ascii="宋体" w:hAnsi="宋体" w:eastAsia="宋体" w:cs="宋体"/>
          <w:szCs w:val="21"/>
        </w:rPr>
      </w:pPr>
      <w:r>
        <w:rPr>
          <w:rFonts w:hint="eastAsia" w:ascii="宋体" w:hAnsi="宋体" w:eastAsia="宋体" w:cs="宋体"/>
          <w:szCs w:val="21"/>
        </w:rPr>
        <w:t>10.1.3  商务文件，包括：</w:t>
      </w:r>
    </w:p>
    <w:p>
      <w:pPr>
        <w:pStyle w:val="15"/>
        <w:spacing w:line="360" w:lineRule="auto"/>
        <w:ind w:firstLine="420" w:firstLineChars="200"/>
        <w:rPr>
          <w:rFonts w:hint="eastAsia" w:ascii="宋体" w:hAnsi="宋体" w:eastAsia="宋体" w:cs="宋体"/>
          <w:szCs w:val="21"/>
        </w:rPr>
      </w:pPr>
      <w:r>
        <w:rPr>
          <w:rFonts w:hint="eastAsia" w:ascii="宋体" w:hAnsi="宋体" w:eastAsia="宋体" w:cs="宋体"/>
          <w:szCs w:val="21"/>
        </w:rPr>
        <w:t>（1）供应商资格文件：</w:t>
      </w:r>
    </w:p>
    <w:p>
      <w:pPr>
        <w:pStyle w:val="15"/>
        <w:spacing w:line="360" w:lineRule="auto"/>
        <w:ind w:firstLine="420" w:firstLineChars="200"/>
        <w:rPr>
          <w:rFonts w:hint="eastAsia" w:ascii="宋体" w:hAnsi="宋体" w:eastAsia="宋体" w:cs="宋体"/>
          <w:szCs w:val="21"/>
        </w:rPr>
      </w:pPr>
      <w:r>
        <w:rPr>
          <w:rFonts w:hint="eastAsia" w:ascii="宋体" w:hAnsi="宋体" w:eastAsia="宋体" w:cs="宋体"/>
          <w:szCs w:val="21"/>
        </w:rPr>
        <w:t>①信用声明函。按第四章“响应文件格式”提供的“信用声明函（格式）”的要求填写。对列入失信被执行人、重大税收违法案件当事人名单、政府采购严重违法失信行为记录名单的供应商，将被拒绝参与本项目采购活动。</w:t>
      </w:r>
    </w:p>
    <w:p>
      <w:pPr>
        <w:pStyle w:val="15"/>
        <w:spacing w:line="360" w:lineRule="auto"/>
        <w:ind w:firstLine="420" w:firstLineChars="200"/>
        <w:rPr>
          <w:rFonts w:hint="eastAsia" w:ascii="宋体" w:hAnsi="宋体" w:eastAsia="宋体" w:cs="宋体"/>
          <w:szCs w:val="21"/>
        </w:rPr>
      </w:pPr>
      <w:r>
        <w:rPr>
          <w:rFonts w:hint="eastAsia" w:ascii="宋体" w:hAnsi="宋体" w:eastAsia="宋体" w:cs="宋体"/>
          <w:szCs w:val="21"/>
        </w:rPr>
        <w:t>②根据本章第3.2项规定的磋商供应商应具备的特定条件提供，包括营业执照副本内页或事业单位法人证书复印件（磋商供应商如为企业的，要求证件有效并清晰反映企业法人经营范围）和磋商供应商资格的其他证明文件复印件；</w:t>
      </w:r>
    </w:p>
    <w:p>
      <w:pPr>
        <w:pStyle w:val="15"/>
        <w:spacing w:line="360" w:lineRule="auto"/>
        <w:ind w:firstLine="420" w:firstLineChars="200"/>
        <w:rPr>
          <w:rFonts w:hint="eastAsia" w:ascii="宋体" w:hAnsi="宋体" w:eastAsia="宋体" w:cs="宋体"/>
          <w:szCs w:val="21"/>
          <w:lang w:eastAsia="zh-CN"/>
        </w:rPr>
      </w:pPr>
      <w:r>
        <w:rPr>
          <w:rFonts w:hint="eastAsia" w:ascii="宋体" w:hAnsi="宋体" w:eastAsia="宋体" w:cs="宋体"/>
          <w:color w:val="0000FF"/>
          <w:szCs w:val="21"/>
          <w:lang w:eastAsia="zh-CN"/>
        </w:rPr>
        <w:t>③</w:t>
      </w:r>
      <w:r>
        <w:rPr>
          <w:rFonts w:hint="eastAsia" w:ascii="宋体" w:hAnsi="宋体" w:eastAsia="宋体" w:cs="宋体"/>
          <w:szCs w:val="21"/>
          <w:lang w:eastAsia="zh-CN"/>
        </w:rPr>
        <w:t>法定代表人身份证明书：按第</w:t>
      </w:r>
      <w:r>
        <w:rPr>
          <w:rFonts w:hint="eastAsia" w:ascii="宋体" w:hAnsi="宋体" w:eastAsia="宋体" w:cs="宋体"/>
          <w:szCs w:val="21"/>
        </w:rPr>
        <w:t>四</w:t>
      </w:r>
      <w:r>
        <w:rPr>
          <w:rFonts w:hint="eastAsia" w:ascii="宋体" w:hAnsi="宋体" w:eastAsia="宋体" w:cs="宋体"/>
          <w:szCs w:val="21"/>
          <w:lang w:eastAsia="zh-CN"/>
        </w:rPr>
        <w:t xml:space="preserve">章“响应文件格式”提供，并附法定代表人身份证正、反面复印件； </w:t>
      </w:r>
    </w:p>
    <w:p>
      <w:pPr>
        <w:pStyle w:val="15"/>
        <w:spacing w:line="360" w:lineRule="auto"/>
        <w:ind w:firstLine="420" w:firstLineChars="200"/>
        <w:rPr>
          <w:rFonts w:hint="eastAsia" w:ascii="宋体" w:hAnsi="宋体" w:eastAsia="宋体" w:cs="宋体"/>
          <w:szCs w:val="21"/>
          <w:lang w:eastAsia="zh-CN"/>
        </w:rPr>
      </w:pPr>
      <w:r>
        <w:rPr>
          <w:rFonts w:hint="eastAsia" w:ascii="宋体" w:hAnsi="宋体" w:eastAsia="宋体" w:cs="宋体"/>
          <w:szCs w:val="21"/>
          <w:lang w:eastAsia="zh-CN"/>
        </w:rPr>
        <w:t>④法定代表人授权委托书：按第</w:t>
      </w:r>
      <w:r>
        <w:rPr>
          <w:rFonts w:hint="eastAsia" w:ascii="宋体" w:hAnsi="宋体" w:eastAsia="宋体" w:cs="宋体"/>
          <w:szCs w:val="21"/>
        </w:rPr>
        <w:t>四</w:t>
      </w:r>
      <w:r>
        <w:rPr>
          <w:rFonts w:hint="eastAsia" w:ascii="宋体" w:hAnsi="宋体" w:eastAsia="宋体" w:cs="宋体"/>
          <w:szCs w:val="21"/>
          <w:lang w:eastAsia="zh-CN"/>
        </w:rPr>
        <w:t>章“响应文件格式”提供的“法定代表人授权委托书（格式）”的要求填写</w:t>
      </w:r>
      <w:r>
        <w:rPr>
          <w:rFonts w:hint="eastAsia" w:ascii="宋体" w:hAnsi="宋体" w:eastAsia="宋体" w:cs="宋体"/>
          <w:b/>
          <w:bCs/>
          <w:szCs w:val="21"/>
          <w:lang w:eastAsia="zh-CN"/>
        </w:rPr>
        <w:t>（有委托时必须提供）</w:t>
      </w:r>
      <w:r>
        <w:rPr>
          <w:rFonts w:hint="eastAsia" w:ascii="宋体" w:hAnsi="宋体" w:eastAsia="宋体" w:cs="宋体"/>
          <w:szCs w:val="21"/>
          <w:lang w:eastAsia="zh-CN"/>
        </w:rPr>
        <w:t>；</w:t>
      </w:r>
    </w:p>
    <w:p>
      <w:pPr>
        <w:pStyle w:val="15"/>
        <w:spacing w:line="360" w:lineRule="auto"/>
        <w:ind w:firstLine="420" w:firstLineChars="200"/>
        <w:rPr>
          <w:rFonts w:hint="eastAsia" w:ascii="宋体" w:hAnsi="宋体" w:eastAsia="宋体" w:cs="宋体"/>
          <w:szCs w:val="21"/>
          <w:lang w:eastAsia="zh-CN"/>
        </w:rPr>
      </w:pPr>
      <w:r>
        <w:rPr>
          <w:rFonts w:hint="eastAsia" w:ascii="宋体" w:hAnsi="宋体" w:eastAsia="宋体" w:cs="宋体"/>
          <w:szCs w:val="21"/>
          <w:lang w:eastAsia="zh-CN"/>
        </w:rPr>
        <w:t>⑤供应商</w:t>
      </w:r>
      <w:r>
        <w:rPr>
          <w:rFonts w:hint="eastAsia" w:ascii="宋体" w:hAnsi="宋体" w:eastAsia="宋体" w:cs="宋体"/>
          <w:szCs w:val="21"/>
          <w:lang w:val="en-US" w:eastAsia="zh-CN"/>
        </w:rPr>
        <w:t>2023年或2024年</w:t>
      </w:r>
      <w:r>
        <w:rPr>
          <w:rFonts w:hint="eastAsia" w:ascii="宋体" w:hAnsi="宋体" w:eastAsia="宋体" w:cs="宋体"/>
          <w:szCs w:val="21"/>
        </w:rPr>
        <w:t>财务会计报表复印件</w:t>
      </w:r>
      <w:r>
        <w:rPr>
          <w:rFonts w:hint="eastAsia" w:ascii="宋体" w:hAnsi="宋体" w:eastAsia="宋体" w:cs="宋体"/>
          <w:szCs w:val="21"/>
          <w:lang w:eastAsia="zh-CN"/>
        </w:rPr>
        <w:t>；</w:t>
      </w:r>
    </w:p>
    <w:p>
      <w:pPr>
        <w:pStyle w:val="15"/>
        <w:spacing w:line="360" w:lineRule="auto"/>
        <w:ind w:firstLine="420" w:firstLineChars="200"/>
        <w:rPr>
          <w:rFonts w:hint="eastAsia" w:ascii="宋体" w:hAnsi="宋体" w:eastAsia="宋体" w:cs="宋体"/>
          <w:szCs w:val="21"/>
          <w:lang w:eastAsia="zh-CN"/>
        </w:rPr>
      </w:pPr>
      <w:r>
        <w:rPr>
          <w:rFonts w:hint="eastAsia" w:ascii="宋体" w:hAnsi="宋体" w:eastAsia="宋体" w:cs="宋体"/>
          <w:szCs w:val="21"/>
          <w:lang w:eastAsia="zh-CN"/>
        </w:rPr>
        <w:t>⑥</w:t>
      </w:r>
      <w:r>
        <w:rPr>
          <w:rFonts w:hint="eastAsia" w:ascii="宋体" w:hAnsi="宋体" w:eastAsia="宋体" w:cs="宋体"/>
          <w:szCs w:val="21"/>
        </w:rPr>
        <w:t>响应文件递交截止之日前半年内供应商连续三个月的依法缴纳税费或依法免缴税费的证明[复印件，格式自拟，必须提供]；依法免税的供应商，必须提供相应文件证明其依法免税。从取得营业执照时间起到投标文件提交截止时间为止不足要求月数的，只需提供从取得营业执照起的依法缴纳税收相应证明文件）</w:t>
      </w:r>
      <w:r>
        <w:rPr>
          <w:rFonts w:hint="eastAsia" w:hAnsi="宋体" w:cs="宋体"/>
          <w:szCs w:val="21"/>
          <w:lang w:eastAsia="zh-CN"/>
        </w:rPr>
        <w:t>；</w:t>
      </w:r>
      <w:r>
        <w:rPr>
          <w:rFonts w:hint="eastAsia" w:ascii="宋体" w:hAnsi="宋体" w:eastAsia="宋体" w:cs="宋体"/>
          <w:szCs w:val="21"/>
        </w:rPr>
        <w:t>⑦响应文件递交截止之日前半年内供应商连续三个月的依法缴纳社保费的缴费凭证（复印件，格式自拟）[必须提供]；无缴费记录的，应提供由供应商所在地社保部门出具的《依法缴纳或依法免缴社保费证明》[格式自拟，复印件]</w:t>
      </w:r>
      <w:r>
        <w:rPr>
          <w:rFonts w:hint="eastAsia" w:hAnsi="宋体" w:cs="宋体"/>
          <w:szCs w:val="21"/>
          <w:lang w:eastAsia="zh-CN"/>
        </w:rPr>
        <w:t>；</w:t>
      </w:r>
    </w:p>
    <w:p>
      <w:pPr>
        <w:pStyle w:val="15"/>
        <w:spacing w:line="360" w:lineRule="auto"/>
        <w:ind w:firstLine="420" w:firstLineChars="200"/>
        <w:rPr>
          <w:rFonts w:hint="eastAsia" w:ascii="宋体" w:hAnsi="宋体" w:eastAsia="宋体" w:cs="宋体"/>
          <w:szCs w:val="21"/>
          <w:lang w:eastAsia="zh-CN"/>
        </w:rPr>
      </w:pPr>
      <w:r>
        <w:rPr>
          <w:rFonts w:hint="eastAsia" w:ascii="宋体" w:hAnsi="宋体" w:eastAsia="宋体" w:cs="宋体"/>
          <w:szCs w:val="21"/>
        </w:rPr>
        <w:t>⑧</w:t>
      </w:r>
      <w:r>
        <w:rPr>
          <w:rFonts w:hint="eastAsia" w:hAnsi="宋体" w:cs="宋体"/>
          <w:b w:val="0"/>
          <w:kern w:val="2"/>
          <w:sz w:val="21"/>
          <w:szCs w:val="21"/>
          <w:lang w:eastAsia="zh-CN"/>
        </w:rPr>
        <w:t>供应商</w:t>
      </w:r>
      <w:r>
        <w:rPr>
          <w:rFonts w:hint="eastAsia" w:ascii="宋体" w:hAnsi="宋体" w:cs="宋体"/>
          <w:b w:val="0"/>
          <w:kern w:val="2"/>
          <w:sz w:val="21"/>
          <w:szCs w:val="21"/>
        </w:rPr>
        <w:t>直接控股股东信息表</w:t>
      </w:r>
      <w:r>
        <w:rPr>
          <w:rFonts w:hint="eastAsia" w:ascii="宋体" w:hAnsi="宋体" w:eastAsia="宋体" w:cs="宋体"/>
          <w:b w:val="0"/>
          <w:kern w:val="2"/>
          <w:sz w:val="21"/>
          <w:szCs w:val="21"/>
          <w:lang w:eastAsia="zh-CN"/>
        </w:rPr>
        <w:t>、</w:t>
      </w:r>
      <w:r>
        <w:rPr>
          <w:rFonts w:hint="eastAsia" w:hAnsi="宋体" w:cs="宋体"/>
          <w:b w:val="0"/>
          <w:kern w:val="2"/>
          <w:sz w:val="21"/>
          <w:szCs w:val="21"/>
          <w:lang w:eastAsia="zh-CN"/>
        </w:rPr>
        <w:t>供应商</w:t>
      </w:r>
      <w:r>
        <w:rPr>
          <w:rFonts w:hint="eastAsia" w:ascii="宋体" w:hAnsi="宋体" w:cs="宋体"/>
          <w:b w:val="0"/>
          <w:sz w:val="21"/>
          <w:szCs w:val="21"/>
        </w:rPr>
        <w:t>直接管理关系信息表</w:t>
      </w:r>
      <w:r>
        <w:rPr>
          <w:rFonts w:hint="eastAsia" w:ascii="宋体" w:hAnsi="宋体" w:cs="宋体"/>
          <w:b w:val="0"/>
          <w:sz w:val="21"/>
          <w:szCs w:val="21"/>
          <w:lang w:eastAsia="zh-CN"/>
        </w:rPr>
        <w:t>。</w:t>
      </w:r>
    </w:p>
    <w:p>
      <w:pPr>
        <w:pStyle w:val="15"/>
        <w:spacing w:line="360" w:lineRule="auto"/>
        <w:ind w:firstLine="420" w:firstLineChars="200"/>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US" w:eastAsia="zh-CN"/>
        </w:rPr>
        <w:t>2</w:t>
      </w:r>
      <w:r>
        <w:rPr>
          <w:rFonts w:hint="eastAsia" w:ascii="宋体" w:hAnsi="宋体" w:eastAsia="宋体" w:cs="宋体"/>
          <w:szCs w:val="21"/>
        </w:rPr>
        <w:t>）商务条款偏离表：按第四章“响应文件格式”提供的“商务条款偏离表（格式）” 的要求填写；</w:t>
      </w:r>
    </w:p>
    <w:p>
      <w:pPr>
        <w:pStyle w:val="15"/>
        <w:spacing w:line="360" w:lineRule="auto"/>
        <w:ind w:firstLine="420" w:firstLineChars="200"/>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US" w:eastAsia="zh-CN"/>
        </w:rPr>
        <w:t>3</w:t>
      </w:r>
      <w:r>
        <w:rPr>
          <w:rFonts w:hint="eastAsia" w:ascii="宋体" w:hAnsi="宋体" w:eastAsia="宋体" w:cs="宋体"/>
          <w:szCs w:val="21"/>
        </w:rPr>
        <w:t>）服务承诺：按第四章“响应文件格式”提供的“服务承诺（格式）” 的要求填写；</w:t>
      </w:r>
    </w:p>
    <w:p>
      <w:pPr>
        <w:pStyle w:val="15"/>
        <w:spacing w:line="360" w:lineRule="auto"/>
        <w:ind w:firstLine="420" w:firstLineChars="200"/>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US" w:eastAsia="zh-CN"/>
        </w:rPr>
        <w:t>4</w:t>
      </w:r>
      <w:r>
        <w:rPr>
          <w:rFonts w:hint="eastAsia" w:ascii="宋体" w:hAnsi="宋体" w:eastAsia="宋体" w:cs="宋体"/>
          <w:szCs w:val="21"/>
        </w:rPr>
        <w:t>）其它：磋商供应商通过国家或国际认证资格证书复印件、银行出具的磋商供应商资信证明或信用等级证明复印件、磋商供应商近三年同类服务的实际业绩证明（附成交通知书复印件或合同复印件）、服务近三年的质量获奖荣誉证书复印件、环保体系认证证书复印件、磋商供应商近三年发生的诉讼及仲裁情况说明（附法院或仲裁机构作出的判决、裁决等有关法律文书复印件），等等。</w:t>
      </w:r>
    </w:p>
    <w:p>
      <w:pPr>
        <w:pStyle w:val="15"/>
        <w:spacing w:line="360" w:lineRule="auto"/>
        <w:ind w:firstLine="420"/>
        <w:rPr>
          <w:rFonts w:hAnsi="宋体" w:cs="宋体"/>
          <w:szCs w:val="21"/>
        </w:rPr>
      </w:pPr>
      <w:r>
        <w:rPr>
          <w:rFonts w:hint="eastAsia" w:hAnsi="宋体" w:cs="宋体"/>
          <w:b/>
          <w:szCs w:val="21"/>
        </w:rPr>
        <w:t>商务文件中的第（1）～（</w:t>
      </w:r>
      <w:r>
        <w:rPr>
          <w:rFonts w:hint="eastAsia" w:hAnsi="宋体" w:cs="宋体"/>
          <w:b/>
          <w:szCs w:val="21"/>
          <w:lang w:val="en-US" w:eastAsia="zh-CN"/>
        </w:rPr>
        <w:t>3</w:t>
      </w:r>
      <w:r>
        <w:rPr>
          <w:rFonts w:hint="eastAsia" w:hAnsi="宋体" w:cs="宋体"/>
          <w:b/>
          <w:szCs w:val="21"/>
        </w:rPr>
        <w:t>）项必须提交；第（</w:t>
      </w:r>
      <w:r>
        <w:rPr>
          <w:rFonts w:hint="eastAsia" w:hAnsi="宋体" w:cs="宋体"/>
          <w:b/>
          <w:szCs w:val="21"/>
          <w:lang w:val="en-US" w:eastAsia="zh-CN"/>
        </w:rPr>
        <w:t>4</w:t>
      </w:r>
      <w:r>
        <w:rPr>
          <w:rFonts w:hint="eastAsia" w:hAnsi="宋体" w:cs="宋体"/>
          <w:b/>
          <w:szCs w:val="21"/>
        </w:rPr>
        <w:t>）项如有请提交。</w:t>
      </w:r>
    </w:p>
    <w:p>
      <w:pPr>
        <w:pStyle w:val="15"/>
        <w:spacing w:line="360" w:lineRule="auto"/>
        <w:ind w:firstLine="420" w:firstLineChars="200"/>
        <w:rPr>
          <w:rFonts w:hint="eastAsia" w:hAnsi="宋体" w:eastAsia="宋体" w:cs="宋体"/>
          <w:szCs w:val="21"/>
          <w:lang w:eastAsia="zh-CN"/>
        </w:rPr>
      </w:pPr>
      <w:r>
        <w:rPr>
          <w:rFonts w:hint="eastAsia" w:hAnsi="宋体" w:cs="宋体"/>
          <w:szCs w:val="21"/>
        </w:rPr>
        <w:t>10.2  磋商供应商应按上述顺序将首次报价文件、技术文件和商务文件</w:t>
      </w:r>
      <w:r>
        <w:rPr>
          <w:rFonts w:hint="eastAsia" w:hAnsi="宋体" w:cs="宋体"/>
          <w:b/>
          <w:szCs w:val="21"/>
        </w:rPr>
        <w:t>分别装订成册</w:t>
      </w:r>
      <w:r>
        <w:rPr>
          <w:rFonts w:hint="eastAsia" w:hAnsi="宋体" w:cs="宋体"/>
          <w:szCs w:val="21"/>
        </w:rPr>
        <w:t>。</w:t>
      </w:r>
      <w:r>
        <w:rPr>
          <w:rFonts w:hint="eastAsia" w:hAnsi="宋体" w:cs="宋体"/>
          <w:b/>
          <w:szCs w:val="21"/>
        </w:rPr>
        <w:t>特别注意响应报价不得出现在技术文件和商务文件中。</w:t>
      </w:r>
      <w:r>
        <w:rPr>
          <w:rFonts w:hint="eastAsia" w:ascii="宋体" w:hAnsi="宋体" w:eastAsia="宋体" w:cs="宋体"/>
          <w:b/>
          <w:bCs/>
          <w:szCs w:val="21"/>
          <w:lang w:eastAsia="zh-CN"/>
        </w:rPr>
        <w:t>备注：需提供以上响应文件盖章扫描件电子版</w:t>
      </w:r>
      <w:r>
        <w:rPr>
          <w:rFonts w:hint="eastAsia" w:hAnsi="宋体" w:cs="宋体"/>
          <w:b/>
          <w:bCs/>
          <w:szCs w:val="21"/>
          <w:lang w:val="en-US" w:eastAsia="zh-CN"/>
        </w:rPr>
        <w:t>PDF</w:t>
      </w:r>
      <w:r>
        <w:rPr>
          <w:rFonts w:hint="eastAsia" w:ascii="宋体" w:hAnsi="宋体" w:eastAsia="宋体" w:cs="宋体"/>
          <w:b/>
          <w:bCs/>
          <w:szCs w:val="21"/>
          <w:lang w:eastAsia="zh-CN"/>
        </w:rPr>
        <w:t>（</w:t>
      </w:r>
      <w:r>
        <w:rPr>
          <w:rFonts w:hint="eastAsia" w:ascii="宋体" w:hAnsi="宋体" w:eastAsia="宋体" w:cs="宋体"/>
          <w:b/>
          <w:bCs/>
          <w:szCs w:val="21"/>
          <w:lang w:val="en-US" w:eastAsia="zh-CN"/>
        </w:rPr>
        <w:t>U盘</w:t>
      </w:r>
      <w:r>
        <w:rPr>
          <w:rFonts w:hint="eastAsia" w:ascii="宋体" w:hAnsi="宋体" w:eastAsia="宋体" w:cs="宋体"/>
          <w:b/>
          <w:bCs/>
          <w:szCs w:val="21"/>
          <w:lang w:eastAsia="zh-CN"/>
        </w:rPr>
        <w:t>）</w:t>
      </w:r>
      <w:r>
        <w:rPr>
          <w:rFonts w:hint="eastAsia" w:ascii="宋体" w:hAnsi="宋体" w:eastAsia="宋体" w:cs="宋体"/>
          <w:b/>
          <w:bCs/>
          <w:szCs w:val="21"/>
          <w:lang w:val="en-US" w:eastAsia="zh-CN"/>
        </w:rPr>
        <w:t>1份。</w:t>
      </w:r>
    </w:p>
    <w:p>
      <w:pPr>
        <w:pStyle w:val="15"/>
        <w:spacing w:line="360" w:lineRule="auto"/>
        <w:rPr>
          <w:rFonts w:hAnsi="宋体" w:cs="宋体"/>
          <w:bCs/>
          <w:szCs w:val="21"/>
        </w:rPr>
      </w:pPr>
      <w:r>
        <w:rPr>
          <w:rFonts w:hint="eastAsia" w:hAnsi="宋体" w:cs="宋体"/>
          <w:bCs/>
          <w:szCs w:val="21"/>
        </w:rPr>
        <w:t>11.  响应文件报价</w:t>
      </w:r>
    </w:p>
    <w:p>
      <w:pPr>
        <w:pStyle w:val="15"/>
        <w:spacing w:line="360" w:lineRule="auto"/>
        <w:ind w:firstLine="420"/>
        <w:rPr>
          <w:rFonts w:hAnsi="宋体" w:cs="宋体"/>
          <w:szCs w:val="21"/>
        </w:rPr>
      </w:pPr>
      <w:r>
        <w:rPr>
          <w:rFonts w:hint="eastAsia" w:hAnsi="宋体" w:cs="宋体"/>
          <w:szCs w:val="21"/>
        </w:rPr>
        <w:t>11.1  磋商供应商应以人民币报价。</w:t>
      </w:r>
    </w:p>
    <w:p>
      <w:pPr>
        <w:pStyle w:val="15"/>
        <w:spacing w:line="360" w:lineRule="auto"/>
        <w:ind w:firstLine="420" w:firstLineChars="200"/>
        <w:rPr>
          <w:rFonts w:hAnsi="宋体" w:cs="宋体"/>
          <w:szCs w:val="21"/>
        </w:rPr>
      </w:pPr>
      <w:r>
        <w:rPr>
          <w:rFonts w:hint="eastAsia" w:hAnsi="宋体" w:cs="宋体"/>
          <w:szCs w:val="21"/>
        </w:rPr>
        <w:t>11.2  磋商供应商可就第三章 “服务需求一览表”中的</w:t>
      </w:r>
      <w:r>
        <w:rPr>
          <w:rFonts w:hint="eastAsia" w:hAnsi="宋体" w:cs="宋体"/>
          <w:b/>
          <w:szCs w:val="21"/>
        </w:rPr>
        <w:t>服务内容作完整唯一报价。</w:t>
      </w:r>
    </w:p>
    <w:p>
      <w:pPr>
        <w:pStyle w:val="15"/>
        <w:spacing w:line="360" w:lineRule="auto"/>
        <w:ind w:firstLine="420"/>
        <w:rPr>
          <w:rFonts w:hAnsi="宋体" w:cs="宋体"/>
          <w:szCs w:val="21"/>
        </w:rPr>
      </w:pPr>
      <w:r>
        <w:rPr>
          <w:rFonts w:hint="eastAsia" w:hAnsi="宋体" w:cs="宋体"/>
          <w:szCs w:val="21"/>
        </w:rPr>
        <w:t>11.3  响应报价为在采购人指定地点提交服务成果所需的全部费用，其组成部分详见第三章 “服务需求一览表”。采购人不再向成交供应商支付其响应报价之外的任何费用。</w:t>
      </w:r>
    </w:p>
    <w:p>
      <w:pPr>
        <w:pStyle w:val="15"/>
        <w:spacing w:line="360" w:lineRule="auto"/>
        <w:ind w:firstLine="420"/>
        <w:rPr>
          <w:rFonts w:hAnsi="宋体" w:cs="宋体"/>
          <w:szCs w:val="21"/>
        </w:rPr>
      </w:pPr>
      <w:r>
        <w:rPr>
          <w:rFonts w:hint="eastAsia" w:hAnsi="宋体" w:cs="宋体"/>
          <w:szCs w:val="21"/>
        </w:rPr>
        <w:t>11.4  本项目的采购代理服务费按物价部门核准的收费标准执行，见磋商供应商须知前附表。</w:t>
      </w:r>
    </w:p>
    <w:p>
      <w:pPr>
        <w:pStyle w:val="15"/>
        <w:spacing w:line="360" w:lineRule="auto"/>
        <w:ind w:firstLine="420"/>
        <w:rPr>
          <w:rFonts w:hAnsi="宋体" w:cs="宋体"/>
          <w:szCs w:val="21"/>
        </w:rPr>
      </w:pPr>
      <w:r>
        <w:rPr>
          <w:rFonts w:hint="eastAsia" w:hAnsi="宋体" w:cs="宋体"/>
          <w:szCs w:val="21"/>
        </w:rPr>
        <w:t>11.5  不论磋商结果如何，磋商供应商均应自行承担与编制和提交响应文件有关的全部费用。</w:t>
      </w:r>
    </w:p>
    <w:p>
      <w:pPr>
        <w:pStyle w:val="15"/>
        <w:spacing w:line="360" w:lineRule="auto"/>
        <w:rPr>
          <w:rFonts w:hAnsi="宋体" w:cs="宋体"/>
          <w:bCs/>
          <w:szCs w:val="21"/>
        </w:rPr>
      </w:pPr>
      <w:r>
        <w:rPr>
          <w:rFonts w:hint="eastAsia" w:hAnsi="宋体" w:cs="宋体"/>
          <w:bCs/>
          <w:szCs w:val="21"/>
        </w:rPr>
        <w:t>12.  响应有效期</w:t>
      </w:r>
    </w:p>
    <w:p>
      <w:pPr>
        <w:pStyle w:val="15"/>
        <w:spacing w:line="360" w:lineRule="auto"/>
        <w:ind w:firstLine="420" w:firstLineChars="200"/>
        <w:rPr>
          <w:rFonts w:hAnsi="宋体" w:cs="宋体"/>
          <w:bCs/>
          <w:szCs w:val="21"/>
        </w:rPr>
      </w:pPr>
      <w:r>
        <w:rPr>
          <w:rFonts w:hint="eastAsia" w:hAnsi="宋体" w:cs="宋体"/>
          <w:szCs w:val="21"/>
        </w:rPr>
        <w:t>12.1  在磋商供应商须知前附表规定的响应有效期内，磋商供应商不得要求撤销或修改其响应文件。</w:t>
      </w:r>
    </w:p>
    <w:p>
      <w:pPr>
        <w:pStyle w:val="15"/>
        <w:spacing w:line="360" w:lineRule="auto"/>
        <w:ind w:firstLine="420" w:firstLineChars="200"/>
        <w:rPr>
          <w:rFonts w:hAnsi="宋体" w:cs="宋体"/>
          <w:bCs/>
          <w:szCs w:val="21"/>
        </w:rPr>
      </w:pPr>
      <w:r>
        <w:rPr>
          <w:rFonts w:hint="eastAsia" w:hAnsi="宋体" w:cs="宋体"/>
          <w:szCs w:val="21"/>
        </w:rPr>
        <w:t>12.2  在特殊情况下，采购人或采购代理机构可与磋商供应商协商延长响应有效期，这种要求与答复均应使用书面形式。磋商供应商同意延长的，但不得要求或被允许修改或撤销其响应文件；磋商供应商拒绝延长的，其响应失效。</w:t>
      </w:r>
    </w:p>
    <w:p>
      <w:pPr>
        <w:pStyle w:val="15"/>
        <w:spacing w:line="360" w:lineRule="auto"/>
        <w:rPr>
          <w:rFonts w:hAnsi="宋体" w:cs="宋体"/>
          <w:bCs/>
          <w:szCs w:val="21"/>
        </w:rPr>
      </w:pPr>
      <w:r>
        <w:rPr>
          <w:rFonts w:hint="eastAsia" w:hAnsi="宋体" w:cs="宋体"/>
          <w:bCs/>
          <w:szCs w:val="21"/>
        </w:rPr>
        <w:t xml:space="preserve">13.  </w:t>
      </w:r>
      <w:r>
        <w:rPr>
          <w:rFonts w:hint="eastAsia" w:hAnsi="宋体" w:cs="宋体"/>
          <w:szCs w:val="21"/>
        </w:rPr>
        <w:t>磋商</w:t>
      </w:r>
      <w:r>
        <w:rPr>
          <w:rFonts w:hint="eastAsia" w:hAnsi="宋体" w:cs="宋体"/>
          <w:bCs/>
          <w:szCs w:val="21"/>
        </w:rPr>
        <w:t>保证金</w:t>
      </w:r>
    </w:p>
    <w:p>
      <w:pPr>
        <w:pStyle w:val="15"/>
        <w:spacing w:line="440" w:lineRule="exact"/>
        <w:ind w:firstLine="420" w:firstLineChars="200"/>
        <w:rPr>
          <w:rFonts w:hint="eastAsia" w:ascii="宋体" w:hAnsi="宋体" w:eastAsia="宋体" w:cs="宋体"/>
          <w:bCs/>
          <w:sz w:val="21"/>
          <w:szCs w:val="21"/>
        </w:rPr>
      </w:pPr>
      <w:r>
        <w:rPr>
          <w:rFonts w:hint="eastAsia" w:ascii="宋体" w:hAnsi="宋体" w:eastAsia="宋体" w:cs="宋体"/>
          <w:sz w:val="21"/>
          <w:szCs w:val="21"/>
        </w:rPr>
        <w:t>13</w:t>
      </w:r>
      <w:r>
        <w:rPr>
          <w:rFonts w:hint="eastAsia" w:ascii="宋体" w:hAnsi="宋体" w:eastAsia="宋体" w:cs="宋体"/>
          <w:bCs/>
          <w:sz w:val="21"/>
          <w:szCs w:val="21"/>
        </w:rPr>
        <w:t>.1  磋商保证金具体金额见供应商须知前附表，须足额缴纳。</w:t>
      </w:r>
    </w:p>
    <w:p>
      <w:pPr>
        <w:pStyle w:val="15"/>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13.2未成交供应商的</w:t>
      </w:r>
      <w:r>
        <w:rPr>
          <w:rFonts w:hint="eastAsia" w:ascii="宋体" w:hAnsi="宋体" w:eastAsia="宋体" w:cs="宋体"/>
          <w:sz w:val="21"/>
          <w:szCs w:val="21"/>
        </w:rPr>
        <w:t>磋商</w:t>
      </w:r>
      <w:r>
        <w:rPr>
          <w:rFonts w:hint="eastAsia" w:ascii="宋体" w:hAnsi="宋体" w:eastAsia="宋体" w:cs="宋体"/>
          <w:bCs/>
          <w:sz w:val="21"/>
          <w:szCs w:val="21"/>
        </w:rPr>
        <w:t>保证金，除本章第 13.5 项规定的不予退还的情形外，由采购代理机构在成交通知书发出后五个工作日内以转账或电汇方式无息退还。</w:t>
      </w:r>
    </w:p>
    <w:p>
      <w:pPr>
        <w:pStyle w:val="15"/>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13.3</w:t>
      </w:r>
      <w:r>
        <w:rPr>
          <w:rFonts w:hint="eastAsia" w:ascii="宋体" w:hAnsi="宋体" w:eastAsia="宋体" w:cs="宋体"/>
          <w:color w:val="000000"/>
          <w:sz w:val="21"/>
          <w:szCs w:val="21"/>
        </w:rPr>
        <w:t>成交供应商的磋商保证金在签订合同</w:t>
      </w:r>
      <w:r>
        <w:rPr>
          <w:rFonts w:hint="eastAsia" w:ascii="宋体" w:hAnsi="宋体" w:eastAsia="宋体" w:cs="宋体"/>
          <w:color w:val="000000"/>
          <w:sz w:val="21"/>
          <w:szCs w:val="21"/>
          <w:lang w:eastAsia="zh-CN"/>
        </w:rPr>
        <w:t>后</w:t>
      </w:r>
      <w:r>
        <w:rPr>
          <w:rFonts w:hint="eastAsia" w:ascii="宋体" w:hAnsi="宋体" w:eastAsia="宋体" w:cs="宋体"/>
          <w:bCs/>
          <w:sz w:val="21"/>
          <w:szCs w:val="21"/>
        </w:rPr>
        <w:t>五个工作日内以转账或电汇方式无息退还。</w:t>
      </w:r>
    </w:p>
    <w:p>
      <w:pPr>
        <w:pStyle w:val="15"/>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13.4涉及质疑和投诉的供应商，在质疑和投诉调查处理结束前其</w:t>
      </w:r>
      <w:r>
        <w:rPr>
          <w:rFonts w:hint="eastAsia" w:ascii="宋体" w:hAnsi="宋体" w:eastAsia="宋体" w:cs="宋体"/>
          <w:sz w:val="21"/>
          <w:szCs w:val="21"/>
        </w:rPr>
        <w:t>磋商</w:t>
      </w:r>
      <w:r>
        <w:rPr>
          <w:rFonts w:hint="eastAsia" w:ascii="宋体" w:hAnsi="宋体" w:eastAsia="宋体" w:cs="宋体"/>
          <w:bCs/>
          <w:sz w:val="21"/>
          <w:szCs w:val="21"/>
        </w:rPr>
        <w:t>保证金暂不退还。</w:t>
      </w:r>
    </w:p>
    <w:p>
      <w:pPr>
        <w:pStyle w:val="15"/>
        <w:spacing w:line="44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13.5供应商有下列情形之一的，采购代理机构不予退还其交纳的磋商保证金：</w:t>
      </w:r>
    </w:p>
    <w:p>
      <w:pPr>
        <w:pStyle w:val="15"/>
        <w:spacing w:line="440" w:lineRule="exact"/>
        <w:ind w:firstLine="315" w:firstLineChars="150"/>
        <w:rPr>
          <w:rFonts w:hint="eastAsia" w:ascii="宋体" w:hAnsi="宋体" w:eastAsia="宋体" w:cs="宋体"/>
          <w:bCs/>
          <w:sz w:val="21"/>
          <w:szCs w:val="21"/>
        </w:rPr>
      </w:pPr>
      <w:r>
        <w:rPr>
          <w:rFonts w:hint="eastAsia" w:ascii="宋体" w:hAnsi="宋体" w:eastAsia="宋体" w:cs="宋体"/>
          <w:bCs/>
          <w:sz w:val="21"/>
          <w:szCs w:val="21"/>
        </w:rPr>
        <w:t>（1）在截标后要求撤回竞标的；</w:t>
      </w:r>
    </w:p>
    <w:p>
      <w:pPr>
        <w:pStyle w:val="15"/>
        <w:spacing w:line="440" w:lineRule="exact"/>
        <w:ind w:firstLine="315" w:firstLineChars="150"/>
        <w:rPr>
          <w:rFonts w:hint="eastAsia" w:ascii="宋体" w:hAnsi="宋体" w:eastAsia="宋体" w:cs="宋体"/>
          <w:bCs/>
          <w:sz w:val="21"/>
          <w:szCs w:val="21"/>
        </w:rPr>
      </w:pPr>
      <w:r>
        <w:rPr>
          <w:rFonts w:hint="eastAsia" w:ascii="宋体" w:hAnsi="宋体" w:eastAsia="宋体" w:cs="宋体"/>
          <w:bCs/>
          <w:sz w:val="21"/>
          <w:szCs w:val="21"/>
        </w:rPr>
        <w:t>（2）属本章第 18.2 项所述情形的；</w:t>
      </w:r>
    </w:p>
    <w:p>
      <w:pPr>
        <w:pStyle w:val="15"/>
        <w:spacing w:line="440" w:lineRule="exact"/>
        <w:ind w:firstLine="315" w:firstLineChars="150"/>
        <w:rPr>
          <w:rFonts w:hint="eastAsia" w:ascii="宋体" w:hAnsi="宋体" w:eastAsia="宋体" w:cs="宋体"/>
          <w:bCs/>
          <w:sz w:val="21"/>
          <w:szCs w:val="21"/>
        </w:rPr>
      </w:pPr>
      <w:r>
        <w:rPr>
          <w:rFonts w:hint="eastAsia" w:ascii="宋体" w:hAnsi="宋体" w:eastAsia="宋体" w:cs="宋体"/>
          <w:bCs/>
          <w:sz w:val="21"/>
          <w:szCs w:val="21"/>
        </w:rPr>
        <w:t>（3）成交后未按规定缴纳履约保证金和代理服务费的；</w:t>
      </w:r>
    </w:p>
    <w:p>
      <w:pPr>
        <w:pStyle w:val="15"/>
        <w:spacing w:line="440" w:lineRule="exact"/>
        <w:ind w:firstLine="315" w:firstLineChars="150"/>
        <w:rPr>
          <w:rFonts w:hint="eastAsia" w:ascii="宋体" w:hAnsi="宋体" w:eastAsia="宋体" w:cs="宋体"/>
          <w:bCs/>
          <w:sz w:val="21"/>
          <w:szCs w:val="21"/>
        </w:rPr>
      </w:pPr>
      <w:r>
        <w:rPr>
          <w:rFonts w:hint="eastAsia" w:ascii="宋体" w:hAnsi="宋体" w:eastAsia="宋体" w:cs="宋体"/>
          <w:bCs/>
          <w:sz w:val="21"/>
          <w:szCs w:val="21"/>
        </w:rPr>
        <w:t>（4）成交后无正当理由不与采购人或者采购代理机构按规定的时间、地点签订合同的；</w:t>
      </w:r>
    </w:p>
    <w:p>
      <w:pPr>
        <w:pStyle w:val="15"/>
        <w:spacing w:line="440" w:lineRule="exact"/>
        <w:ind w:firstLine="315" w:firstLineChars="150"/>
        <w:rPr>
          <w:rFonts w:hint="eastAsia" w:ascii="宋体" w:hAnsi="宋体" w:eastAsia="宋体" w:cs="宋体"/>
          <w:bCs/>
          <w:sz w:val="21"/>
          <w:szCs w:val="21"/>
        </w:rPr>
      </w:pPr>
      <w:r>
        <w:rPr>
          <w:rFonts w:hint="eastAsia" w:ascii="宋体" w:hAnsi="宋体" w:eastAsia="宋体" w:cs="宋体"/>
          <w:bCs/>
          <w:sz w:val="21"/>
          <w:szCs w:val="21"/>
        </w:rPr>
        <w:t>（5）成交后与采购人签订对竞争性</w:t>
      </w:r>
      <w:r>
        <w:rPr>
          <w:rFonts w:hint="eastAsia" w:ascii="宋体" w:hAnsi="宋体" w:eastAsia="宋体" w:cs="宋体"/>
          <w:bCs/>
          <w:sz w:val="21"/>
          <w:szCs w:val="21"/>
          <w:lang w:eastAsia="zh-CN"/>
        </w:rPr>
        <w:t>磋商</w:t>
      </w:r>
      <w:r>
        <w:rPr>
          <w:rFonts w:hint="eastAsia" w:ascii="宋体" w:hAnsi="宋体" w:eastAsia="宋体" w:cs="宋体"/>
          <w:bCs/>
          <w:sz w:val="21"/>
          <w:szCs w:val="21"/>
        </w:rPr>
        <w:t>采购文件和竞争性</w:t>
      </w:r>
      <w:r>
        <w:rPr>
          <w:rFonts w:hint="eastAsia" w:ascii="宋体" w:hAnsi="宋体" w:eastAsia="宋体" w:cs="宋体"/>
          <w:bCs/>
          <w:sz w:val="21"/>
          <w:szCs w:val="21"/>
          <w:lang w:eastAsia="zh-CN"/>
        </w:rPr>
        <w:t>磋商</w:t>
      </w:r>
      <w:r>
        <w:rPr>
          <w:rFonts w:hint="eastAsia" w:ascii="宋体" w:hAnsi="宋体" w:eastAsia="宋体" w:cs="宋体"/>
          <w:bCs/>
          <w:sz w:val="21"/>
          <w:szCs w:val="21"/>
        </w:rPr>
        <w:t>响应文件作了实质性修改的合同， 或与采购人私下订立背离合同实质性内容的协议的。</w:t>
      </w:r>
    </w:p>
    <w:p>
      <w:pPr>
        <w:pStyle w:val="15"/>
        <w:spacing w:line="360" w:lineRule="auto"/>
        <w:jc w:val="center"/>
        <w:rPr>
          <w:rFonts w:hAnsi="宋体" w:cs="宋体"/>
          <w:b/>
          <w:bCs/>
          <w:szCs w:val="21"/>
        </w:rPr>
      </w:pPr>
    </w:p>
    <w:p>
      <w:pPr>
        <w:pStyle w:val="27"/>
        <w:spacing w:line="360" w:lineRule="auto"/>
        <w:outlineLvl w:val="1"/>
        <w:rPr>
          <w:rFonts w:ascii="宋体" w:hAnsi="宋体" w:cs="宋体"/>
          <w:sz w:val="21"/>
          <w:szCs w:val="21"/>
        </w:rPr>
      </w:pPr>
      <w:bookmarkStart w:id="76" w:name="_Toc213326419"/>
      <w:bookmarkStart w:id="77" w:name="_Toc7931"/>
      <w:bookmarkStart w:id="78" w:name="_Toc14703"/>
      <w:bookmarkStart w:id="79" w:name="_Toc17577"/>
      <w:bookmarkStart w:id="80" w:name="_Toc495334413"/>
      <w:bookmarkStart w:id="81" w:name="_Toc11924"/>
      <w:bookmarkStart w:id="82" w:name="_Toc213326420"/>
      <w:r>
        <w:rPr>
          <w:rFonts w:hint="eastAsia" w:ascii="宋体" w:hAnsi="宋体" w:cs="宋体"/>
          <w:sz w:val="21"/>
          <w:szCs w:val="21"/>
        </w:rPr>
        <w:t xml:space="preserve">四   </w:t>
      </w:r>
      <w:bookmarkEnd w:id="76"/>
      <w:r>
        <w:rPr>
          <w:rFonts w:hint="eastAsia" w:ascii="宋体" w:hAnsi="宋体" w:cs="宋体"/>
          <w:sz w:val="21"/>
          <w:szCs w:val="21"/>
        </w:rPr>
        <w:t>磋商响应</w:t>
      </w:r>
      <w:bookmarkEnd w:id="77"/>
      <w:bookmarkEnd w:id="78"/>
      <w:bookmarkEnd w:id="79"/>
      <w:bookmarkEnd w:id="80"/>
      <w:bookmarkEnd w:id="81"/>
    </w:p>
    <w:p>
      <w:pPr>
        <w:pStyle w:val="15"/>
        <w:spacing w:line="360" w:lineRule="auto"/>
        <w:rPr>
          <w:rFonts w:hAnsi="宋体" w:cs="宋体"/>
          <w:bCs/>
          <w:szCs w:val="21"/>
        </w:rPr>
      </w:pPr>
      <w:r>
        <w:rPr>
          <w:rFonts w:hint="eastAsia" w:hAnsi="宋体" w:cs="宋体"/>
          <w:bCs/>
          <w:szCs w:val="21"/>
        </w:rPr>
        <w:t xml:space="preserve">14.  </w:t>
      </w:r>
      <w:r>
        <w:rPr>
          <w:rFonts w:hint="eastAsia" w:hAnsi="宋体" w:cs="宋体"/>
          <w:szCs w:val="21"/>
        </w:rPr>
        <w:t>响应</w:t>
      </w:r>
      <w:r>
        <w:rPr>
          <w:rFonts w:hint="eastAsia" w:hAnsi="宋体" w:cs="宋体"/>
          <w:bCs/>
          <w:szCs w:val="21"/>
        </w:rPr>
        <w:t>文件的密封</w:t>
      </w:r>
    </w:p>
    <w:p>
      <w:pPr>
        <w:pStyle w:val="15"/>
        <w:spacing w:line="360" w:lineRule="auto"/>
        <w:ind w:firstLine="420" w:firstLineChars="200"/>
        <w:rPr>
          <w:rFonts w:hAnsi="宋体" w:cs="宋体"/>
          <w:szCs w:val="21"/>
        </w:rPr>
      </w:pPr>
      <w:r>
        <w:rPr>
          <w:rFonts w:hint="eastAsia" w:hAnsi="宋体" w:cs="宋体"/>
          <w:szCs w:val="21"/>
        </w:rPr>
        <w:t>14.1  磋商供应商应将响应文件进行密封包装，并在包装面上加盖单位公章。</w:t>
      </w:r>
    </w:p>
    <w:p>
      <w:pPr>
        <w:pStyle w:val="15"/>
        <w:spacing w:line="360" w:lineRule="auto"/>
        <w:rPr>
          <w:rFonts w:hAnsi="宋体" w:cs="宋体"/>
          <w:bCs/>
          <w:szCs w:val="21"/>
        </w:rPr>
      </w:pPr>
      <w:r>
        <w:rPr>
          <w:rFonts w:hint="eastAsia" w:hAnsi="宋体" w:cs="宋体"/>
          <w:bCs/>
          <w:szCs w:val="21"/>
        </w:rPr>
        <w:t>15.  响应文件及</w:t>
      </w:r>
      <w:r>
        <w:rPr>
          <w:rFonts w:hint="eastAsia" w:hAnsi="宋体" w:cs="宋体"/>
          <w:szCs w:val="21"/>
        </w:rPr>
        <w:t>磋商</w:t>
      </w:r>
      <w:r>
        <w:rPr>
          <w:rFonts w:hint="eastAsia" w:hAnsi="宋体" w:cs="宋体"/>
          <w:bCs/>
          <w:szCs w:val="21"/>
        </w:rPr>
        <w:t>响应样品的提交</w:t>
      </w:r>
    </w:p>
    <w:p>
      <w:pPr>
        <w:pStyle w:val="15"/>
        <w:spacing w:line="360" w:lineRule="auto"/>
        <w:ind w:firstLine="420" w:firstLineChars="200"/>
        <w:rPr>
          <w:rFonts w:hAnsi="宋体" w:cs="宋体"/>
          <w:bCs/>
          <w:szCs w:val="21"/>
        </w:rPr>
      </w:pPr>
      <w:r>
        <w:rPr>
          <w:rFonts w:hint="eastAsia" w:hAnsi="宋体" w:cs="宋体"/>
          <w:szCs w:val="21"/>
        </w:rPr>
        <w:t>15.1 磋商供应商提交响应文件截止时间：见磋商供应商须知前附表。</w:t>
      </w:r>
    </w:p>
    <w:p>
      <w:pPr>
        <w:pStyle w:val="15"/>
        <w:spacing w:line="360" w:lineRule="auto"/>
        <w:ind w:firstLine="420" w:firstLineChars="200"/>
        <w:rPr>
          <w:rFonts w:hAnsi="宋体" w:cs="宋体"/>
          <w:bCs/>
          <w:szCs w:val="21"/>
        </w:rPr>
      </w:pPr>
      <w:r>
        <w:rPr>
          <w:rFonts w:hint="eastAsia" w:hAnsi="宋体" w:cs="宋体"/>
          <w:szCs w:val="21"/>
        </w:rPr>
        <w:t>15.2  磋商供应商提交响应文件地点：见磋商供应商须知前附表。</w:t>
      </w:r>
    </w:p>
    <w:p>
      <w:pPr>
        <w:pStyle w:val="15"/>
        <w:spacing w:line="360" w:lineRule="auto"/>
        <w:ind w:firstLine="420" w:firstLineChars="200"/>
        <w:rPr>
          <w:rFonts w:hAnsi="宋体" w:cs="宋体"/>
          <w:bCs/>
          <w:szCs w:val="21"/>
        </w:rPr>
      </w:pPr>
      <w:r>
        <w:rPr>
          <w:rFonts w:hint="eastAsia" w:hAnsi="宋体" w:cs="宋体"/>
          <w:szCs w:val="21"/>
        </w:rPr>
        <w:t>15.3  磋商供应商提交磋商响应样品截止时间：见磋商供应商须知前附表。</w:t>
      </w:r>
    </w:p>
    <w:p>
      <w:pPr>
        <w:pStyle w:val="15"/>
        <w:spacing w:line="360" w:lineRule="auto"/>
        <w:ind w:firstLine="420" w:firstLineChars="200"/>
        <w:rPr>
          <w:rFonts w:hAnsi="宋体" w:cs="宋体"/>
          <w:szCs w:val="21"/>
        </w:rPr>
      </w:pPr>
      <w:r>
        <w:rPr>
          <w:rFonts w:hint="eastAsia" w:hAnsi="宋体" w:cs="宋体"/>
          <w:szCs w:val="21"/>
        </w:rPr>
        <w:t>15.4  磋商供应商提交磋商响应样品地点：见磋商供应商须知前附表。</w:t>
      </w:r>
    </w:p>
    <w:p>
      <w:pPr>
        <w:pStyle w:val="15"/>
        <w:spacing w:line="360" w:lineRule="auto"/>
        <w:ind w:firstLine="420" w:firstLineChars="200"/>
        <w:rPr>
          <w:rFonts w:hAnsi="宋体" w:cs="宋体"/>
          <w:szCs w:val="21"/>
        </w:rPr>
      </w:pPr>
      <w:r>
        <w:rPr>
          <w:rFonts w:hint="eastAsia" w:hAnsi="宋体" w:cs="宋体"/>
          <w:szCs w:val="21"/>
        </w:rPr>
        <w:t>15.5  磋商供应商提交响应文件时，应自行检查其响应文件的密封性，并签字确认。</w:t>
      </w:r>
    </w:p>
    <w:p>
      <w:pPr>
        <w:pStyle w:val="15"/>
        <w:spacing w:line="360" w:lineRule="auto"/>
        <w:jc w:val="center"/>
        <w:rPr>
          <w:rFonts w:hAnsi="宋体" w:cs="宋体"/>
          <w:szCs w:val="21"/>
        </w:rPr>
      </w:pPr>
    </w:p>
    <w:bookmarkEnd w:id="82"/>
    <w:p>
      <w:pPr>
        <w:pStyle w:val="27"/>
        <w:spacing w:line="360" w:lineRule="auto"/>
        <w:outlineLvl w:val="1"/>
        <w:rPr>
          <w:rFonts w:ascii="宋体" w:hAnsi="宋体" w:cs="宋体"/>
          <w:sz w:val="21"/>
          <w:szCs w:val="21"/>
        </w:rPr>
      </w:pPr>
      <w:bookmarkStart w:id="83" w:name="_Toc26587"/>
      <w:bookmarkStart w:id="84" w:name="_Toc4222"/>
      <w:bookmarkStart w:id="85" w:name="_Toc227"/>
      <w:bookmarkStart w:id="86" w:name="_Toc495334414"/>
      <w:bookmarkStart w:id="87" w:name="_Toc3165"/>
      <w:r>
        <w:rPr>
          <w:rFonts w:hint="eastAsia" w:ascii="宋体" w:hAnsi="宋体" w:cs="宋体"/>
          <w:sz w:val="21"/>
          <w:szCs w:val="21"/>
        </w:rPr>
        <w:t>五    评审与磋商</w:t>
      </w:r>
      <w:bookmarkEnd w:id="83"/>
      <w:bookmarkEnd w:id="84"/>
      <w:bookmarkEnd w:id="85"/>
      <w:bookmarkEnd w:id="86"/>
      <w:bookmarkEnd w:id="87"/>
    </w:p>
    <w:p>
      <w:pPr>
        <w:pStyle w:val="15"/>
        <w:spacing w:line="360" w:lineRule="auto"/>
        <w:rPr>
          <w:rFonts w:hAnsi="宋体" w:cs="宋体"/>
          <w:bCs/>
          <w:szCs w:val="21"/>
        </w:rPr>
      </w:pPr>
      <w:r>
        <w:rPr>
          <w:rFonts w:hint="eastAsia" w:hAnsi="宋体" w:cs="宋体"/>
          <w:bCs/>
          <w:szCs w:val="21"/>
        </w:rPr>
        <w:t xml:space="preserve">16.  </w:t>
      </w:r>
      <w:r>
        <w:rPr>
          <w:rFonts w:hint="eastAsia" w:hAnsi="宋体" w:cs="宋体"/>
          <w:szCs w:val="21"/>
        </w:rPr>
        <w:t>响应文件</w:t>
      </w:r>
      <w:r>
        <w:rPr>
          <w:rFonts w:hint="eastAsia" w:hAnsi="宋体" w:cs="宋体"/>
          <w:bCs/>
          <w:szCs w:val="21"/>
        </w:rPr>
        <w:t>截止</w:t>
      </w:r>
    </w:p>
    <w:p>
      <w:pPr>
        <w:pStyle w:val="15"/>
        <w:spacing w:line="440" w:lineRule="exact"/>
        <w:ind w:firstLine="420" w:firstLineChars="200"/>
        <w:rPr>
          <w:rFonts w:hAnsi="宋体" w:cs="宋体"/>
          <w:szCs w:val="21"/>
        </w:rPr>
      </w:pPr>
      <w:r>
        <w:rPr>
          <w:rFonts w:hint="eastAsia" w:hAnsi="宋体" w:cs="宋体"/>
          <w:szCs w:val="21"/>
        </w:rPr>
        <w:t xml:space="preserve">16.1 </w:t>
      </w:r>
      <w:r>
        <w:rPr>
          <w:rFonts w:hint="eastAsia" w:ascii="宋体" w:hAnsi="宋体" w:eastAsia="宋体" w:cs="宋体"/>
          <w:sz w:val="21"/>
          <w:szCs w:val="21"/>
        </w:rPr>
        <w:t>供应商的法定代表人或其委托代理人应在递交响应文件截止时间</w:t>
      </w:r>
      <w:r>
        <w:rPr>
          <w:rFonts w:hint="eastAsia" w:ascii="宋体" w:hAnsi="宋体" w:eastAsia="宋体" w:cs="宋体"/>
          <w:sz w:val="21"/>
          <w:szCs w:val="21"/>
          <w:lang w:eastAsia="zh-CN"/>
        </w:rPr>
        <w:t>前</w:t>
      </w:r>
      <w:r>
        <w:rPr>
          <w:rFonts w:hint="eastAsia" w:hAnsi="宋体" w:cs="宋体"/>
          <w:sz w:val="21"/>
          <w:szCs w:val="21"/>
          <w:lang w:eastAsia="zh-CN"/>
        </w:rPr>
        <w:t>将响应文件</w:t>
      </w:r>
      <w:r>
        <w:rPr>
          <w:rFonts w:hint="eastAsia" w:ascii="宋体" w:hAnsi="宋体" w:eastAsia="宋体" w:cs="宋体"/>
          <w:sz w:val="21"/>
          <w:szCs w:val="21"/>
        </w:rPr>
        <w:t>递交</w:t>
      </w:r>
      <w:r>
        <w:rPr>
          <w:rFonts w:hint="eastAsia" w:hAnsi="宋体" w:cs="宋体"/>
          <w:sz w:val="21"/>
          <w:szCs w:val="21"/>
          <w:lang w:eastAsia="zh-CN"/>
        </w:rPr>
        <w:t>到截标</w:t>
      </w:r>
      <w:r>
        <w:rPr>
          <w:rFonts w:hint="eastAsia" w:ascii="宋体" w:hAnsi="宋体" w:eastAsia="宋体" w:cs="宋体"/>
          <w:sz w:val="21"/>
          <w:szCs w:val="21"/>
        </w:rPr>
        <w:t>地点并签到。如未按时签到，由此产生的后果由供应商自行负责。</w:t>
      </w:r>
    </w:p>
    <w:p>
      <w:pPr>
        <w:pStyle w:val="15"/>
        <w:spacing w:line="360" w:lineRule="auto"/>
        <w:rPr>
          <w:rFonts w:hAnsi="宋体" w:cs="宋体"/>
          <w:bCs/>
          <w:szCs w:val="21"/>
        </w:rPr>
      </w:pPr>
      <w:r>
        <w:rPr>
          <w:rFonts w:hint="eastAsia" w:hAnsi="宋体" w:cs="宋体"/>
          <w:bCs/>
          <w:szCs w:val="21"/>
        </w:rPr>
        <w:t>17. 评审与磋商</w:t>
      </w:r>
    </w:p>
    <w:p>
      <w:pPr>
        <w:pStyle w:val="15"/>
        <w:spacing w:line="360" w:lineRule="auto"/>
        <w:ind w:firstLine="420" w:firstLineChars="200"/>
        <w:rPr>
          <w:rFonts w:hAnsi="宋体" w:cs="宋体"/>
          <w:szCs w:val="21"/>
        </w:rPr>
      </w:pPr>
      <w:r>
        <w:rPr>
          <w:rFonts w:hint="eastAsia" w:hAnsi="宋体" w:cs="宋体"/>
          <w:szCs w:val="21"/>
        </w:rPr>
        <w:t>17.1  成立磋商小组：评审与磋商活动由依法组建的磋商小组负责。磋商小组由采购人代表和有关技术、经济等方面的专家组成。采购人或采购代理机构根据本项目的特点，从评审专家库中，通过随机方式抽取专家。</w:t>
      </w:r>
    </w:p>
    <w:p>
      <w:pPr>
        <w:pStyle w:val="15"/>
        <w:spacing w:line="360" w:lineRule="auto"/>
        <w:ind w:firstLine="420" w:firstLineChars="200"/>
        <w:rPr>
          <w:rFonts w:hAnsi="宋体" w:cs="宋体"/>
          <w:szCs w:val="21"/>
        </w:rPr>
      </w:pPr>
      <w:r>
        <w:rPr>
          <w:rFonts w:hint="eastAsia" w:hAnsi="宋体" w:cs="宋体"/>
          <w:szCs w:val="21"/>
        </w:rPr>
        <w:t>17.2  评审原则：评审活动遵循公平、公正、科学和择优的原则。</w:t>
      </w:r>
    </w:p>
    <w:p>
      <w:pPr>
        <w:pStyle w:val="15"/>
        <w:spacing w:line="360" w:lineRule="auto"/>
        <w:ind w:firstLine="420" w:firstLineChars="200"/>
        <w:rPr>
          <w:rFonts w:hAnsi="宋体" w:cs="宋体"/>
          <w:szCs w:val="21"/>
        </w:rPr>
      </w:pPr>
      <w:r>
        <w:rPr>
          <w:rFonts w:hint="eastAsia" w:hAnsi="宋体" w:cs="宋体"/>
          <w:szCs w:val="21"/>
        </w:rPr>
        <w:t>17.3  评审方法：磋商小组按照供应商须知前附表和第</w:t>
      </w:r>
      <w:r>
        <w:rPr>
          <w:rFonts w:hint="eastAsia" w:hAnsi="宋体" w:cs="宋体"/>
          <w:szCs w:val="21"/>
          <w:lang w:eastAsia="zh-CN"/>
        </w:rPr>
        <w:t>六</w:t>
      </w:r>
      <w:r>
        <w:rPr>
          <w:rFonts w:hint="eastAsia" w:hAnsi="宋体" w:cs="宋体"/>
          <w:szCs w:val="21"/>
        </w:rPr>
        <w:t>章“评审方法”规定的方法、评审因素和标准对响应文件进行评审。在评审中，不得改变第</w:t>
      </w:r>
      <w:r>
        <w:rPr>
          <w:rFonts w:hint="eastAsia" w:hAnsi="宋体" w:cs="宋体"/>
          <w:szCs w:val="21"/>
          <w:lang w:eastAsia="zh-CN"/>
        </w:rPr>
        <w:t>六</w:t>
      </w:r>
      <w:r>
        <w:rPr>
          <w:rFonts w:hint="eastAsia" w:hAnsi="宋体" w:cs="宋体"/>
          <w:szCs w:val="21"/>
        </w:rPr>
        <w:t>章“评审办法”规定的方法、评审因素和标准；第</w:t>
      </w:r>
      <w:r>
        <w:rPr>
          <w:rFonts w:hint="eastAsia" w:hAnsi="宋体" w:cs="宋体"/>
          <w:szCs w:val="21"/>
          <w:lang w:eastAsia="zh-CN"/>
        </w:rPr>
        <w:t>六</w:t>
      </w:r>
      <w:r>
        <w:rPr>
          <w:rFonts w:hint="eastAsia" w:hAnsi="宋体" w:cs="宋体"/>
          <w:szCs w:val="21"/>
        </w:rPr>
        <w:t>章“评审办法”没有规定的方法、评审因素和标准，不作为评审依据。</w:t>
      </w:r>
    </w:p>
    <w:p>
      <w:pPr>
        <w:pStyle w:val="15"/>
        <w:spacing w:line="360" w:lineRule="auto"/>
        <w:ind w:firstLine="420" w:firstLineChars="200"/>
        <w:rPr>
          <w:rFonts w:hAnsi="宋体" w:cs="宋体"/>
          <w:szCs w:val="21"/>
        </w:rPr>
      </w:pPr>
      <w:r>
        <w:rPr>
          <w:rFonts w:hint="eastAsia" w:hAnsi="宋体" w:cs="宋体"/>
          <w:szCs w:val="21"/>
        </w:rPr>
        <w:t xml:space="preserve">17.4  </w:t>
      </w:r>
      <w:r>
        <w:rPr>
          <w:rFonts w:hint="eastAsia" w:hAnsi="宋体" w:cs="宋体"/>
          <w:bCs/>
          <w:szCs w:val="21"/>
        </w:rPr>
        <w:t>评审程序：</w:t>
      </w:r>
    </w:p>
    <w:p>
      <w:pPr>
        <w:pStyle w:val="15"/>
        <w:spacing w:line="360" w:lineRule="auto"/>
        <w:ind w:firstLine="420" w:firstLineChars="200"/>
        <w:rPr>
          <w:rFonts w:hAnsi="宋体" w:cs="宋体"/>
          <w:szCs w:val="21"/>
        </w:rPr>
      </w:pPr>
      <w:r>
        <w:rPr>
          <w:rFonts w:hint="eastAsia" w:hAnsi="宋体" w:cs="宋体"/>
          <w:szCs w:val="21"/>
        </w:rPr>
        <w:t xml:space="preserve">17.4.1  </w:t>
      </w:r>
      <w:r>
        <w:rPr>
          <w:rFonts w:hint="eastAsia" w:hAnsi="宋体" w:cs="宋体"/>
          <w:bCs/>
          <w:szCs w:val="21"/>
        </w:rPr>
        <w:t>采购代理机构项目负责人宣读评审会场纪律要求，集中管理通讯工具，询问在场人员是否申请回避。</w:t>
      </w:r>
    </w:p>
    <w:p>
      <w:pPr>
        <w:pStyle w:val="15"/>
        <w:spacing w:line="360" w:lineRule="auto"/>
        <w:ind w:firstLine="420" w:firstLineChars="200"/>
        <w:rPr>
          <w:rFonts w:hAnsi="宋体" w:cs="宋体"/>
          <w:bCs/>
          <w:szCs w:val="21"/>
        </w:rPr>
      </w:pPr>
      <w:r>
        <w:rPr>
          <w:rFonts w:hint="eastAsia" w:hAnsi="宋体" w:cs="宋体"/>
          <w:szCs w:val="21"/>
        </w:rPr>
        <w:t xml:space="preserve">17.4.2  </w:t>
      </w:r>
      <w:r>
        <w:rPr>
          <w:rFonts w:hint="eastAsia" w:hAnsi="宋体" w:cs="宋体"/>
          <w:bCs/>
          <w:szCs w:val="21"/>
        </w:rPr>
        <w:t>采购代理机构项目负责人介绍项目概况及磋商小组组成情况（但不得发表影响评审的倾向性、歧视性言论），推选磋商小组组长（原则上采购人不得担任磋商小组组长）。</w:t>
      </w:r>
    </w:p>
    <w:p>
      <w:pPr>
        <w:pStyle w:val="15"/>
        <w:spacing w:line="360" w:lineRule="auto"/>
        <w:ind w:firstLine="420" w:firstLineChars="200"/>
        <w:rPr>
          <w:rFonts w:hAnsi="宋体" w:cs="宋体"/>
          <w:szCs w:val="21"/>
        </w:rPr>
      </w:pPr>
      <w:r>
        <w:rPr>
          <w:rFonts w:hint="eastAsia" w:hAnsi="宋体" w:cs="宋体"/>
          <w:bCs/>
          <w:szCs w:val="21"/>
        </w:rPr>
        <w:t xml:space="preserve">17.4.3  </w:t>
      </w:r>
      <w:r>
        <w:rPr>
          <w:rFonts w:hint="eastAsia" w:hAnsi="宋体" w:cs="宋体"/>
          <w:szCs w:val="21"/>
        </w:rPr>
        <w:t>磋商小组在响应文件拆封前对响应文件做密封性检查，并签字确认。</w:t>
      </w:r>
    </w:p>
    <w:p>
      <w:pPr>
        <w:pStyle w:val="15"/>
        <w:spacing w:line="360" w:lineRule="auto"/>
        <w:ind w:firstLine="420" w:firstLineChars="200"/>
        <w:rPr>
          <w:rFonts w:hAnsi="宋体" w:cs="宋体"/>
          <w:szCs w:val="21"/>
        </w:rPr>
      </w:pPr>
      <w:r>
        <w:rPr>
          <w:rFonts w:hint="eastAsia" w:hAnsi="宋体" w:cs="宋体"/>
          <w:szCs w:val="21"/>
        </w:rPr>
        <w:t>17.4.4  响应文件初审：初审分为资格性检查和符合性检查。</w:t>
      </w:r>
    </w:p>
    <w:p>
      <w:pPr>
        <w:pStyle w:val="15"/>
        <w:spacing w:line="360" w:lineRule="auto"/>
        <w:ind w:firstLine="420" w:firstLineChars="200"/>
        <w:rPr>
          <w:rFonts w:hAnsi="宋体" w:cs="宋体"/>
          <w:szCs w:val="21"/>
        </w:rPr>
      </w:pPr>
      <w:r>
        <w:rPr>
          <w:rFonts w:hint="eastAsia" w:hAnsi="宋体" w:cs="宋体"/>
          <w:szCs w:val="21"/>
        </w:rPr>
        <w:t>17.4.4.1资格性检查：依据法律法规和磋商文件的规定，对响应文件中的资格证明进行审查，以确定供应商是否具备磋商资格。</w:t>
      </w:r>
    </w:p>
    <w:p>
      <w:pPr>
        <w:pStyle w:val="15"/>
        <w:spacing w:line="360" w:lineRule="auto"/>
        <w:ind w:firstLine="420" w:firstLineChars="200"/>
        <w:rPr>
          <w:rFonts w:hAnsi="宋体" w:cs="宋体"/>
          <w:szCs w:val="21"/>
        </w:rPr>
      </w:pPr>
      <w:r>
        <w:rPr>
          <w:rFonts w:hint="eastAsia" w:hAnsi="宋体" w:cs="宋体"/>
          <w:szCs w:val="21"/>
        </w:rPr>
        <w:t>17.4.4.2符合性检查：依据磋商文件的规定，从响应文件的有效性、完整性和对磋商文件的响应程度进行审查，以确定是否对磋商文件的实质性要求和条件作出响应。</w:t>
      </w:r>
    </w:p>
    <w:p>
      <w:pPr>
        <w:pStyle w:val="15"/>
        <w:spacing w:line="360" w:lineRule="auto"/>
        <w:ind w:firstLine="718" w:firstLineChars="342"/>
        <w:rPr>
          <w:rFonts w:hAnsi="宋体" w:cs="宋体"/>
          <w:szCs w:val="21"/>
        </w:rPr>
      </w:pPr>
      <w:r>
        <w:rPr>
          <w:rFonts w:hint="eastAsia" w:hAnsi="宋体" w:cs="宋体"/>
          <w:szCs w:val="21"/>
        </w:rPr>
        <w:t>(1)有下列情形之一的视为磋商供应商相互串通响应，响应文件将被视为无效。</w:t>
      </w:r>
    </w:p>
    <w:p>
      <w:pPr>
        <w:widowControl/>
        <w:spacing w:line="360" w:lineRule="auto"/>
        <w:ind w:firstLine="640"/>
        <w:jc w:val="left"/>
        <w:rPr>
          <w:rFonts w:ascii="宋体" w:hAnsi="宋体" w:cs="宋体"/>
          <w:szCs w:val="21"/>
        </w:rPr>
      </w:pPr>
      <w:r>
        <w:rPr>
          <w:rFonts w:hint="eastAsia" w:ascii="宋体" w:hAnsi="宋体" w:cs="宋体"/>
          <w:szCs w:val="21"/>
        </w:rPr>
        <w:t>①不同磋商供应商的响应文件由同一单位或者个人编制；或不同磋商供应商报名的IP地址一致的;</w:t>
      </w:r>
    </w:p>
    <w:p>
      <w:pPr>
        <w:widowControl/>
        <w:spacing w:line="360" w:lineRule="auto"/>
        <w:ind w:firstLine="640"/>
        <w:jc w:val="left"/>
        <w:rPr>
          <w:rFonts w:ascii="宋体" w:hAnsi="宋体" w:cs="宋体"/>
          <w:szCs w:val="21"/>
        </w:rPr>
      </w:pPr>
      <w:r>
        <w:rPr>
          <w:rFonts w:hint="eastAsia" w:ascii="宋体" w:hAnsi="宋体" w:cs="宋体"/>
          <w:szCs w:val="21"/>
        </w:rPr>
        <w:t>②不同磋商供应商委托同一单位或者个人办理响应事宜;</w:t>
      </w:r>
    </w:p>
    <w:p>
      <w:pPr>
        <w:widowControl/>
        <w:spacing w:line="360" w:lineRule="auto"/>
        <w:ind w:firstLine="640"/>
        <w:jc w:val="left"/>
        <w:rPr>
          <w:rFonts w:ascii="宋体" w:hAnsi="宋体" w:cs="宋体"/>
          <w:szCs w:val="21"/>
        </w:rPr>
      </w:pPr>
      <w:r>
        <w:rPr>
          <w:rFonts w:hint="eastAsia" w:ascii="宋体" w:hAnsi="宋体" w:cs="宋体"/>
          <w:szCs w:val="21"/>
        </w:rPr>
        <w:t>③不同的磋商供应商的响应文件载明的项目管理员为同一个人;</w:t>
      </w:r>
    </w:p>
    <w:p>
      <w:pPr>
        <w:widowControl/>
        <w:spacing w:line="360" w:lineRule="auto"/>
        <w:ind w:firstLine="640"/>
        <w:jc w:val="left"/>
        <w:rPr>
          <w:rFonts w:ascii="宋体" w:hAnsi="宋体" w:cs="宋体"/>
          <w:szCs w:val="21"/>
        </w:rPr>
      </w:pPr>
      <w:r>
        <w:rPr>
          <w:rFonts w:hint="eastAsia" w:ascii="宋体" w:hAnsi="宋体" w:cs="宋体"/>
          <w:szCs w:val="21"/>
        </w:rPr>
        <w:t>④不同磋商供应商的响应文件异常一致或响应报价呈规律性差异;</w:t>
      </w:r>
    </w:p>
    <w:p>
      <w:pPr>
        <w:widowControl/>
        <w:spacing w:line="360" w:lineRule="auto"/>
        <w:ind w:firstLine="640"/>
        <w:jc w:val="left"/>
        <w:rPr>
          <w:rFonts w:ascii="宋体" w:hAnsi="宋体" w:cs="宋体"/>
          <w:szCs w:val="21"/>
        </w:rPr>
      </w:pPr>
      <w:r>
        <w:rPr>
          <w:rFonts w:hint="eastAsia" w:ascii="宋体" w:hAnsi="宋体" w:cs="宋体"/>
          <w:szCs w:val="21"/>
        </w:rPr>
        <w:t>⑤不同磋商供应商的响应文件相互混装;</w:t>
      </w:r>
    </w:p>
    <w:p>
      <w:pPr>
        <w:widowControl/>
        <w:spacing w:line="360" w:lineRule="auto"/>
        <w:ind w:firstLine="640"/>
        <w:jc w:val="left"/>
        <w:rPr>
          <w:rFonts w:ascii="宋体" w:hAnsi="宋体" w:cs="宋体"/>
          <w:szCs w:val="21"/>
        </w:rPr>
      </w:pPr>
      <w:r>
        <w:rPr>
          <w:rFonts w:hint="eastAsia" w:ascii="宋体" w:hAnsi="宋体" w:cs="宋体"/>
          <w:szCs w:val="21"/>
        </w:rPr>
        <w:t>（2）关联供应商不得参加同一合同项下采购活动，否则响应文件将被视为无效</w:t>
      </w:r>
    </w:p>
    <w:p>
      <w:pPr>
        <w:widowControl/>
        <w:spacing w:line="360" w:lineRule="auto"/>
        <w:ind w:firstLine="640"/>
        <w:jc w:val="left"/>
        <w:rPr>
          <w:rFonts w:ascii="宋体" w:hAnsi="宋体" w:cs="宋体"/>
          <w:szCs w:val="21"/>
        </w:rPr>
      </w:pPr>
      <w:r>
        <w:rPr>
          <w:rFonts w:hint="eastAsia" w:ascii="宋体" w:hAnsi="宋体" w:cs="宋体"/>
          <w:szCs w:val="21"/>
        </w:rPr>
        <w:t>①单位负责人为同一人或者存在直接控股、管理关系的不同的供应商，不得参加同一合同项下的采购活动;</w:t>
      </w:r>
    </w:p>
    <w:p>
      <w:pPr>
        <w:widowControl/>
        <w:spacing w:line="360" w:lineRule="auto"/>
        <w:ind w:firstLine="640"/>
        <w:jc w:val="left"/>
        <w:rPr>
          <w:rFonts w:hint="eastAsia" w:ascii="宋体" w:hAnsi="宋体" w:cs="宋体"/>
          <w:szCs w:val="21"/>
        </w:rPr>
      </w:pPr>
      <w:r>
        <w:rPr>
          <w:rFonts w:hint="eastAsia" w:ascii="宋体" w:hAnsi="宋体" w:cs="宋体"/>
          <w:szCs w:val="21"/>
        </w:rPr>
        <w:t>②生产厂商授权给供应商后自己不得参加同一合同项下的采购活动；生产厂商对同一品牌同一型号的货物，仅能委托一个代理商参加响应。</w:t>
      </w:r>
    </w:p>
    <w:p>
      <w:pPr>
        <w:pStyle w:val="24"/>
        <w:ind w:firstLine="630" w:firstLineChars="300"/>
      </w:pPr>
      <w:r>
        <w:rPr>
          <w:rFonts w:hint="eastAsia" w:ascii="宋体" w:hAnsi="宋体" w:eastAsia="宋体" w:cs="宋体"/>
          <w:sz w:val="21"/>
          <w:szCs w:val="21"/>
          <w:lang w:val="en-US" w:eastAsia="zh-CN"/>
        </w:rPr>
        <w:t>3</w:t>
      </w:r>
      <w:r>
        <w:rPr>
          <w:rFonts w:hint="eastAsia" w:hAnsi="宋体" w:cs="宋体"/>
          <w:sz w:val="21"/>
          <w:szCs w:val="21"/>
        </w:rPr>
        <w:t>法定代表人为同一个人的两个及两个以上法人，母公司、全资子公司及其控股公司，在同一包采购中同时参与磋商；</w:t>
      </w:r>
    </w:p>
    <w:p>
      <w:pPr>
        <w:pStyle w:val="15"/>
        <w:spacing w:line="360" w:lineRule="auto"/>
        <w:ind w:firstLine="420" w:firstLineChars="200"/>
        <w:rPr>
          <w:rFonts w:hAnsi="宋体" w:cs="宋体"/>
          <w:szCs w:val="21"/>
        </w:rPr>
      </w:pPr>
      <w:r>
        <w:rPr>
          <w:rFonts w:hint="eastAsia" w:hAnsi="宋体" w:cs="宋体"/>
          <w:szCs w:val="21"/>
        </w:rPr>
        <w:t>17.4.5  澄清有关问题。磋商小组在对响应文件的有效性、完整性和响应程度进行审查时，对响应文件中含义不明确、同类问题表述不一致或者有明显文字和计算错误的内容，磋商小组可以书面形式（应当由磋商小组专家签字）要求供应商作出必要的澄清、说明或者纠正。供应商的澄清、说明或者纠正应当采用书面形式，由法定代表人或其委托代理人签字或盖章确认，且不得超出响应文件的范围或者改变响应文件的实质性内容。该澄清、说明或者纠正是响应文件的组成部分。</w:t>
      </w:r>
    </w:p>
    <w:p>
      <w:pPr>
        <w:pStyle w:val="15"/>
        <w:spacing w:line="360" w:lineRule="auto"/>
        <w:ind w:firstLine="420" w:firstLineChars="200"/>
        <w:rPr>
          <w:rFonts w:hAnsi="宋体" w:cs="宋体"/>
          <w:szCs w:val="21"/>
        </w:rPr>
      </w:pPr>
      <w:r>
        <w:rPr>
          <w:rFonts w:hint="eastAsia" w:hAnsi="宋体" w:cs="宋体"/>
          <w:szCs w:val="21"/>
        </w:rPr>
        <w:t>17.4.6  确定参加磋商的供应商名单。磋商小组将所有通过资格性审查及符合性审查的供应商确定为参加磋商的供应商。</w:t>
      </w:r>
    </w:p>
    <w:p>
      <w:pPr>
        <w:pStyle w:val="15"/>
        <w:spacing w:line="360" w:lineRule="auto"/>
        <w:ind w:firstLine="420" w:firstLineChars="200"/>
        <w:rPr>
          <w:rFonts w:hAnsi="宋体" w:cs="宋体"/>
          <w:szCs w:val="21"/>
        </w:rPr>
      </w:pPr>
      <w:r>
        <w:rPr>
          <w:rFonts w:hint="eastAsia" w:hAnsi="宋体" w:cs="宋体"/>
          <w:szCs w:val="21"/>
        </w:rPr>
        <w:t>17.4.7  磋商。</w:t>
      </w:r>
    </w:p>
    <w:p>
      <w:pPr>
        <w:pStyle w:val="15"/>
        <w:spacing w:line="360" w:lineRule="auto"/>
        <w:ind w:firstLine="420" w:firstLineChars="200"/>
        <w:rPr>
          <w:rFonts w:hAnsi="宋体" w:cs="宋体"/>
          <w:szCs w:val="21"/>
        </w:rPr>
      </w:pPr>
      <w:r>
        <w:rPr>
          <w:rFonts w:hint="eastAsia" w:hAnsi="宋体" w:cs="宋体"/>
          <w:szCs w:val="21"/>
        </w:rPr>
        <w:t>（1）磋商小组将在供应商须知前附表规定的地点与各供应商进行磋商。磋商小组所有成员应当集中与单一供应商分别进行磋商，并给予所有参加磋商的响应供应商平等的磋商机会。在磋商过程中，磋商小组应当严格遵循保密原则，未经供应商同意不得向任何人透露其技术、价格和其他重要信息。</w:t>
      </w:r>
    </w:p>
    <w:p>
      <w:pPr>
        <w:spacing w:line="360" w:lineRule="auto"/>
        <w:ind w:firstLine="357" w:firstLineChars="170"/>
        <w:rPr>
          <w:rFonts w:ascii="宋体" w:hAnsi="宋体" w:cs="宋体"/>
          <w:szCs w:val="21"/>
        </w:rPr>
      </w:pPr>
      <w:r>
        <w:rPr>
          <w:rFonts w:hint="eastAsia" w:ascii="宋体" w:hAnsi="宋体" w:cs="宋体"/>
          <w:szCs w:val="21"/>
        </w:rPr>
        <w:t>（2）供应商的法定代表人或其委托代理人以及技术人员必须参加磋商。供应商的法定代表人凭法定代表人资格证明书和本人身份证原件参加磋商，其委托代理人凭授权委托书和本人身份证原件参加磋商。供应商未按时到达评审会场参加磋商或未能出示上述证件的，视为放弃响应。</w:t>
      </w:r>
    </w:p>
    <w:p>
      <w:pPr>
        <w:spacing w:line="360" w:lineRule="auto"/>
        <w:ind w:firstLine="357" w:firstLineChars="170"/>
        <w:rPr>
          <w:rFonts w:ascii="宋体" w:hAnsi="宋体" w:cs="宋体"/>
          <w:szCs w:val="21"/>
        </w:rPr>
      </w:pPr>
      <w:r>
        <w:rPr>
          <w:rFonts w:hint="eastAsia" w:ascii="宋体" w:hAnsi="宋体" w:cs="宋体"/>
          <w:szCs w:val="21"/>
        </w:rPr>
        <w:t>（3）在磋商过程中，磋商小组可以根据磋商文件和磋商情况实质性变动采购需求中的技术、服务要求（供应商资格条件和</w:t>
      </w:r>
      <w:r>
        <w:rPr>
          <w:rFonts w:hint="eastAsia" w:ascii="宋体" w:hAnsi="宋体" w:cs="宋体"/>
          <w:bCs/>
          <w:szCs w:val="21"/>
        </w:rPr>
        <w:t>标注</w:t>
      </w:r>
      <w:r>
        <w:rPr>
          <w:rFonts w:hint="eastAsia" w:ascii="宋体" w:hAnsi="宋体" w:cs="宋体"/>
          <w:b/>
          <w:bCs/>
          <w:szCs w:val="21"/>
        </w:rPr>
        <w:t>★</w:t>
      </w:r>
      <w:r>
        <w:rPr>
          <w:rFonts w:hint="eastAsia" w:ascii="宋体" w:hAnsi="宋体" w:cs="宋体"/>
          <w:bCs/>
          <w:szCs w:val="21"/>
        </w:rPr>
        <w:t>号的条款</w:t>
      </w:r>
      <w:r>
        <w:rPr>
          <w:rFonts w:hint="eastAsia" w:ascii="宋体" w:hAnsi="宋体" w:cs="宋体"/>
          <w:szCs w:val="21"/>
        </w:rPr>
        <w:t>除外）以及合同草案条款，但不得变动磋商文件的其他内容。实质性变动的内容，须经采购人代表确认。对磋商文件作出的实质性变动是磋商文件的有效组成部分，磋商小组应当及时以书面形式同时通知所有参加磋商的供应商。</w:t>
      </w:r>
    </w:p>
    <w:p>
      <w:pPr>
        <w:pStyle w:val="15"/>
        <w:spacing w:line="360" w:lineRule="auto"/>
        <w:ind w:firstLine="420" w:firstLineChars="200"/>
        <w:rPr>
          <w:rFonts w:hAnsi="宋体" w:cs="宋体"/>
          <w:szCs w:val="21"/>
        </w:rPr>
      </w:pPr>
      <w:r>
        <w:rPr>
          <w:rFonts w:hint="eastAsia" w:hAnsi="宋体" w:cs="宋体"/>
          <w:szCs w:val="21"/>
        </w:rPr>
        <w:t>（4）供应商应当按照磋商文件的变动情况和磋商小组的要求重新提交响应文件，并由其法定代表人或授权代表签字。由授权代表签字的，蹉商响应文件应当附法定代表人授权书。供应商应当按要求对响应文件进行封装并在规定的时间前递交至磋商小组，否则视为放弃磋商。</w:t>
      </w:r>
    </w:p>
    <w:p>
      <w:pPr>
        <w:pStyle w:val="15"/>
        <w:spacing w:line="360" w:lineRule="auto"/>
        <w:ind w:firstLine="420" w:firstLineChars="200"/>
        <w:rPr>
          <w:rFonts w:hAnsi="宋体" w:cs="宋体"/>
          <w:szCs w:val="21"/>
        </w:rPr>
      </w:pPr>
      <w:r>
        <w:rPr>
          <w:rFonts w:hint="eastAsia" w:hAnsi="宋体" w:cs="宋体"/>
          <w:szCs w:val="21"/>
        </w:rPr>
        <w:t>（5）未实质性响应磋商文件的响应文件按无效响应处理，磋商小组应当告知提交响应文件的供应商。</w:t>
      </w:r>
    </w:p>
    <w:p>
      <w:pPr>
        <w:spacing w:line="360" w:lineRule="auto"/>
        <w:ind w:firstLine="336" w:firstLineChars="160"/>
        <w:rPr>
          <w:rFonts w:ascii="宋体" w:hAnsi="宋体" w:cs="宋体"/>
          <w:szCs w:val="21"/>
        </w:rPr>
      </w:pPr>
      <w:r>
        <w:rPr>
          <w:rFonts w:hint="eastAsia" w:ascii="宋体" w:hAnsi="宋体" w:cs="宋体"/>
          <w:szCs w:val="21"/>
        </w:rPr>
        <w:t>（6）磋商文件能够详细列明采购标的的技术、服务要求的，磋商结束后，磋商小组要求所有作出实质性响应的有效供应商应在规定的时间内提交最后报价。供应商应在磋商小组规定的时间内统一提交最终报价（最后报价时间视磋商进程由磋商小组决定）。供应商的最后报价应单独封装递交至磋商小组。</w:t>
      </w:r>
    </w:p>
    <w:p>
      <w:pPr>
        <w:pStyle w:val="15"/>
        <w:spacing w:line="360" w:lineRule="auto"/>
        <w:ind w:firstLine="420" w:firstLineChars="200"/>
        <w:rPr>
          <w:rFonts w:hAnsi="宋体" w:cs="宋体"/>
          <w:szCs w:val="21"/>
        </w:rPr>
      </w:pPr>
      <w:r>
        <w:rPr>
          <w:rFonts w:hint="eastAsia" w:hAnsi="宋体" w:cs="宋体"/>
          <w:szCs w:val="21"/>
        </w:rPr>
        <w:t>（7）已提交响应文件的供应商，在提交最后报价之前，可以根据磋商情况退出磋商。</w:t>
      </w:r>
    </w:p>
    <w:p>
      <w:pPr>
        <w:pStyle w:val="15"/>
        <w:spacing w:line="360" w:lineRule="auto"/>
        <w:ind w:firstLine="420" w:firstLineChars="200"/>
        <w:rPr>
          <w:rFonts w:hAnsi="宋体" w:cs="宋体"/>
          <w:szCs w:val="21"/>
        </w:rPr>
      </w:pPr>
      <w:r>
        <w:rPr>
          <w:rFonts w:hint="eastAsia" w:hAnsi="宋体" w:cs="宋体"/>
          <w:szCs w:val="21"/>
        </w:rPr>
        <w:t>（8）在磋商过程中，供应商提交的响应文件、澄清文件、最后报价文件等，由供应商法人代表或授权代表当场签字后生效，供应商应受其约束，替代竞争性磋商文件或响应文件中相应的内容，并构成响应文件的组成部分和评审的依据。如成交，则作为合同的组成部分。</w:t>
      </w:r>
    </w:p>
    <w:p>
      <w:pPr>
        <w:pStyle w:val="15"/>
        <w:spacing w:line="360" w:lineRule="auto"/>
        <w:ind w:firstLine="420" w:firstLineChars="200"/>
        <w:rPr>
          <w:rFonts w:hAnsi="宋体" w:cs="宋体"/>
          <w:szCs w:val="21"/>
        </w:rPr>
      </w:pPr>
      <w:r>
        <w:rPr>
          <w:rFonts w:hint="eastAsia" w:hAnsi="宋体" w:cs="宋体"/>
          <w:szCs w:val="21"/>
        </w:rPr>
        <w:t>（9）在对商务、技术及其他内容的比较和评价结束前，磋商小组不能接触、比较和评价响应报价。最后报价在磋商小组完成商务、技术及其他内容的评审后才能拆封。</w:t>
      </w:r>
    </w:p>
    <w:p>
      <w:pPr>
        <w:pStyle w:val="15"/>
        <w:spacing w:line="360" w:lineRule="auto"/>
        <w:ind w:firstLine="422" w:firstLineChars="200"/>
        <w:rPr>
          <w:rFonts w:hAnsi="宋体" w:cs="宋体"/>
          <w:b/>
          <w:szCs w:val="21"/>
        </w:rPr>
      </w:pPr>
      <w:r>
        <w:rPr>
          <w:rFonts w:hint="eastAsia" w:hAnsi="宋体" w:cs="宋体"/>
          <w:b/>
          <w:szCs w:val="21"/>
        </w:rPr>
        <w:t>17.4.8 低于成本报价。磋商小组在评审过程中发现供应商的总报价明显低于其他供应商的总报价或者明显低于采购预算价，有理由怀疑其总报价可能低于其成本的，应当要求该供应商做出书面说明并提供相关证明材料。供应商不能合理说明或者不能提供相关证明材料的，视作该供应商以低于成本报价，其响应无效。</w:t>
      </w:r>
    </w:p>
    <w:p>
      <w:pPr>
        <w:tabs>
          <w:tab w:val="left" w:pos="720"/>
        </w:tabs>
        <w:spacing w:line="360" w:lineRule="auto"/>
        <w:ind w:firstLine="420" w:firstLineChars="200"/>
        <w:rPr>
          <w:rFonts w:ascii="宋体" w:hAnsi="宋体" w:cs="宋体"/>
          <w:szCs w:val="21"/>
        </w:rPr>
      </w:pPr>
      <w:r>
        <w:rPr>
          <w:rFonts w:hint="eastAsia" w:ascii="宋体" w:hAnsi="宋体" w:cs="宋体"/>
          <w:szCs w:val="21"/>
        </w:rPr>
        <w:t>17.4.9 磋商小组将只对确定为实质上响应磋商文件要求的响应文件、澄清和最后报价等内容进行详细评审，按第</w:t>
      </w:r>
      <w:r>
        <w:rPr>
          <w:rFonts w:hint="eastAsia" w:ascii="宋体" w:hAnsi="宋体" w:cs="宋体"/>
          <w:szCs w:val="21"/>
          <w:lang w:eastAsia="zh-CN"/>
        </w:rPr>
        <w:t>六</w:t>
      </w:r>
      <w:r>
        <w:rPr>
          <w:rFonts w:hint="eastAsia" w:ascii="宋体" w:hAnsi="宋体" w:cs="宋体"/>
          <w:szCs w:val="21"/>
        </w:rPr>
        <w:t>章评审办法进行综合比较和评价。</w:t>
      </w:r>
    </w:p>
    <w:p>
      <w:pPr>
        <w:pStyle w:val="15"/>
        <w:spacing w:line="360" w:lineRule="auto"/>
        <w:ind w:firstLine="420" w:firstLineChars="200"/>
        <w:rPr>
          <w:rFonts w:hAnsi="宋体" w:cs="宋体"/>
          <w:szCs w:val="21"/>
        </w:rPr>
      </w:pPr>
      <w:r>
        <w:rPr>
          <w:rFonts w:hint="eastAsia" w:hAnsi="宋体" w:cs="宋体"/>
          <w:szCs w:val="21"/>
        </w:rPr>
        <w:t>17.4.10 采购代理机构对评审过程和评分、评审结论进行核对和复核，如有错漏，请当事评委进行校正，按校正后的结果确定成交供应商。</w:t>
      </w:r>
    </w:p>
    <w:p>
      <w:pPr>
        <w:pStyle w:val="15"/>
        <w:spacing w:line="360" w:lineRule="auto"/>
        <w:ind w:firstLine="359" w:firstLineChars="171"/>
        <w:rPr>
          <w:rFonts w:hAnsi="宋体" w:cs="宋体"/>
          <w:szCs w:val="21"/>
        </w:rPr>
      </w:pPr>
      <w:r>
        <w:rPr>
          <w:rFonts w:hint="eastAsia" w:hAnsi="宋体" w:cs="宋体"/>
          <w:szCs w:val="21"/>
        </w:rPr>
        <w:t>17.5  评审过程的保密。评审在严格保密的情况下进行，任何单位和个人不得非法干预、影响评审办法的确定，以及评审过程和结果。磋商小组成员和参与评审的有关工作人员不得透露对响应文件的评审和比较、成交候选人的推荐情况以及与评审有关的其他情况。</w:t>
      </w:r>
    </w:p>
    <w:p>
      <w:pPr>
        <w:pStyle w:val="15"/>
        <w:spacing w:line="360" w:lineRule="auto"/>
        <w:rPr>
          <w:rFonts w:hAnsi="宋体" w:cs="宋体"/>
          <w:bCs/>
          <w:szCs w:val="21"/>
        </w:rPr>
      </w:pPr>
    </w:p>
    <w:p>
      <w:pPr>
        <w:pStyle w:val="15"/>
        <w:spacing w:line="360" w:lineRule="auto"/>
        <w:rPr>
          <w:rFonts w:hAnsi="宋体" w:cs="宋体"/>
          <w:bCs/>
          <w:szCs w:val="21"/>
        </w:rPr>
      </w:pPr>
      <w:r>
        <w:rPr>
          <w:rFonts w:hint="eastAsia" w:hAnsi="宋体" w:cs="宋体"/>
          <w:bCs/>
          <w:szCs w:val="21"/>
        </w:rPr>
        <w:t>18. 响应文件的修正</w:t>
      </w:r>
    </w:p>
    <w:p>
      <w:pPr>
        <w:pStyle w:val="15"/>
        <w:spacing w:line="360" w:lineRule="auto"/>
        <w:ind w:firstLine="420" w:firstLineChars="200"/>
        <w:rPr>
          <w:rFonts w:hAnsi="宋体" w:cs="宋体"/>
          <w:szCs w:val="21"/>
        </w:rPr>
      </w:pPr>
      <w:r>
        <w:rPr>
          <w:rFonts w:hint="eastAsia" w:hAnsi="宋体" w:cs="宋体"/>
          <w:szCs w:val="21"/>
        </w:rPr>
        <w:t>18.1  响应文件报价出现前后不一致的，修正的原则如下：</w:t>
      </w:r>
    </w:p>
    <w:p>
      <w:pPr>
        <w:pStyle w:val="15"/>
        <w:spacing w:line="360" w:lineRule="auto"/>
        <w:rPr>
          <w:rFonts w:hAnsi="宋体" w:cs="宋体"/>
          <w:szCs w:val="21"/>
        </w:rPr>
      </w:pPr>
      <w:r>
        <w:rPr>
          <w:rFonts w:hint="eastAsia" w:hAnsi="宋体" w:cs="宋体"/>
          <w:szCs w:val="21"/>
        </w:rPr>
        <w:t>（1）响应文件中开标一览表（报价表）内容与响应文件中相应内容不一致的，以开标一览表（报价表）为准；</w:t>
      </w:r>
    </w:p>
    <w:p>
      <w:pPr>
        <w:pStyle w:val="15"/>
        <w:spacing w:line="360" w:lineRule="auto"/>
        <w:rPr>
          <w:rFonts w:hAnsi="宋体" w:cs="宋体"/>
          <w:szCs w:val="21"/>
        </w:rPr>
      </w:pPr>
      <w:r>
        <w:rPr>
          <w:rFonts w:hint="eastAsia" w:hAnsi="宋体" w:cs="宋体"/>
          <w:szCs w:val="21"/>
        </w:rPr>
        <w:t>（2）大写金额和小写金额不一致的，以大写金额为准；</w:t>
      </w:r>
    </w:p>
    <w:p>
      <w:pPr>
        <w:pStyle w:val="15"/>
        <w:spacing w:line="360" w:lineRule="auto"/>
        <w:rPr>
          <w:rFonts w:hAnsi="宋体" w:cs="宋体"/>
          <w:szCs w:val="21"/>
        </w:rPr>
      </w:pPr>
      <w:r>
        <w:rPr>
          <w:rFonts w:hint="eastAsia" w:hAnsi="宋体" w:cs="宋体"/>
          <w:szCs w:val="21"/>
        </w:rPr>
        <w:t>（3）单价金额小数点或者百分比有明显错位的，以开标一览表的总价为准，并修改单价；</w:t>
      </w:r>
    </w:p>
    <w:p>
      <w:pPr>
        <w:pStyle w:val="15"/>
        <w:spacing w:line="360" w:lineRule="auto"/>
        <w:rPr>
          <w:rFonts w:hAnsi="宋体" w:cs="宋体"/>
          <w:szCs w:val="21"/>
        </w:rPr>
      </w:pPr>
      <w:r>
        <w:rPr>
          <w:rFonts w:hint="eastAsia" w:hAnsi="宋体" w:cs="宋体"/>
          <w:szCs w:val="21"/>
        </w:rPr>
        <w:t>（4）总价金额与按单价汇总金额不一致的，以单价金额计算结果为准。</w:t>
      </w:r>
    </w:p>
    <w:p>
      <w:pPr>
        <w:pStyle w:val="15"/>
        <w:spacing w:line="360" w:lineRule="auto"/>
        <w:ind w:firstLine="420" w:firstLineChars="200"/>
        <w:rPr>
          <w:rFonts w:hAnsi="宋体" w:cs="宋体"/>
          <w:szCs w:val="21"/>
        </w:rPr>
      </w:pPr>
      <w:r>
        <w:rPr>
          <w:rFonts w:hint="eastAsia" w:hAnsi="宋体" w:cs="宋体"/>
          <w:szCs w:val="21"/>
        </w:rPr>
        <w:t>18.2同时出现两种以上不一致的，按照本条款规定的顺序修正。修正后的报价按照本章17.4.5的规定经供应商人确认后产生约束力，供应商不确认的，其响应无效。</w:t>
      </w:r>
    </w:p>
    <w:p>
      <w:pPr>
        <w:pStyle w:val="15"/>
        <w:spacing w:line="360" w:lineRule="auto"/>
        <w:rPr>
          <w:rFonts w:hAnsi="宋体" w:cs="宋体"/>
          <w:b/>
          <w:bCs/>
          <w:szCs w:val="21"/>
        </w:rPr>
      </w:pPr>
      <w:r>
        <w:rPr>
          <w:rFonts w:hint="eastAsia" w:hAnsi="宋体" w:cs="宋体"/>
          <w:b/>
          <w:bCs/>
          <w:szCs w:val="21"/>
        </w:rPr>
        <w:t>19.  拒绝接收</w:t>
      </w:r>
    </w:p>
    <w:p>
      <w:pPr>
        <w:pStyle w:val="15"/>
        <w:spacing w:line="360" w:lineRule="auto"/>
        <w:ind w:firstLine="420"/>
        <w:rPr>
          <w:rFonts w:hAnsi="宋体" w:cs="宋体"/>
          <w:szCs w:val="21"/>
        </w:rPr>
      </w:pPr>
      <w:r>
        <w:rPr>
          <w:rFonts w:hint="eastAsia" w:hAnsi="宋体" w:cs="宋体"/>
          <w:szCs w:val="21"/>
        </w:rPr>
        <w:t>19.1  磋商供应商未按本章第1.7项报名要求报名的。</w:t>
      </w:r>
    </w:p>
    <w:p>
      <w:pPr>
        <w:pStyle w:val="15"/>
        <w:spacing w:line="360" w:lineRule="auto"/>
        <w:ind w:firstLine="420"/>
        <w:rPr>
          <w:rFonts w:hAnsi="宋体" w:cs="宋体"/>
          <w:szCs w:val="21"/>
        </w:rPr>
      </w:pPr>
      <w:r>
        <w:rPr>
          <w:rFonts w:hint="eastAsia" w:hAnsi="宋体" w:cs="宋体"/>
          <w:szCs w:val="21"/>
        </w:rPr>
        <w:t>19.2 磋商供应商未在本章第15.3项规定的时间之前将样品送达至本章第15.4项指定地点的，采购代理机构应当拒绝接收该磋商供应商的样品。</w:t>
      </w:r>
    </w:p>
    <w:p>
      <w:pPr>
        <w:pStyle w:val="15"/>
        <w:spacing w:line="360" w:lineRule="auto"/>
        <w:rPr>
          <w:rFonts w:hAnsi="宋体" w:cs="宋体"/>
          <w:b/>
          <w:bCs/>
          <w:szCs w:val="21"/>
        </w:rPr>
      </w:pPr>
      <w:r>
        <w:rPr>
          <w:rFonts w:hint="eastAsia" w:hAnsi="宋体" w:cs="宋体"/>
          <w:b/>
          <w:bCs/>
          <w:szCs w:val="21"/>
        </w:rPr>
        <w:t>20.  无效响应</w:t>
      </w:r>
    </w:p>
    <w:p>
      <w:pPr>
        <w:pStyle w:val="15"/>
        <w:spacing w:line="360" w:lineRule="auto"/>
        <w:ind w:firstLine="420" w:firstLineChars="200"/>
        <w:rPr>
          <w:rFonts w:hAnsi="宋体" w:cs="宋体"/>
          <w:szCs w:val="21"/>
        </w:rPr>
      </w:pPr>
      <w:r>
        <w:rPr>
          <w:rFonts w:hint="eastAsia" w:hAnsi="宋体" w:cs="宋体"/>
          <w:szCs w:val="21"/>
          <w:shd w:val="clear" w:color="auto" w:fill="FFFFFF"/>
        </w:rPr>
        <w:t>★</w:t>
      </w:r>
      <w:r>
        <w:rPr>
          <w:rFonts w:hint="eastAsia" w:hAnsi="宋体" w:cs="宋体"/>
          <w:szCs w:val="21"/>
        </w:rPr>
        <w:t>20.1  属下列情形之一的，磋商供应商的响应文件无效：</w:t>
      </w:r>
    </w:p>
    <w:p>
      <w:pPr>
        <w:pStyle w:val="15"/>
        <w:spacing w:line="360" w:lineRule="auto"/>
        <w:ind w:firstLine="420" w:firstLineChars="200"/>
        <w:rPr>
          <w:rFonts w:hAnsi="宋体" w:cs="宋体"/>
          <w:szCs w:val="21"/>
        </w:rPr>
      </w:pPr>
      <w:r>
        <w:rPr>
          <w:rFonts w:hint="eastAsia" w:hAnsi="宋体" w:cs="宋体"/>
          <w:szCs w:val="21"/>
        </w:rPr>
        <w:t>（1）磋商供应商不具备本章第3项规定的磋商供应商资格要求的；</w:t>
      </w:r>
    </w:p>
    <w:p>
      <w:pPr>
        <w:pStyle w:val="15"/>
        <w:spacing w:line="360" w:lineRule="auto"/>
        <w:ind w:firstLine="420" w:firstLineChars="200"/>
        <w:rPr>
          <w:rFonts w:hAnsi="宋体" w:cs="宋体"/>
          <w:szCs w:val="21"/>
        </w:rPr>
      </w:pPr>
      <w:r>
        <w:rPr>
          <w:rFonts w:hint="eastAsia" w:hAnsi="宋体" w:cs="宋体"/>
          <w:szCs w:val="21"/>
        </w:rPr>
        <w:t xml:space="preserve">（2）响应文件未按本章第8.8项的规定标识或未按规定的正、副本数量提交的； </w:t>
      </w:r>
    </w:p>
    <w:p>
      <w:pPr>
        <w:pStyle w:val="15"/>
        <w:spacing w:line="360" w:lineRule="auto"/>
        <w:ind w:firstLine="420" w:firstLineChars="200"/>
        <w:rPr>
          <w:rFonts w:hAnsi="宋体" w:cs="宋体"/>
          <w:szCs w:val="21"/>
        </w:rPr>
      </w:pPr>
      <w:r>
        <w:rPr>
          <w:rFonts w:hint="eastAsia" w:hAnsi="宋体" w:cs="宋体"/>
          <w:szCs w:val="21"/>
        </w:rPr>
        <w:t>（3）响应文件未按本章第10.1项的规定编写和提交的（包括缺少应提交的文件或格式不符合第四章“响应文件格式”的要求）；</w:t>
      </w:r>
    </w:p>
    <w:p>
      <w:pPr>
        <w:pStyle w:val="15"/>
        <w:spacing w:line="360" w:lineRule="auto"/>
        <w:ind w:firstLine="420" w:firstLineChars="200"/>
        <w:rPr>
          <w:rFonts w:hAnsi="宋体" w:cs="宋体"/>
          <w:szCs w:val="21"/>
        </w:rPr>
      </w:pPr>
      <w:r>
        <w:rPr>
          <w:rFonts w:hint="eastAsia" w:hAnsi="宋体" w:cs="宋体"/>
          <w:szCs w:val="21"/>
        </w:rPr>
        <w:t>（4）响应文件不符合本章第10.2项规定的；</w:t>
      </w:r>
    </w:p>
    <w:p>
      <w:pPr>
        <w:spacing w:line="360" w:lineRule="auto"/>
        <w:ind w:firstLine="420" w:firstLineChars="200"/>
        <w:rPr>
          <w:rFonts w:ascii="宋体" w:hAnsi="宋体" w:cs="宋体"/>
          <w:szCs w:val="21"/>
        </w:rPr>
      </w:pPr>
      <w:r>
        <w:rPr>
          <w:rFonts w:hint="eastAsia" w:ascii="宋体" w:hAnsi="宋体" w:cs="宋体"/>
          <w:szCs w:val="21"/>
        </w:rPr>
        <w:t>（5）响应报价不符合本章第11项规定的或最终报价超过采购预算的或最终报价超过最高限价的或磋商小组认定低于成本报价的；</w:t>
      </w:r>
    </w:p>
    <w:p>
      <w:pPr>
        <w:pStyle w:val="15"/>
        <w:spacing w:line="360" w:lineRule="auto"/>
        <w:ind w:firstLine="420" w:firstLineChars="200"/>
        <w:rPr>
          <w:rFonts w:hAnsi="宋体" w:cs="宋体"/>
          <w:szCs w:val="21"/>
        </w:rPr>
      </w:pPr>
      <w:r>
        <w:rPr>
          <w:rFonts w:hint="eastAsia" w:hAnsi="宋体" w:cs="宋体"/>
          <w:szCs w:val="21"/>
        </w:rPr>
        <w:t>（6）响应文件不符合本章第14.1项规定的；</w:t>
      </w:r>
    </w:p>
    <w:p>
      <w:pPr>
        <w:pStyle w:val="15"/>
        <w:spacing w:line="360" w:lineRule="auto"/>
        <w:ind w:firstLine="420" w:firstLineChars="200"/>
        <w:rPr>
          <w:rFonts w:hAnsi="宋体" w:cs="宋体"/>
          <w:szCs w:val="21"/>
        </w:rPr>
      </w:pPr>
      <w:r>
        <w:rPr>
          <w:rFonts w:hint="eastAsia" w:hAnsi="宋体" w:cs="宋体"/>
          <w:szCs w:val="21"/>
        </w:rPr>
        <w:t>（7）磋商供应商出现本章第18.2项所述情形的；</w:t>
      </w:r>
    </w:p>
    <w:p>
      <w:pPr>
        <w:pStyle w:val="15"/>
        <w:spacing w:line="360" w:lineRule="auto"/>
        <w:ind w:firstLine="420" w:firstLineChars="200"/>
        <w:rPr>
          <w:rFonts w:hAnsi="宋体" w:cs="宋体"/>
          <w:szCs w:val="21"/>
        </w:rPr>
      </w:pPr>
      <w:r>
        <w:rPr>
          <w:rFonts w:hint="eastAsia" w:hAnsi="宋体" w:cs="宋体"/>
          <w:szCs w:val="21"/>
        </w:rPr>
        <w:t>（8）响应文件未对竞争性磋商文件提出的要求和条件作出实质性响应的；</w:t>
      </w:r>
    </w:p>
    <w:p>
      <w:pPr>
        <w:pStyle w:val="15"/>
        <w:spacing w:line="360" w:lineRule="auto"/>
        <w:ind w:firstLine="420" w:firstLineChars="200"/>
        <w:rPr>
          <w:rFonts w:hAnsi="宋体" w:cs="宋体"/>
          <w:szCs w:val="21"/>
        </w:rPr>
      </w:pPr>
      <w:r>
        <w:rPr>
          <w:rFonts w:hint="eastAsia" w:hAnsi="宋体" w:cs="宋体"/>
          <w:szCs w:val="21"/>
        </w:rPr>
        <w:t>（9）磋商小组认为响应文件存在严重负偏离的；</w:t>
      </w:r>
    </w:p>
    <w:p>
      <w:pPr>
        <w:pStyle w:val="15"/>
        <w:spacing w:line="360" w:lineRule="auto"/>
        <w:ind w:firstLine="420" w:firstLineChars="200"/>
        <w:rPr>
          <w:rFonts w:hAnsi="宋体" w:cs="宋体"/>
          <w:szCs w:val="21"/>
        </w:rPr>
      </w:pPr>
      <w:r>
        <w:rPr>
          <w:rFonts w:hint="eastAsia" w:hAnsi="宋体" w:cs="宋体"/>
          <w:szCs w:val="21"/>
        </w:rPr>
        <w:t>（10）响应文件附有采购需求以外的条件使磋商小组认为不能接受的；</w:t>
      </w:r>
    </w:p>
    <w:p>
      <w:pPr>
        <w:pStyle w:val="15"/>
        <w:spacing w:line="360" w:lineRule="auto"/>
        <w:ind w:firstLine="420" w:firstLineChars="200"/>
        <w:rPr>
          <w:rFonts w:hAnsi="宋体" w:cs="宋体"/>
          <w:szCs w:val="21"/>
        </w:rPr>
      </w:pPr>
      <w:r>
        <w:rPr>
          <w:rFonts w:hint="eastAsia" w:hAnsi="宋体" w:cs="宋体"/>
          <w:szCs w:val="21"/>
        </w:rPr>
        <w:t>（11）磋商供应商在响应过程中提供虚假材料的。</w:t>
      </w:r>
    </w:p>
    <w:p>
      <w:pPr>
        <w:pStyle w:val="15"/>
        <w:spacing w:line="360" w:lineRule="auto"/>
        <w:rPr>
          <w:rFonts w:hAnsi="宋体" w:cs="宋体"/>
          <w:b/>
          <w:bCs/>
          <w:szCs w:val="21"/>
        </w:rPr>
      </w:pPr>
      <w:bookmarkStart w:id="88" w:name="_Toc213326421"/>
      <w:bookmarkStart w:id="89" w:name="_Toc495334415"/>
      <w:r>
        <w:rPr>
          <w:rFonts w:hint="eastAsia" w:hAnsi="宋体" w:cs="宋体"/>
          <w:b/>
          <w:bCs/>
          <w:szCs w:val="21"/>
        </w:rPr>
        <w:t>21.  废标</w:t>
      </w:r>
    </w:p>
    <w:p>
      <w:pPr>
        <w:pStyle w:val="15"/>
        <w:spacing w:line="360" w:lineRule="auto"/>
        <w:ind w:left="359" w:leftChars="171" w:firstLine="105" w:firstLineChars="50"/>
        <w:rPr>
          <w:rFonts w:hAnsi="宋体" w:cs="宋体"/>
          <w:szCs w:val="21"/>
        </w:rPr>
      </w:pPr>
      <w:r>
        <w:rPr>
          <w:rFonts w:hint="eastAsia" w:hAnsi="宋体" w:cs="宋体"/>
          <w:szCs w:val="21"/>
          <w:shd w:val="clear" w:color="auto" w:fill="FFFFFF"/>
        </w:rPr>
        <w:t>★</w:t>
      </w:r>
      <w:r>
        <w:rPr>
          <w:rFonts w:hint="eastAsia" w:hAnsi="宋体" w:cs="宋体"/>
          <w:szCs w:val="21"/>
        </w:rPr>
        <w:t>21.1  在采购过程中，出现下列情形之一的，予以废标：</w:t>
      </w:r>
    </w:p>
    <w:p>
      <w:pPr>
        <w:pStyle w:val="15"/>
        <w:numPr>
          <w:ilvl w:val="0"/>
          <w:numId w:val="3"/>
        </w:numPr>
        <w:spacing w:line="360" w:lineRule="auto"/>
        <w:ind w:left="359" w:leftChars="171" w:firstLine="105" w:firstLineChars="50"/>
        <w:rPr>
          <w:rFonts w:hAnsi="宋体" w:cs="宋体"/>
          <w:szCs w:val="21"/>
        </w:rPr>
      </w:pPr>
      <w:r>
        <w:rPr>
          <w:rFonts w:hint="eastAsia" w:hAnsi="宋体" w:cs="宋体"/>
          <w:szCs w:val="21"/>
        </w:rPr>
        <w:t>除《政府采购竞争性磋商采购方式管理暂行办法》（财库[2014]214号）第二十一条第三款及《财政部关于政府采购竞争性磋商采购方式管理暂行办法有关问题的补充通知》（财库[2015]124号）规定的情形外，符合专业条件的供应商或者对招标文件作实质响应的供应商不足三家的；</w:t>
      </w:r>
    </w:p>
    <w:p>
      <w:pPr>
        <w:pStyle w:val="15"/>
        <w:numPr>
          <w:ilvl w:val="0"/>
          <w:numId w:val="3"/>
        </w:numPr>
        <w:spacing w:line="360" w:lineRule="auto"/>
        <w:ind w:left="359" w:leftChars="171" w:firstLine="105" w:firstLineChars="50"/>
        <w:rPr>
          <w:rFonts w:hAnsi="宋体" w:cs="宋体"/>
          <w:szCs w:val="21"/>
        </w:rPr>
      </w:pPr>
      <w:r>
        <w:rPr>
          <w:rFonts w:hint="eastAsia" w:hAnsi="宋体" w:cs="宋体"/>
          <w:szCs w:val="21"/>
        </w:rPr>
        <w:t>采用竞争性磋商采购方式的政府购买服务项目或政府和社会资本合作项目对竞争性磋商文件作实质响应的供应商不足2家的；</w:t>
      </w:r>
    </w:p>
    <w:p>
      <w:pPr>
        <w:pStyle w:val="15"/>
        <w:spacing w:line="360" w:lineRule="auto"/>
        <w:ind w:left="359" w:leftChars="171" w:firstLine="105" w:firstLineChars="50"/>
        <w:rPr>
          <w:rFonts w:hAnsi="宋体" w:cs="宋体"/>
          <w:szCs w:val="21"/>
        </w:rPr>
      </w:pPr>
      <w:r>
        <w:rPr>
          <w:rFonts w:hint="eastAsia" w:hAnsi="宋体" w:cs="宋体"/>
          <w:szCs w:val="21"/>
        </w:rPr>
        <w:t>（3）采用竞争性磋商采购方式的市场竞争不充分的科研项目或需要扶持科技成果转化项目对竞争性磋商文件作实质响应的供应商不足3家的；</w:t>
      </w:r>
    </w:p>
    <w:p>
      <w:pPr>
        <w:pStyle w:val="15"/>
        <w:spacing w:line="360" w:lineRule="auto"/>
        <w:ind w:left="359" w:leftChars="171" w:firstLine="105" w:firstLineChars="50"/>
        <w:rPr>
          <w:rFonts w:hAnsi="宋体" w:cs="宋体"/>
          <w:szCs w:val="21"/>
        </w:rPr>
      </w:pPr>
      <w:r>
        <w:rPr>
          <w:rFonts w:hint="eastAsia" w:hAnsi="宋体" w:cs="宋体"/>
          <w:szCs w:val="21"/>
        </w:rPr>
        <w:t>（4）出现影响采购公正的违法、违规行为的；</w:t>
      </w:r>
    </w:p>
    <w:p>
      <w:pPr>
        <w:pStyle w:val="15"/>
        <w:spacing w:line="360" w:lineRule="auto"/>
        <w:ind w:left="359" w:leftChars="171" w:firstLine="105" w:firstLineChars="50"/>
        <w:rPr>
          <w:rFonts w:hAnsi="宋体" w:cs="宋体"/>
          <w:szCs w:val="21"/>
        </w:rPr>
      </w:pPr>
      <w:r>
        <w:rPr>
          <w:rFonts w:hint="eastAsia" w:hAnsi="宋体" w:cs="宋体"/>
          <w:szCs w:val="21"/>
        </w:rPr>
        <w:t>（5）磋商供应商的报价均超过了采购预算，采购单位不能支付的；</w:t>
      </w:r>
    </w:p>
    <w:p>
      <w:pPr>
        <w:pStyle w:val="15"/>
        <w:spacing w:line="360" w:lineRule="auto"/>
        <w:ind w:left="359" w:leftChars="171" w:firstLine="105" w:firstLineChars="50"/>
        <w:rPr>
          <w:rFonts w:hAnsi="宋体" w:cs="宋体"/>
          <w:szCs w:val="21"/>
        </w:rPr>
      </w:pPr>
      <w:r>
        <w:rPr>
          <w:rFonts w:hint="eastAsia" w:hAnsi="宋体" w:cs="宋体"/>
          <w:szCs w:val="21"/>
        </w:rPr>
        <w:t>（6）因重大变故，采购任务取消的。</w:t>
      </w:r>
    </w:p>
    <w:p>
      <w:pPr>
        <w:pStyle w:val="15"/>
        <w:spacing w:line="360" w:lineRule="auto"/>
        <w:ind w:firstLine="417" w:firstLineChars="199"/>
        <w:rPr>
          <w:rFonts w:hAnsi="宋体" w:cs="宋体"/>
          <w:szCs w:val="21"/>
        </w:rPr>
      </w:pPr>
      <w:r>
        <w:rPr>
          <w:rFonts w:hint="eastAsia" w:hAnsi="宋体" w:cs="宋体"/>
          <w:szCs w:val="21"/>
        </w:rPr>
        <w:t>21.2  废标后，采购代理机构将在本章第2项规定的采购信息发布媒体上公告废标理由，不再另行通知。</w:t>
      </w:r>
    </w:p>
    <w:p>
      <w:pPr>
        <w:pStyle w:val="27"/>
        <w:spacing w:line="360" w:lineRule="auto"/>
        <w:jc w:val="left"/>
        <w:outlineLvl w:val="1"/>
        <w:rPr>
          <w:rFonts w:hint="eastAsia" w:ascii="宋体" w:hAnsi="宋体" w:cs="宋体"/>
          <w:sz w:val="21"/>
          <w:szCs w:val="21"/>
        </w:rPr>
      </w:pPr>
      <w:bookmarkStart w:id="90" w:name="_Toc25763"/>
      <w:bookmarkStart w:id="91" w:name="_Toc1443"/>
      <w:bookmarkStart w:id="92" w:name="_Toc9075"/>
      <w:bookmarkStart w:id="93" w:name="_Toc10393"/>
      <w:r>
        <w:rPr>
          <w:rFonts w:hint="eastAsia" w:ascii="宋体" w:hAnsi="宋体" w:cs="宋体"/>
          <w:sz w:val="21"/>
          <w:szCs w:val="21"/>
          <w:lang w:val="en-US" w:eastAsia="zh-CN"/>
        </w:rPr>
        <w:t>22.</w:t>
      </w:r>
      <w:r>
        <w:rPr>
          <w:rFonts w:hint="eastAsia" w:ascii="宋体" w:hAnsi="宋体" w:cs="宋体"/>
          <w:sz w:val="21"/>
          <w:szCs w:val="21"/>
        </w:rPr>
        <w:t>采购终止</w:t>
      </w:r>
    </w:p>
    <w:p>
      <w:pPr>
        <w:pStyle w:val="27"/>
        <w:spacing w:line="360" w:lineRule="auto"/>
        <w:jc w:val="left"/>
        <w:outlineLvl w:val="1"/>
        <w:rPr>
          <w:rFonts w:hint="eastAsia" w:ascii="宋体" w:hAnsi="宋体" w:cs="宋体"/>
          <w:b w:val="0"/>
          <w:bCs w:val="0"/>
          <w:sz w:val="21"/>
          <w:szCs w:val="21"/>
        </w:rPr>
      </w:pPr>
      <w:r>
        <w:rPr>
          <w:rFonts w:hint="eastAsia" w:ascii="宋体" w:hAnsi="宋体" w:cs="宋体"/>
          <w:b w:val="0"/>
          <w:bCs w:val="0"/>
          <w:sz w:val="21"/>
          <w:szCs w:val="21"/>
        </w:rPr>
        <w:t>出现下列情形之一的，采购人或者采购代理机构应当终止竞争性磋商采购活动，发布项目终止公告并说明原因，重新开展采购活动：</w:t>
      </w:r>
    </w:p>
    <w:p>
      <w:pPr>
        <w:pStyle w:val="27"/>
        <w:spacing w:line="360" w:lineRule="auto"/>
        <w:jc w:val="left"/>
        <w:outlineLvl w:val="1"/>
        <w:rPr>
          <w:rFonts w:hint="eastAsia" w:ascii="宋体" w:hAnsi="宋体" w:cs="宋体"/>
          <w:b w:val="0"/>
          <w:bCs w:val="0"/>
          <w:sz w:val="21"/>
          <w:szCs w:val="21"/>
        </w:rPr>
      </w:pPr>
      <w:r>
        <w:rPr>
          <w:rFonts w:hint="eastAsia" w:ascii="宋体" w:hAnsi="宋体" w:cs="宋体"/>
          <w:b w:val="0"/>
          <w:bCs w:val="0"/>
          <w:sz w:val="21"/>
          <w:szCs w:val="21"/>
        </w:rPr>
        <w:t>（一）因情况变化，不再符合规定的竞争性磋商采购方式适用情形的；</w:t>
      </w:r>
    </w:p>
    <w:p>
      <w:pPr>
        <w:pStyle w:val="27"/>
        <w:spacing w:line="360" w:lineRule="auto"/>
        <w:jc w:val="left"/>
        <w:outlineLvl w:val="1"/>
        <w:rPr>
          <w:rFonts w:hint="eastAsia" w:ascii="宋体" w:hAnsi="宋体" w:cs="宋体"/>
          <w:b w:val="0"/>
          <w:bCs w:val="0"/>
          <w:sz w:val="21"/>
          <w:szCs w:val="21"/>
        </w:rPr>
      </w:pPr>
      <w:r>
        <w:rPr>
          <w:rFonts w:hint="eastAsia" w:ascii="宋体" w:hAnsi="宋体" w:cs="宋体"/>
          <w:b w:val="0"/>
          <w:bCs w:val="0"/>
          <w:sz w:val="21"/>
          <w:szCs w:val="21"/>
        </w:rPr>
        <w:t>（二）出现影响采购公正的违法、违规行为的；</w:t>
      </w:r>
    </w:p>
    <w:p>
      <w:pPr>
        <w:pStyle w:val="27"/>
        <w:spacing w:line="360" w:lineRule="auto"/>
        <w:jc w:val="left"/>
        <w:outlineLvl w:val="1"/>
        <w:rPr>
          <w:rFonts w:hint="eastAsia" w:ascii="宋体" w:hAnsi="宋体" w:cs="宋体"/>
          <w:b w:val="0"/>
          <w:bCs w:val="0"/>
          <w:sz w:val="21"/>
          <w:szCs w:val="21"/>
        </w:rPr>
      </w:pPr>
      <w:r>
        <w:rPr>
          <w:rFonts w:hint="eastAsia" w:ascii="宋体" w:hAnsi="宋体" w:cs="宋体"/>
          <w:b w:val="0"/>
          <w:bCs w:val="0"/>
          <w:sz w:val="21"/>
          <w:szCs w:val="21"/>
        </w:rPr>
        <w:t>（三）在采购过程中符合要求的供应商或者报价未超过采购预算的供应商不足3家的，但《政府采购竞争性磋商采购方式管理暂行办法》第二十一条第三款规定的情形除外。</w:t>
      </w:r>
    </w:p>
    <w:p>
      <w:pPr>
        <w:pStyle w:val="27"/>
        <w:spacing w:line="360" w:lineRule="auto"/>
        <w:jc w:val="left"/>
        <w:outlineLvl w:val="1"/>
        <w:rPr>
          <w:rFonts w:hint="default" w:ascii="宋体" w:hAnsi="宋体" w:eastAsia="宋体" w:cs="宋体"/>
          <w:sz w:val="21"/>
          <w:szCs w:val="21"/>
          <w:lang w:val="en-US" w:eastAsia="zh-CN"/>
        </w:rPr>
      </w:pPr>
    </w:p>
    <w:p>
      <w:pPr>
        <w:pStyle w:val="27"/>
        <w:spacing w:line="360" w:lineRule="auto"/>
        <w:outlineLvl w:val="1"/>
        <w:rPr>
          <w:rFonts w:ascii="宋体" w:hAnsi="宋体" w:cs="宋体"/>
          <w:sz w:val="21"/>
          <w:szCs w:val="21"/>
        </w:rPr>
      </w:pPr>
      <w:r>
        <w:rPr>
          <w:rFonts w:hint="eastAsia" w:ascii="宋体" w:hAnsi="宋体" w:cs="宋体"/>
          <w:sz w:val="21"/>
          <w:szCs w:val="21"/>
        </w:rPr>
        <w:t>六    合同授予</w:t>
      </w:r>
      <w:bookmarkEnd w:id="88"/>
      <w:bookmarkEnd w:id="89"/>
      <w:bookmarkEnd w:id="90"/>
      <w:bookmarkEnd w:id="91"/>
      <w:bookmarkEnd w:id="92"/>
      <w:bookmarkEnd w:id="93"/>
    </w:p>
    <w:p>
      <w:pPr>
        <w:pStyle w:val="15"/>
        <w:spacing w:line="360" w:lineRule="auto"/>
        <w:rPr>
          <w:rFonts w:hAnsi="宋体" w:cs="宋体"/>
          <w:b/>
          <w:szCs w:val="21"/>
        </w:rPr>
      </w:pPr>
    </w:p>
    <w:p>
      <w:pPr>
        <w:pStyle w:val="15"/>
        <w:spacing w:line="360" w:lineRule="auto"/>
        <w:rPr>
          <w:rFonts w:hAnsi="宋体" w:cs="宋体"/>
          <w:bCs/>
          <w:szCs w:val="21"/>
        </w:rPr>
      </w:pPr>
      <w:r>
        <w:rPr>
          <w:rFonts w:hint="eastAsia" w:hAnsi="宋体" w:cs="宋体"/>
          <w:bCs/>
          <w:szCs w:val="21"/>
        </w:rPr>
        <w:t>22.  成交供应商的确定</w:t>
      </w:r>
    </w:p>
    <w:p>
      <w:pPr>
        <w:spacing w:line="360" w:lineRule="auto"/>
        <w:ind w:firstLine="420" w:firstLineChars="200"/>
        <w:rPr>
          <w:rFonts w:ascii="宋体" w:hAnsi="宋体" w:cs="宋体"/>
          <w:szCs w:val="21"/>
        </w:rPr>
      </w:pPr>
      <w:r>
        <w:rPr>
          <w:rFonts w:hint="eastAsia" w:ascii="宋体" w:hAnsi="宋体" w:cs="宋体"/>
          <w:szCs w:val="21"/>
        </w:rPr>
        <w:t>磋商小组按第</w:t>
      </w:r>
      <w:r>
        <w:rPr>
          <w:rFonts w:hint="eastAsia" w:ascii="宋体" w:hAnsi="宋体" w:cs="宋体"/>
          <w:szCs w:val="21"/>
          <w:lang w:eastAsia="zh-CN"/>
        </w:rPr>
        <w:t>六</w:t>
      </w:r>
      <w:r>
        <w:rPr>
          <w:rFonts w:hint="eastAsia" w:ascii="宋体" w:hAnsi="宋体" w:cs="宋体"/>
          <w:szCs w:val="21"/>
        </w:rPr>
        <w:t>章“评审方法”的规定排列成交候选供应商顺序，并依照次序确定成交方。</w:t>
      </w:r>
    </w:p>
    <w:p>
      <w:pPr>
        <w:pStyle w:val="15"/>
        <w:spacing w:line="360" w:lineRule="auto"/>
        <w:rPr>
          <w:rFonts w:hAnsi="宋体" w:cs="宋体"/>
          <w:bCs/>
          <w:szCs w:val="21"/>
        </w:rPr>
      </w:pPr>
      <w:r>
        <w:rPr>
          <w:rFonts w:hint="eastAsia" w:hAnsi="宋体" w:cs="宋体"/>
          <w:bCs/>
          <w:szCs w:val="21"/>
        </w:rPr>
        <w:t>23.  成交公告及成交通知书</w:t>
      </w:r>
    </w:p>
    <w:p>
      <w:pPr>
        <w:pStyle w:val="15"/>
        <w:spacing w:line="360" w:lineRule="auto"/>
        <w:ind w:firstLine="360"/>
        <w:rPr>
          <w:rFonts w:hAnsi="宋体" w:cs="宋体"/>
          <w:szCs w:val="21"/>
        </w:rPr>
      </w:pPr>
      <w:r>
        <w:rPr>
          <w:rFonts w:hint="eastAsia" w:hAnsi="宋体" w:cs="宋体"/>
          <w:szCs w:val="21"/>
        </w:rPr>
        <w:t>23.1采购代理机构应当自成交人确认之日起2个工作日内，在本章第2.1项规定的采购信息发布媒体上公示成交结果，成交公告期限为1个工作日，在公告成交结果的同时，采购代理机构应当向成交人发出成交通知书。</w:t>
      </w:r>
    </w:p>
    <w:p>
      <w:pPr>
        <w:pStyle w:val="15"/>
        <w:spacing w:line="360" w:lineRule="auto"/>
        <w:ind w:firstLine="420" w:firstLineChars="200"/>
        <w:rPr>
          <w:rFonts w:hAnsi="宋体" w:cs="宋体"/>
          <w:szCs w:val="21"/>
        </w:rPr>
      </w:pPr>
      <w:r>
        <w:rPr>
          <w:rFonts w:hint="eastAsia" w:hAnsi="宋体" w:cs="宋体"/>
          <w:szCs w:val="21"/>
        </w:rPr>
        <w:t>23.2  成交通知书对采购人和成交供应商具有同等法律效力。成交通知书发出后，采购人改变成交结果，或者成交供应商放弃成交，应当承担相应的法律责任。</w:t>
      </w:r>
    </w:p>
    <w:p>
      <w:pPr>
        <w:pStyle w:val="15"/>
        <w:spacing w:line="360" w:lineRule="auto"/>
        <w:rPr>
          <w:rFonts w:hAnsi="宋体" w:cs="宋体"/>
          <w:bCs/>
          <w:szCs w:val="21"/>
        </w:rPr>
      </w:pPr>
      <w:r>
        <w:rPr>
          <w:rFonts w:hint="eastAsia" w:hAnsi="宋体" w:cs="宋体"/>
          <w:bCs/>
          <w:szCs w:val="21"/>
        </w:rPr>
        <w:t>24.  响应文件及样品的退回</w:t>
      </w:r>
    </w:p>
    <w:p>
      <w:pPr>
        <w:pStyle w:val="15"/>
        <w:spacing w:line="360" w:lineRule="auto"/>
        <w:ind w:firstLine="420" w:firstLineChars="200"/>
        <w:rPr>
          <w:rFonts w:hAnsi="宋体" w:cs="宋体"/>
          <w:szCs w:val="21"/>
        </w:rPr>
      </w:pPr>
      <w:r>
        <w:rPr>
          <w:rFonts w:hint="eastAsia" w:hAnsi="宋体" w:cs="宋体"/>
          <w:szCs w:val="21"/>
        </w:rPr>
        <w:t>24.1  采购人及采购代理机构无义务向未成交供应商退回响应文件。</w:t>
      </w:r>
    </w:p>
    <w:p>
      <w:pPr>
        <w:pStyle w:val="15"/>
        <w:spacing w:line="360" w:lineRule="auto"/>
        <w:ind w:firstLine="420" w:firstLineChars="200"/>
        <w:rPr>
          <w:rFonts w:hAnsi="宋体" w:cs="宋体"/>
          <w:szCs w:val="21"/>
        </w:rPr>
      </w:pPr>
      <w:r>
        <w:rPr>
          <w:rFonts w:hint="eastAsia" w:hAnsi="宋体" w:cs="宋体"/>
          <w:szCs w:val="21"/>
        </w:rPr>
        <w:t>24.2  成交供应商的样品由采购人保管，作为验收的依据，验收后由采购人退回。未成交供应商的样品由供应商在成交结果公布后2个工作日内领回，否则按无主物品处理。</w:t>
      </w:r>
    </w:p>
    <w:p>
      <w:pPr>
        <w:pStyle w:val="15"/>
        <w:spacing w:line="360" w:lineRule="auto"/>
        <w:rPr>
          <w:rFonts w:hAnsi="宋体" w:cs="宋体"/>
          <w:bCs/>
          <w:szCs w:val="21"/>
        </w:rPr>
      </w:pPr>
      <w:r>
        <w:rPr>
          <w:rFonts w:hint="eastAsia" w:hAnsi="宋体" w:cs="宋体"/>
          <w:bCs/>
          <w:szCs w:val="21"/>
        </w:rPr>
        <w:t>25.   签订合同</w:t>
      </w:r>
    </w:p>
    <w:p>
      <w:pPr>
        <w:pStyle w:val="15"/>
        <w:spacing w:line="360" w:lineRule="auto"/>
        <w:ind w:firstLine="420" w:firstLineChars="200"/>
        <w:rPr>
          <w:rFonts w:hAnsi="宋体" w:cs="宋体"/>
          <w:szCs w:val="21"/>
        </w:rPr>
      </w:pPr>
      <w:r>
        <w:rPr>
          <w:rFonts w:hint="eastAsia" w:hAnsi="宋体" w:cs="宋体"/>
          <w:szCs w:val="21"/>
        </w:rPr>
        <w:t>25.1  采购人和成交供应商应当在第三章 “服务需求一览表”中商务条款要求载明的合同签订期内，根据竞争性磋商文件、成交供应商的响应文件及有关澄清承诺书的要求按第五章“合同条款及格式”订立书面合同。联合体响应的，联合体各方应当共同与采购人签订采购合同，就采购合同约定的事项对采购人承担连带责任。</w:t>
      </w:r>
    </w:p>
    <w:p>
      <w:pPr>
        <w:pStyle w:val="15"/>
        <w:spacing w:line="360" w:lineRule="auto"/>
        <w:ind w:firstLine="420" w:firstLineChars="200"/>
        <w:rPr>
          <w:rFonts w:hAnsi="宋体" w:cs="宋体"/>
          <w:szCs w:val="21"/>
        </w:rPr>
      </w:pPr>
      <w:r>
        <w:rPr>
          <w:rFonts w:hint="eastAsia" w:hAnsi="宋体" w:cs="宋体"/>
          <w:szCs w:val="21"/>
        </w:rPr>
        <w:t>25.2成交供应商拒绝与采购人签订合同的，采购人可以按照评审报告推荐的成交候选人名单排序，确定下一候选人为成交供应商，也可以重新开展采购活动。</w:t>
      </w:r>
    </w:p>
    <w:p>
      <w:pPr>
        <w:pStyle w:val="15"/>
        <w:spacing w:line="360" w:lineRule="auto"/>
        <w:ind w:firstLine="420" w:firstLineChars="200"/>
        <w:rPr>
          <w:rFonts w:hAnsi="宋体" w:cs="宋体"/>
          <w:szCs w:val="21"/>
        </w:rPr>
      </w:pPr>
      <w:r>
        <w:rPr>
          <w:rFonts w:hint="eastAsia" w:hAnsi="宋体" w:cs="宋体"/>
          <w:szCs w:val="21"/>
        </w:rPr>
        <w:t>25.3  成交供应商因不可抗力或者自身原因不能履行采购合同的，采购人可以与排位在成交供应商之后第一位的成交候选供应商签订采购合同，以此类推。</w:t>
      </w:r>
    </w:p>
    <w:p>
      <w:pPr>
        <w:pStyle w:val="15"/>
        <w:spacing w:line="360" w:lineRule="auto"/>
        <w:rPr>
          <w:rFonts w:hAnsi="宋体" w:cs="宋体"/>
          <w:bCs/>
          <w:szCs w:val="21"/>
        </w:rPr>
      </w:pPr>
      <w:r>
        <w:rPr>
          <w:rFonts w:hint="eastAsia" w:hAnsi="宋体" w:cs="宋体"/>
          <w:bCs/>
          <w:szCs w:val="21"/>
        </w:rPr>
        <w:t>26. 履约保证金及质量保证金</w:t>
      </w:r>
    </w:p>
    <w:p>
      <w:pPr>
        <w:pStyle w:val="15"/>
        <w:spacing w:line="360" w:lineRule="auto"/>
        <w:ind w:firstLine="420" w:firstLineChars="200"/>
        <w:rPr>
          <w:rFonts w:hAnsi="宋体" w:cs="宋体"/>
          <w:szCs w:val="21"/>
        </w:rPr>
      </w:pPr>
      <w:bookmarkStart w:id="94" w:name="_Toc213326422"/>
      <w:bookmarkStart w:id="95" w:name="_Toc495334416"/>
      <w:r>
        <w:rPr>
          <w:rFonts w:hint="eastAsia" w:hAnsi="宋体" w:cs="宋体"/>
          <w:szCs w:val="21"/>
          <w:lang w:eastAsia="zh-CN"/>
        </w:rPr>
        <w:t>无</w:t>
      </w:r>
      <w:r>
        <w:rPr>
          <w:rFonts w:hint="eastAsia" w:hAnsi="宋体" w:cs="宋体"/>
          <w:szCs w:val="21"/>
        </w:rPr>
        <w:t>。</w:t>
      </w:r>
    </w:p>
    <w:p>
      <w:pPr>
        <w:pStyle w:val="27"/>
        <w:spacing w:line="360" w:lineRule="auto"/>
        <w:outlineLvl w:val="1"/>
        <w:rPr>
          <w:rFonts w:ascii="宋体" w:hAnsi="宋体" w:cs="宋体"/>
          <w:sz w:val="21"/>
          <w:szCs w:val="21"/>
        </w:rPr>
      </w:pPr>
      <w:bookmarkStart w:id="96" w:name="_Toc22996"/>
      <w:bookmarkStart w:id="97" w:name="_Toc2777"/>
      <w:bookmarkStart w:id="98" w:name="_Toc3256"/>
      <w:bookmarkStart w:id="99" w:name="_Toc11602"/>
      <w:r>
        <w:rPr>
          <w:rFonts w:hint="eastAsia" w:ascii="宋体" w:hAnsi="宋体" w:cs="宋体"/>
          <w:sz w:val="21"/>
          <w:szCs w:val="21"/>
        </w:rPr>
        <w:t>七    其他事项</w:t>
      </w:r>
      <w:bookmarkEnd w:id="94"/>
      <w:bookmarkEnd w:id="95"/>
      <w:bookmarkEnd w:id="96"/>
      <w:bookmarkEnd w:id="97"/>
      <w:bookmarkEnd w:id="98"/>
      <w:bookmarkEnd w:id="99"/>
    </w:p>
    <w:p>
      <w:pPr>
        <w:pStyle w:val="15"/>
        <w:spacing w:line="360" w:lineRule="auto"/>
        <w:rPr>
          <w:rFonts w:hAnsi="宋体" w:cs="宋体"/>
          <w:bCs/>
          <w:szCs w:val="21"/>
        </w:rPr>
      </w:pPr>
      <w:r>
        <w:rPr>
          <w:rFonts w:hint="eastAsia" w:hAnsi="宋体" w:cs="宋体"/>
          <w:bCs/>
          <w:szCs w:val="21"/>
        </w:rPr>
        <w:t>27.  解释权</w:t>
      </w:r>
    </w:p>
    <w:p>
      <w:pPr>
        <w:pStyle w:val="15"/>
        <w:spacing w:line="360" w:lineRule="auto"/>
        <w:ind w:firstLine="420" w:firstLineChars="200"/>
        <w:jc w:val="left"/>
        <w:rPr>
          <w:rFonts w:hAnsi="宋体" w:cs="宋体"/>
          <w:szCs w:val="21"/>
        </w:rPr>
      </w:pPr>
      <w:r>
        <w:rPr>
          <w:rFonts w:hint="eastAsia" w:hAnsi="宋体" w:cs="宋体"/>
          <w:szCs w:val="21"/>
        </w:rPr>
        <w:t>27.1  本竞争性磋商采购文件根据《中华人民共和国政府采购法》、《中华人民共和国政府采购法实施条例》、《政府采购竞争性磋商采购方式管理暂行办法》（财库〔2014〕214号）及相关法律法规编制，解释权属采购代理机构。</w:t>
      </w:r>
    </w:p>
    <w:p>
      <w:pPr>
        <w:pStyle w:val="15"/>
        <w:spacing w:line="360" w:lineRule="auto"/>
        <w:rPr>
          <w:rFonts w:hAnsi="宋体" w:cs="宋体"/>
          <w:bCs/>
          <w:szCs w:val="21"/>
        </w:rPr>
      </w:pPr>
      <w:r>
        <w:rPr>
          <w:rFonts w:hint="eastAsia" w:hAnsi="宋体" w:cs="宋体"/>
          <w:bCs/>
          <w:szCs w:val="21"/>
        </w:rPr>
        <w:t>28.  其他</w:t>
      </w:r>
    </w:p>
    <w:p>
      <w:pPr>
        <w:pStyle w:val="15"/>
        <w:spacing w:line="360" w:lineRule="auto"/>
        <w:ind w:firstLine="525" w:firstLineChars="250"/>
        <w:jc w:val="left"/>
        <w:rPr>
          <w:rFonts w:hAnsi="宋体" w:cs="宋体"/>
          <w:szCs w:val="21"/>
        </w:rPr>
      </w:pPr>
      <w:r>
        <w:rPr>
          <w:rFonts w:hint="eastAsia" w:hAnsi="宋体" w:cs="宋体"/>
          <w:szCs w:val="21"/>
        </w:rPr>
        <w:t>只要磋商供应商参与响应并递交响应文件即视为已经理解并毫无保留地同意了本竞争性磋商文件的所有条文。</w:t>
      </w:r>
    </w:p>
    <w:p>
      <w:pPr>
        <w:pStyle w:val="15"/>
        <w:spacing w:line="360" w:lineRule="auto"/>
        <w:rPr>
          <w:rFonts w:hAnsi="宋体" w:cs="宋体"/>
          <w:bCs/>
          <w:szCs w:val="21"/>
        </w:rPr>
      </w:pPr>
      <w:r>
        <w:rPr>
          <w:rFonts w:hint="eastAsia" w:hAnsi="宋体" w:cs="宋体"/>
          <w:bCs/>
          <w:szCs w:val="21"/>
        </w:rPr>
        <w:t>29.   响应文件的退回</w:t>
      </w:r>
    </w:p>
    <w:p>
      <w:pPr>
        <w:pStyle w:val="15"/>
        <w:spacing w:line="360" w:lineRule="auto"/>
        <w:ind w:firstLine="420" w:firstLineChars="200"/>
        <w:jc w:val="left"/>
        <w:rPr>
          <w:rFonts w:hAnsi="宋体" w:cs="宋体"/>
          <w:szCs w:val="21"/>
        </w:rPr>
      </w:pPr>
      <w:r>
        <w:rPr>
          <w:rFonts w:hint="eastAsia" w:hAnsi="宋体" w:cs="宋体"/>
          <w:szCs w:val="21"/>
        </w:rPr>
        <w:t xml:space="preserve">  所有响应文件均不予退回。</w:t>
      </w:r>
    </w:p>
    <w:p>
      <w:pPr>
        <w:pStyle w:val="15"/>
        <w:spacing w:line="360" w:lineRule="auto"/>
        <w:jc w:val="left"/>
        <w:rPr>
          <w:rFonts w:hAnsi="宋体" w:cs="宋体"/>
          <w:szCs w:val="21"/>
        </w:rPr>
      </w:pPr>
      <w:r>
        <w:rPr>
          <w:rFonts w:hint="eastAsia" w:hAnsi="宋体" w:cs="宋体"/>
          <w:szCs w:val="21"/>
        </w:rPr>
        <w:t>30.  需要补充的其他内容</w:t>
      </w:r>
    </w:p>
    <w:p>
      <w:pPr>
        <w:pStyle w:val="15"/>
        <w:spacing w:line="360" w:lineRule="auto"/>
        <w:ind w:firstLine="525" w:firstLineChars="250"/>
        <w:jc w:val="left"/>
        <w:rPr>
          <w:rFonts w:hAnsi="宋体" w:cs="宋体"/>
          <w:szCs w:val="21"/>
        </w:rPr>
      </w:pPr>
      <w:r>
        <w:rPr>
          <w:rFonts w:hint="eastAsia" w:hAnsi="宋体" w:cs="宋体"/>
          <w:szCs w:val="21"/>
        </w:rPr>
        <w:t>需要补充的其他内容：见磋商供应商须知前附表。</w:t>
      </w:r>
    </w:p>
    <w:p>
      <w:pPr>
        <w:pStyle w:val="27"/>
        <w:snapToGrid w:val="0"/>
        <w:spacing w:before="0" w:after="0" w:line="360" w:lineRule="auto"/>
        <w:outlineLvl w:val="9"/>
        <w:rPr>
          <w:rFonts w:ascii="宋体" w:hAnsi="宋体" w:cs="宋体"/>
        </w:rPr>
      </w:pPr>
    </w:p>
    <w:p>
      <w:pPr>
        <w:rPr>
          <w:rFonts w:ascii="宋体" w:hAnsi="宋体" w:cs="宋体"/>
          <w:sz w:val="32"/>
          <w:szCs w:val="32"/>
        </w:rPr>
      </w:pPr>
      <w:r>
        <w:rPr>
          <w:rFonts w:hint="eastAsia" w:ascii="宋体" w:hAnsi="宋体" w:cs="宋体"/>
          <w:sz w:val="32"/>
          <w:szCs w:val="32"/>
        </w:rPr>
        <w:br w:type="page"/>
      </w:r>
    </w:p>
    <w:p>
      <w:pPr>
        <w:pStyle w:val="27"/>
        <w:snapToGrid w:val="0"/>
        <w:spacing w:before="0" w:after="0" w:line="360" w:lineRule="auto"/>
        <w:rPr>
          <w:rFonts w:ascii="宋体" w:hAnsi="宋体" w:cs="宋体"/>
          <w:b/>
          <w:sz w:val="24"/>
        </w:rPr>
      </w:pPr>
      <w:bookmarkStart w:id="100" w:name="_Toc27800"/>
      <w:bookmarkStart w:id="101" w:name="_Toc14478"/>
      <w:r>
        <w:rPr>
          <w:rFonts w:hint="eastAsia" w:ascii="宋体" w:hAnsi="宋体" w:cs="宋体"/>
        </w:rPr>
        <w:t>第三章   服务需求一览表</w:t>
      </w:r>
      <w:bookmarkEnd w:id="53"/>
      <w:bookmarkEnd w:id="54"/>
      <w:bookmarkEnd w:id="100"/>
      <w:bookmarkEnd w:id="101"/>
    </w:p>
    <w:p>
      <w:pPr>
        <w:spacing w:line="360" w:lineRule="auto"/>
        <w:rPr>
          <w:rFonts w:ascii="宋体" w:hAnsi="宋体" w:cs="宋体"/>
          <w:b/>
          <w:sz w:val="24"/>
        </w:rPr>
      </w:pPr>
      <w:r>
        <w:rPr>
          <w:rFonts w:hint="eastAsia" w:ascii="宋体" w:hAnsi="宋体" w:cs="宋体"/>
          <w:b/>
          <w:sz w:val="24"/>
        </w:rPr>
        <w:t>说明：</w:t>
      </w:r>
    </w:p>
    <w:p>
      <w:pPr>
        <w:adjustRightInd w:val="0"/>
        <w:spacing w:line="420" w:lineRule="exact"/>
        <w:ind w:left="6" w:firstLine="431"/>
        <w:rPr>
          <w:rFonts w:ascii="宋体" w:hAnsi="宋体"/>
          <w:bCs/>
          <w:color w:val="auto"/>
          <w:szCs w:val="21"/>
          <w:highlight w:val="none"/>
        </w:rPr>
      </w:pPr>
      <w:r>
        <w:rPr>
          <w:rFonts w:hint="eastAsia" w:ascii="宋体" w:hAnsi="宋体"/>
          <w:bCs/>
          <w:color w:val="auto"/>
          <w:szCs w:val="21"/>
          <w:highlight w:val="none"/>
        </w:rPr>
        <w:t>1、本服务需求一览表中标注★号的部分为实质性要求和条件。</w:t>
      </w:r>
    </w:p>
    <w:p>
      <w:pPr>
        <w:adjustRightInd w:val="0"/>
        <w:spacing w:line="420" w:lineRule="exact"/>
        <w:ind w:left="6" w:firstLine="431"/>
        <w:rPr>
          <w:rFonts w:hint="eastAsia" w:ascii="宋体" w:hAnsi="宋体" w:eastAsia="宋体" w:cs="Times New Roman"/>
          <w:bCs/>
          <w:color w:val="auto"/>
          <w:szCs w:val="21"/>
          <w:highlight w:val="none"/>
        </w:rPr>
      </w:pPr>
      <w:r>
        <w:rPr>
          <w:rFonts w:hint="eastAsia" w:ascii="宋体" w:hAnsi="宋体" w:eastAsia="宋体" w:cs="Times New Roman"/>
          <w:bCs/>
          <w:color w:val="auto"/>
          <w:szCs w:val="21"/>
          <w:highlight w:val="none"/>
        </w:rPr>
        <w:t>2、本服务需求一览表中内容如与第</w:t>
      </w:r>
      <w:r>
        <w:rPr>
          <w:rFonts w:hint="eastAsia" w:ascii="宋体" w:hAnsi="宋体" w:cs="Times New Roman"/>
          <w:bCs/>
          <w:color w:val="auto"/>
          <w:szCs w:val="21"/>
          <w:highlight w:val="none"/>
          <w:lang w:eastAsia="zh-CN"/>
        </w:rPr>
        <w:t>五</w:t>
      </w:r>
      <w:r>
        <w:rPr>
          <w:rFonts w:hint="eastAsia" w:ascii="宋体" w:hAnsi="宋体" w:eastAsia="宋体" w:cs="Times New Roman"/>
          <w:bCs/>
          <w:color w:val="auto"/>
          <w:szCs w:val="21"/>
          <w:highlight w:val="none"/>
        </w:rPr>
        <w:t>章“合同条款及格式”相关条款不一致的，以本表为准。</w:t>
      </w:r>
    </w:p>
    <w:p>
      <w:pPr>
        <w:pStyle w:val="19"/>
        <w:rPr>
          <w:rFonts w:hint="eastAsia" w:ascii="宋体" w:hAnsi="宋体" w:eastAsia="宋体" w:cs="Times New Roman"/>
          <w:bCs/>
          <w:color w:val="auto"/>
          <w:szCs w:val="21"/>
          <w:highlight w:val="none"/>
        </w:rPr>
      </w:pPr>
    </w:p>
    <w:p>
      <w:pPr>
        <w:rPr>
          <w:rFonts w:hint="eastAsia" w:eastAsia="宋体"/>
          <w:b/>
          <w:bCs w:val="0"/>
          <w:sz w:val="28"/>
          <w:szCs w:val="28"/>
          <w:lang w:eastAsia="zh-CN"/>
        </w:rPr>
      </w:pPr>
      <w:r>
        <w:rPr>
          <w:rFonts w:hint="eastAsia" w:ascii="宋体" w:hAnsi="宋体" w:cs="Times New Roman"/>
          <w:b/>
          <w:bCs w:val="0"/>
          <w:color w:val="auto"/>
          <w:sz w:val="28"/>
          <w:szCs w:val="28"/>
          <w:highlight w:val="none"/>
          <w:lang w:eastAsia="zh-CN"/>
        </w:rPr>
        <w:t>分包一：</w:t>
      </w:r>
    </w:p>
    <w:tbl>
      <w:tblPr>
        <w:tblStyle w:val="29"/>
        <w:tblW w:w="1004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487"/>
        <w:gridCol w:w="1108"/>
        <w:gridCol w:w="1031"/>
        <w:gridCol w:w="6172"/>
        <w:gridCol w:w="12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42" w:hRule="atLeast"/>
          <w:jc w:val="center"/>
        </w:trPr>
        <w:tc>
          <w:tcPr>
            <w:tcW w:w="487" w:type="dxa"/>
            <w:noWrap w:val="0"/>
            <w:vAlign w:val="center"/>
          </w:tcPr>
          <w:p>
            <w:pPr>
              <w:autoSpaceDE w:val="0"/>
              <w:autoSpaceDN w:val="0"/>
              <w:adjustRightInd w:val="0"/>
              <w:spacing w:line="430" w:lineRule="exact"/>
              <w:jc w:val="center"/>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序号</w:t>
            </w:r>
          </w:p>
        </w:tc>
        <w:tc>
          <w:tcPr>
            <w:tcW w:w="1108" w:type="dxa"/>
            <w:noWrap w:val="0"/>
            <w:vAlign w:val="center"/>
          </w:tcPr>
          <w:p>
            <w:pPr>
              <w:autoSpaceDE w:val="0"/>
              <w:autoSpaceDN w:val="0"/>
              <w:adjustRightInd w:val="0"/>
              <w:spacing w:line="430" w:lineRule="exact"/>
              <w:jc w:val="center"/>
              <w:rPr>
                <w:rFonts w:hint="eastAsia" w:ascii="宋体" w:hAnsi="宋体" w:eastAsia="宋体" w:cs="宋体"/>
                <w:b/>
                <w:bCs/>
                <w:sz w:val="21"/>
                <w:szCs w:val="21"/>
              </w:rPr>
            </w:pPr>
            <w:r>
              <w:rPr>
                <w:rFonts w:hint="eastAsia" w:ascii="宋体" w:hAnsi="宋体" w:eastAsia="宋体" w:cs="宋体"/>
                <w:b/>
                <w:bCs/>
                <w:sz w:val="21"/>
                <w:szCs w:val="21"/>
              </w:rPr>
              <w:t>标的名称</w:t>
            </w:r>
          </w:p>
        </w:tc>
        <w:tc>
          <w:tcPr>
            <w:tcW w:w="1031" w:type="dxa"/>
            <w:noWrap w:val="0"/>
            <w:vAlign w:val="center"/>
          </w:tcPr>
          <w:p>
            <w:pPr>
              <w:autoSpaceDE w:val="0"/>
              <w:autoSpaceDN w:val="0"/>
              <w:adjustRightInd w:val="0"/>
              <w:spacing w:line="430" w:lineRule="exact"/>
              <w:jc w:val="center"/>
              <w:rPr>
                <w:rFonts w:hint="eastAsia" w:ascii="宋体" w:hAnsi="宋体" w:eastAsia="宋体" w:cs="宋体"/>
                <w:b/>
                <w:bCs/>
                <w:sz w:val="21"/>
                <w:szCs w:val="21"/>
              </w:rPr>
            </w:pPr>
            <w:r>
              <w:rPr>
                <w:rFonts w:hint="eastAsia" w:ascii="宋体" w:hAnsi="宋体" w:eastAsia="宋体" w:cs="宋体"/>
                <w:b/>
                <w:bCs/>
                <w:sz w:val="21"/>
                <w:szCs w:val="21"/>
              </w:rPr>
              <w:t>数量及</w:t>
            </w:r>
          </w:p>
          <w:p>
            <w:pPr>
              <w:autoSpaceDE w:val="0"/>
              <w:autoSpaceDN w:val="0"/>
              <w:adjustRightInd w:val="0"/>
              <w:spacing w:line="430" w:lineRule="exact"/>
              <w:jc w:val="center"/>
              <w:rPr>
                <w:rFonts w:hint="eastAsia" w:ascii="宋体" w:hAnsi="宋体" w:eastAsia="宋体" w:cs="宋体"/>
                <w:b/>
                <w:bCs/>
                <w:sz w:val="21"/>
                <w:szCs w:val="21"/>
              </w:rPr>
            </w:pPr>
            <w:r>
              <w:rPr>
                <w:rFonts w:hint="eastAsia" w:ascii="宋体" w:hAnsi="宋体" w:eastAsia="宋体" w:cs="宋体"/>
                <w:b/>
                <w:bCs/>
                <w:sz w:val="21"/>
                <w:szCs w:val="21"/>
              </w:rPr>
              <w:t>单位</w:t>
            </w:r>
          </w:p>
        </w:tc>
        <w:tc>
          <w:tcPr>
            <w:tcW w:w="6172" w:type="dxa"/>
            <w:noWrap w:val="0"/>
            <w:vAlign w:val="center"/>
          </w:tcPr>
          <w:p>
            <w:pPr>
              <w:autoSpaceDE w:val="0"/>
              <w:autoSpaceDN w:val="0"/>
              <w:adjustRightInd w:val="0"/>
              <w:spacing w:line="430" w:lineRule="exact"/>
              <w:jc w:val="center"/>
              <w:rPr>
                <w:rFonts w:hint="eastAsia" w:ascii="宋体" w:hAnsi="宋体" w:eastAsia="宋体" w:cs="宋体"/>
                <w:b/>
                <w:bCs/>
                <w:sz w:val="21"/>
                <w:szCs w:val="21"/>
              </w:rPr>
            </w:pPr>
            <w:r>
              <w:rPr>
                <w:rFonts w:hint="eastAsia" w:ascii="宋体" w:hAnsi="宋体" w:eastAsia="宋体" w:cs="宋体"/>
                <w:b/>
                <w:bCs/>
                <w:sz w:val="21"/>
                <w:szCs w:val="21"/>
              </w:rPr>
              <w:t>服务内容及要求</w:t>
            </w:r>
          </w:p>
        </w:tc>
        <w:tc>
          <w:tcPr>
            <w:tcW w:w="1246" w:type="dxa"/>
            <w:noWrap w:val="0"/>
            <w:vAlign w:val="center"/>
          </w:tcPr>
          <w:p>
            <w:pPr>
              <w:autoSpaceDE w:val="0"/>
              <w:autoSpaceDN w:val="0"/>
              <w:adjustRightInd w:val="0"/>
              <w:spacing w:line="430" w:lineRule="exact"/>
              <w:jc w:val="center"/>
              <w:rPr>
                <w:rFonts w:hint="eastAsia" w:ascii="宋体" w:hAnsi="宋体" w:eastAsia="宋体" w:cs="宋体"/>
                <w:b/>
                <w:bCs/>
                <w:sz w:val="21"/>
                <w:szCs w:val="21"/>
              </w:rPr>
            </w:pPr>
            <w:r>
              <w:rPr>
                <w:rFonts w:hint="eastAsia" w:ascii="宋体" w:hAnsi="宋体" w:eastAsia="宋体" w:cs="宋体"/>
                <w:b/>
                <w:bCs/>
                <w:sz w:val="24"/>
                <w:szCs w:val="24"/>
              </w:rPr>
              <w:t>所属行业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487" w:type="dxa"/>
            <w:noWrap w:val="0"/>
            <w:vAlign w:val="center"/>
          </w:tcPr>
          <w:p>
            <w:pPr>
              <w:adjustRightInd w:val="0"/>
              <w:spacing w:line="420" w:lineRule="exact"/>
              <w:rPr>
                <w:rFonts w:hint="eastAsia" w:ascii="宋体" w:hAnsi="宋体" w:eastAsia="宋体" w:cs="Times New Roman"/>
                <w:bCs/>
                <w:color w:val="auto"/>
                <w:szCs w:val="21"/>
                <w:highlight w:val="none"/>
              </w:rPr>
            </w:pPr>
            <w:r>
              <w:rPr>
                <w:rFonts w:hint="eastAsia" w:ascii="宋体" w:hAnsi="宋体" w:eastAsia="宋体" w:cs="Times New Roman"/>
                <w:bCs/>
                <w:color w:val="auto"/>
                <w:szCs w:val="21"/>
                <w:highlight w:val="none"/>
              </w:rPr>
              <w:t>1</w:t>
            </w:r>
          </w:p>
        </w:tc>
        <w:tc>
          <w:tcPr>
            <w:tcW w:w="1108" w:type="dxa"/>
            <w:noWrap w:val="0"/>
            <w:vAlign w:val="center"/>
          </w:tcPr>
          <w:p>
            <w:pPr>
              <w:adjustRightInd w:val="0"/>
              <w:spacing w:line="420" w:lineRule="exact"/>
              <w:rPr>
                <w:rFonts w:hint="eastAsia" w:ascii="宋体" w:hAnsi="宋体" w:eastAsia="宋体" w:cs="Times New Roman"/>
                <w:bCs/>
                <w:color w:val="auto"/>
                <w:szCs w:val="21"/>
                <w:highlight w:val="none"/>
              </w:rPr>
            </w:pPr>
            <w:r>
              <w:rPr>
                <w:rFonts w:hint="eastAsia" w:ascii="宋体" w:hAnsi="宋体" w:eastAsia="宋体" w:cs="Times New Roman"/>
                <w:bCs/>
                <w:color w:val="auto"/>
                <w:szCs w:val="21"/>
                <w:highlight w:val="none"/>
                <w:lang w:val="en-US" w:eastAsia="zh-CN"/>
              </w:rPr>
              <w:t>野外、应急仪器设备维保</w:t>
            </w:r>
          </w:p>
        </w:tc>
        <w:tc>
          <w:tcPr>
            <w:tcW w:w="1031" w:type="dxa"/>
            <w:noWrap w:val="0"/>
            <w:vAlign w:val="center"/>
          </w:tcPr>
          <w:p>
            <w:pPr>
              <w:adjustRightInd w:val="0"/>
              <w:spacing w:line="420" w:lineRule="exact"/>
              <w:ind w:left="6" w:firstLine="431"/>
              <w:rPr>
                <w:rFonts w:hint="eastAsia" w:ascii="宋体" w:hAnsi="宋体" w:eastAsia="宋体" w:cs="Times New Roman"/>
                <w:bCs/>
                <w:color w:val="auto"/>
                <w:szCs w:val="21"/>
                <w:highlight w:val="none"/>
              </w:rPr>
            </w:pPr>
            <w:r>
              <w:rPr>
                <w:rFonts w:hint="eastAsia" w:ascii="宋体" w:hAnsi="宋体" w:eastAsia="宋体" w:cs="Times New Roman"/>
                <w:bCs/>
                <w:color w:val="auto"/>
                <w:szCs w:val="21"/>
                <w:highlight w:val="none"/>
              </w:rPr>
              <w:t>1项</w:t>
            </w:r>
          </w:p>
        </w:tc>
        <w:tc>
          <w:tcPr>
            <w:tcW w:w="6172" w:type="dxa"/>
            <w:noWrap w:val="0"/>
            <w:vAlign w:val="center"/>
          </w:tcPr>
          <w:p>
            <w:pPr>
              <w:adjustRightInd w:val="0"/>
              <w:spacing w:line="420" w:lineRule="exact"/>
              <w:ind w:left="6" w:firstLine="431"/>
              <w:rPr>
                <w:rFonts w:hint="eastAsia" w:ascii="宋体" w:hAnsi="宋体" w:eastAsia="宋体" w:cs="Times New Roman"/>
                <w:b/>
                <w:bCs w:val="0"/>
                <w:color w:val="auto"/>
                <w:szCs w:val="21"/>
                <w:highlight w:val="none"/>
                <w:lang w:val="en-US" w:eastAsia="zh-CN"/>
              </w:rPr>
            </w:pPr>
            <w:r>
              <w:rPr>
                <w:rFonts w:hint="eastAsia" w:ascii="宋体" w:hAnsi="宋体" w:eastAsia="宋体" w:cs="Times New Roman"/>
                <w:b/>
                <w:bCs w:val="0"/>
                <w:color w:val="auto"/>
                <w:szCs w:val="21"/>
                <w:highlight w:val="none"/>
                <w:lang w:val="en-US" w:eastAsia="zh-CN"/>
              </w:rPr>
              <w:t>1.项目概况</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为保障突发环境事件应急监测，确保野外、应急设备处于“战时”能用状态，需定期对仪器设备开展保养、维护维修，成交供应商需派1名专职人员负责该项运维工作。</w:t>
            </w:r>
          </w:p>
          <w:p>
            <w:pPr>
              <w:adjustRightInd w:val="0"/>
              <w:spacing w:line="420" w:lineRule="exact"/>
              <w:ind w:left="6" w:firstLine="431"/>
              <w:rPr>
                <w:rFonts w:hint="eastAsia" w:ascii="宋体" w:hAnsi="宋体" w:eastAsia="宋体" w:cs="Times New Roman"/>
                <w:b/>
                <w:bCs w:val="0"/>
                <w:color w:val="auto"/>
                <w:szCs w:val="21"/>
                <w:highlight w:val="none"/>
                <w:lang w:val="en-US" w:eastAsia="zh-CN"/>
              </w:rPr>
            </w:pPr>
            <w:r>
              <w:rPr>
                <w:rFonts w:hint="eastAsia" w:ascii="宋体" w:hAnsi="宋体" w:eastAsia="宋体" w:cs="Times New Roman"/>
                <w:b/>
                <w:bCs w:val="0"/>
                <w:color w:val="auto"/>
                <w:szCs w:val="21"/>
                <w:highlight w:val="none"/>
                <w:lang w:val="en-US" w:eastAsia="zh-CN"/>
              </w:rPr>
              <w:t>2.服务内容</w:t>
            </w:r>
          </w:p>
          <w:p>
            <w:pPr>
              <w:adjustRightInd w:val="0"/>
              <w:spacing w:line="420" w:lineRule="exact"/>
              <w:ind w:left="6" w:firstLine="431"/>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野外、应急仪器设备维保，包括移动应急监测平台、便携监测设备等的日常保养、维护。主要内容如下：</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2.1仪器设备出库入库管理，包括所有外出仪器设备及采样器具的出入库登记、检查及管理等，合同期内新购买的仪器同样列入服务范围。</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2.2仪器设备的日常清洁护理、管理、维护保养、校准等技术服务，包括日常清洁护理；配件、备件、配品管理；仪器维护保养；仪器完好检查记录；仪器故障检查及记录；仪器设备日常校准。</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2.3仪器设备的检定（校准），包括制定检定/校准年度计划，服从采购人因仪器设备检定（校准）工作需要的出差安排，</w:t>
            </w:r>
            <w:r>
              <w:rPr>
                <w:rFonts w:hint="eastAsia" w:ascii="宋体" w:hAnsi="宋体" w:cs="Times New Roman"/>
                <w:bCs/>
                <w:color w:val="auto"/>
                <w:szCs w:val="21"/>
                <w:highlight w:val="none"/>
                <w:lang w:val="en-US" w:eastAsia="zh-CN"/>
              </w:rPr>
              <w:t>需外送检定或校准的仪器（包括但不限于野外、应急仪器设备），以采购方当月的送检仪器清单为准。</w:t>
            </w:r>
            <w:r>
              <w:rPr>
                <w:rFonts w:hint="eastAsia" w:ascii="宋体" w:hAnsi="宋体" w:eastAsia="宋体" w:cs="Times New Roman"/>
                <w:bCs/>
                <w:color w:val="auto"/>
                <w:szCs w:val="21"/>
                <w:highlight w:val="none"/>
                <w:lang w:val="en-US" w:eastAsia="zh-CN"/>
              </w:rPr>
              <w:t>做好检定/检定结果确认表、期间核查记录表归档工作。</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2.4所有仪器设备档案、随机档案及仪器设备标识管理。</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2.5仪器设备室内务管理，包括对采样器材室、应急监测设备室内务及相关仪器设备定期开展清洁维护工作。</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2.6其他需要协助开展的工作，如开展应急监测时，积极配合应急工作；日常工作时因工作需要搬运仪器设备；固定资产盘点及相关标识粘贴等。</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2.7对线上系统进行仪器设备基础信息维护及备份。</w:t>
            </w:r>
          </w:p>
          <w:p>
            <w:pPr>
              <w:adjustRightInd w:val="0"/>
              <w:spacing w:line="420" w:lineRule="exact"/>
              <w:ind w:left="6" w:firstLine="431"/>
              <w:rPr>
                <w:rFonts w:hint="eastAsia" w:ascii="宋体" w:hAnsi="宋体" w:eastAsia="宋体" w:cs="Times New Roman"/>
                <w:b/>
                <w:bCs w:val="0"/>
                <w:color w:val="auto"/>
                <w:szCs w:val="21"/>
                <w:highlight w:val="none"/>
                <w:lang w:val="en-US" w:eastAsia="zh-CN"/>
              </w:rPr>
            </w:pPr>
            <w:r>
              <w:rPr>
                <w:rFonts w:hint="eastAsia" w:ascii="宋体" w:hAnsi="宋体" w:eastAsia="宋体" w:cs="Times New Roman"/>
                <w:b/>
                <w:bCs w:val="0"/>
                <w:color w:val="auto"/>
                <w:szCs w:val="21"/>
                <w:highlight w:val="none"/>
                <w:lang w:val="en-US" w:eastAsia="zh-CN"/>
              </w:rPr>
              <w:t>3.工作要求</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3.1服务期间，专职人员工作时间与采购人时间一致；专职人员做好考勤记录表；</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3.2服务期间，专职人员须保证所辖设备完好率不低于90％、、完好设备检定（校准）通过率100%、设备的附属设施完好率100％。</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3.3所有服务内容及范围都要按照采购人的质量手册及程序文件执行。</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3.4专职人员按照仪器维护管理的相关技术要求，做好年度维护记录计划，并做好台账登记管理记录。</w:t>
            </w:r>
          </w:p>
          <w:p>
            <w:pPr>
              <w:adjustRightInd w:val="0"/>
              <w:spacing w:line="420" w:lineRule="exact"/>
              <w:ind w:left="6" w:firstLine="431"/>
              <w:rPr>
                <w:rFonts w:hint="default" w:ascii="宋体" w:hAnsi="宋体" w:eastAsia="宋体" w:cs="Times New Roman"/>
                <w:b/>
                <w:bCs w:val="0"/>
                <w:color w:val="auto"/>
                <w:szCs w:val="21"/>
                <w:highlight w:val="none"/>
                <w:lang w:val="en-US" w:eastAsia="zh-CN"/>
              </w:rPr>
            </w:pPr>
            <w:r>
              <w:rPr>
                <w:rFonts w:hint="eastAsia" w:ascii="宋体" w:hAnsi="宋体" w:eastAsia="宋体" w:cs="Times New Roman"/>
                <w:b/>
                <w:bCs w:val="0"/>
                <w:color w:val="auto"/>
                <w:szCs w:val="21"/>
                <w:highlight w:val="none"/>
                <w:lang w:val="en-US" w:eastAsia="zh-CN"/>
              </w:rPr>
              <w:t>4.服务质量考核</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采购人每季度组织相关人员对合同约定的服务内容进行服务质量考核（考核表见附件1），并评分。主要考核外出监测仪器的使用登记、检查、管理，日常清洁护理，配件、备件、配品管理，仪器完好检查，仪器故障检查、维修，仪器校准，外出现场检修及根据相关标准规范要求的维护内容；需送检的部分实验室仪器是否按要求送检，需贴标识的仪器是否及时完成等情况。</w:t>
            </w:r>
          </w:p>
          <w:p>
            <w:pPr>
              <w:adjustRightInd w:val="0"/>
              <w:spacing w:line="420" w:lineRule="exact"/>
              <w:ind w:left="6" w:firstLine="431"/>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每季度</w:t>
            </w:r>
            <w:r>
              <w:rPr>
                <w:rFonts w:hint="default" w:ascii="宋体" w:hAnsi="宋体" w:eastAsia="宋体" w:cs="Times New Roman"/>
                <w:bCs/>
                <w:color w:val="auto"/>
                <w:szCs w:val="21"/>
                <w:highlight w:val="none"/>
                <w:lang w:val="en-US" w:eastAsia="zh-CN"/>
              </w:rPr>
              <w:t>考核得分大于等于85分的，不扣款；低于85分的，每低1分扣除合同总额的1%，每</w:t>
            </w:r>
            <w:r>
              <w:rPr>
                <w:rFonts w:hint="eastAsia" w:ascii="宋体" w:hAnsi="宋体" w:eastAsia="宋体" w:cs="Times New Roman"/>
                <w:bCs/>
                <w:color w:val="auto"/>
                <w:szCs w:val="21"/>
                <w:highlight w:val="none"/>
                <w:lang w:val="en-US" w:eastAsia="zh-CN"/>
              </w:rPr>
              <w:t>季度</w:t>
            </w:r>
            <w:r>
              <w:rPr>
                <w:rFonts w:hint="default" w:ascii="宋体" w:hAnsi="宋体" w:eastAsia="宋体" w:cs="Times New Roman"/>
                <w:bCs/>
                <w:color w:val="auto"/>
                <w:szCs w:val="21"/>
                <w:highlight w:val="none"/>
                <w:lang w:val="en-US" w:eastAsia="zh-CN"/>
              </w:rPr>
              <w:t>扣款最高不超过合同总额的10%。低于</w:t>
            </w:r>
            <w:r>
              <w:rPr>
                <w:rFonts w:hint="eastAsia" w:ascii="宋体" w:hAnsi="宋体" w:eastAsia="宋体" w:cs="Times New Roman"/>
                <w:bCs/>
                <w:color w:val="auto"/>
                <w:szCs w:val="21"/>
                <w:highlight w:val="none"/>
                <w:lang w:val="en-US" w:eastAsia="zh-CN"/>
              </w:rPr>
              <w:t>70</w:t>
            </w:r>
            <w:r>
              <w:rPr>
                <w:rFonts w:hint="default" w:ascii="宋体" w:hAnsi="宋体" w:eastAsia="宋体" w:cs="Times New Roman"/>
                <w:bCs/>
                <w:color w:val="auto"/>
                <w:szCs w:val="21"/>
                <w:highlight w:val="none"/>
                <w:lang w:val="en-US" w:eastAsia="zh-CN"/>
              </w:rPr>
              <w:t>分的，</w:t>
            </w:r>
            <w:r>
              <w:rPr>
                <w:rFonts w:hint="eastAsia" w:ascii="宋体" w:hAnsi="宋体" w:eastAsia="宋体" w:cs="Times New Roman"/>
                <w:bCs/>
                <w:color w:val="auto"/>
                <w:szCs w:val="21"/>
                <w:highlight w:val="none"/>
                <w:lang w:val="en-US" w:eastAsia="zh-CN"/>
              </w:rPr>
              <w:t>采购人有权终止服务合同，</w:t>
            </w:r>
            <w:r>
              <w:rPr>
                <w:rFonts w:hint="eastAsia" w:ascii="宋体" w:hAnsi="宋体" w:cs="Times New Roman"/>
                <w:bCs/>
                <w:color w:val="auto"/>
                <w:szCs w:val="21"/>
                <w:highlight w:val="none"/>
                <w:lang w:val="en-US" w:eastAsia="zh-CN"/>
              </w:rPr>
              <w:t>且</w:t>
            </w:r>
            <w:r>
              <w:rPr>
                <w:rFonts w:hint="eastAsia" w:ascii="宋体" w:hAnsi="宋体" w:eastAsia="宋体" w:cs="Times New Roman"/>
                <w:bCs/>
                <w:color w:val="auto"/>
                <w:szCs w:val="21"/>
                <w:highlight w:val="none"/>
                <w:lang w:val="en-US" w:eastAsia="zh-CN"/>
              </w:rPr>
              <w:t>不再支付项目</w:t>
            </w:r>
            <w:r>
              <w:rPr>
                <w:rFonts w:hint="eastAsia" w:ascii="宋体" w:hAnsi="宋体" w:cs="Times New Roman"/>
                <w:bCs/>
                <w:color w:val="auto"/>
                <w:szCs w:val="21"/>
                <w:highlight w:val="none"/>
                <w:lang w:val="en-US" w:eastAsia="zh-CN"/>
              </w:rPr>
              <w:t>全部剩余</w:t>
            </w:r>
            <w:r>
              <w:rPr>
                <w:rFonts w:hint="eastAsia" w:ascii="宋体" w:hAnsi="宋体" w:eastAsia="宋体" w:cs="Times New Roman"/>
                <w:bCs/>
                <w:color w:val="auto"/>
                <w:szCs w:val="21"/>
                <w:highlight w:val="none"/>
                <w:lang w:val="en-US" w:eastAsia="zh-CN"/>
              </w:rPr>
              <w:t>尾款</w:t>
            </w:r>
            <w:r>
              <w:rPr>
                <w:rFonts w:hint="default" w:ascii="宋体" w:hAnsi="宋体" w:cs="Times New Roman"/>
                <w:bCs/>
                <w:color w:val="auto"/>
                <w:szCs w:val="21"/>
                <w:highlight w:val="none"/>
                <w:lang w:val="en-US" w:eastAsia="zh-CN"/>
              </w:rPr>
              <w:t>，</w:t>
            </w:r>
            <w:r>
              <w:rPr>
                <w:rFonts w:hint="default" w:ascii="宋体" w:hAnsi="宋体" w:eastAsia="宋体" w:cs="Times New Roman"/>
                <w:bCs/>
                <w:color w:val="auto"/>
                <w:sz w:val="21"/>
                <w:szCs w:val="21"/>
                <w:highlight w:val="none"/>
              </w:rPr>
              <w:t>且保留向成交供应商追究责任和赔偿的权利</w:t>
            </w:r>
            <w:r>
              <w:rPr>
                <w:rFonts w:hint="default" w:ascii="宋体" w:hAnsi="宋体" w:eastAsia="宋体" w:cs="Times New Roman"/>
                <w:bCs/>
                <w:color w:val="auto"/>
                <w:szCs w:val="21"/>
                <w:highlight w:val="none"/>
                <w:lang w:val="en-US" w:eastAsia="zh-CN"/>
              </w:rPr>
              <w:t>。</w:t>
            </w:r>
          </w:p>
          <w:p>
            <w:pPr>
              <w:adjustRightInd w:val="0"/>
              <w:spacing w:line="420" w:lineRule="exact"/>
              <w:ind w:left="6" w:firstLine="431"/>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5.人员要求</w:t>
            </w:r>
          </w:p>
          <w:p>
            <w:pPr>
              <w:adjustRightInd w:val="0"/>
              <w:spacing w:line="420" w:lineRule="exact"/>
              <w:ind w:left="6" w:firstLine="431"/>
              <w:rPr>
                <w:rFonts w:hint="eastAsia" w:ascii="宋体" w:hAnsi="宋体" w:eastAsia="宋体" w:cs="Times New Roman"/>
                <w:bCs/>
                <w:color w:val="auto"/>
                <w:szCs w:val="21"/>
                <w:highlight w:val="none"/>
                <w:lang w:val="zh-CN" w:eastAsia="zh-CN"/>
              </w:rPr>
            </w:pPr>
            <w:r>
              <w:rPr>
                <w:rFonts w:hint="eastAsia" w:ascii="宋体" w:hAnsi="宋体" w:eastAsia="宋体" w:cs="Times New Roman"/>
                <w:bCs/>
                <w:color w:val="auto"/>
                <w:szCs w:val="21"/>
                <w:highlight w:val="none"/>
                <w:lang w:val="en-US" w:eastAsia="zh-CN"/>
              </w:rPr>
              <w:t>5.1</w:t>
            </w:r>
            <w:r>
              <w:rPr>
                <w:rFonts w:hint="eastAsia" w:ascii="宋体" w:hAnsi="宋体" w:eastAsia="宋体" w:cs="Times New Roman"/>
                <w:bCs/>
                <w:color w:val="auto"/>
                <w:szCs w:val="21"/>
                <w:highlight w:val="none"/>
                <w:lang w:val="zh-CN" w:eastAsia="zh-CN"/>
              </w:rPr>
              <w:t>成交供应商安排</w:t>
            </w:r>
            <w:r>
              <w:rPr>
                <w:rFonts w:hint="eastAsia" w:ascii="宋体" w:hAnsi="宋体" w:eastAsia="宋体" w:cs="Times New Roman"/>
                <w:bCs/>
                <w:color w:val="auto"/>
                <w:szCs w:val="21"/>
                <w:highlight w:val="none"/>
                <w:lang w:val="en-US" w:eastAsia="zh-CN"/>
              </w:rPr>
              <w:t>1名具有2年（含）以上仪器设备维保经验的</w:t>
            </w:r>
            <w:r>
              <w:rPr>
                <w:rFonts w:hint="eastAsia" w:ascii="宋体" w:hAnsi="宋体" w:eastAsia="宋体" w:cs="Times New Roman"/>
                <w:bCs/>
                <w:color w:val="auto"/>
                <w:szCs w:val="21"/>
                <w:highlight w:val="none"/>
                <w:lang w:val="zh-CN" w:eastAsia="zh-CN"/>
              </w:rPr>
              <w:t>专职人员</w:t>
            </w:r>
            <w:r>
              <w:rPr>
                <w:rFonts w:hint="eastAsia" w:ascii="宋体" w:hAnsi="宋体" w:eastAsia="宋体" w:cs="Times New Roman"/>
                <w:bCs/>
                <w:color w:val="auto"/>
                <w:szCs w:val="21"/>
                <w:highlight w:val="none"/>
                <w:lang w:val="en-US" w:eastAsia="zh-CN"/>
              </w:rPr>
              <w:t>驻点采购人单位</w:t>
            </w:r>
            <w:r>
              <w:rPr>
                <w:rFonts w:hint="eastAsia" w:ascii="宋体" w:hAnsi="宋体" w:eastAsia="宋体" w:cs="Times New Roman"/>
                <w:bCs/>
                <w:color w:val="auto"/>
                <w:szCs w:val="21"/>
                <w:highlight w:val="none"/>
                <w:lang w:val="zh-CN" w:eastAsia="zh-CN"/>
              </w:rPr>
              <w:t>；</w:t>
            </w:r>
          </w:p>
          <w:p>
            <w:pPr>
              <w:adjustRightInd w:val="0"/>
              <w:spacing w:line="420" w:lineRule="exact"/>
              <w:ind w:left="6" w:firstLine="431"/>
              <w:rPr>
                <w:rFonts w:hint="eastAsia" w:ascii="宋体" w:hAnsi="宋体" w:eastAsia="宋体" w:cs="Times New Roman"/>
                <w:bCs/>
                <w:color w:val="auto"/>
                <w:szCs w:val="21"/>
                <w:highlight w:val="none"/>
                <w:lang w:val="zh-CN" w:eastAsia="zh-CN"/>
              </w:rPr>
            </w:pPr>
            <w:r>
              <w:rPr>
                <w:rFonts w:hint="eastAsia" w:ascii="宋体" w:hAnsi="宋体" w:eastAsia="宋体" w:cs="Times New Roman"/>
                <w:bCs/>
                <w:color w:val="auto"/>
                <w:szCs w:val="21"/>
                <w:highlight w:val="none"/>
                <w:lang w:val="en-US" w:eastAsia="zh-CN"/>
              </w:rPr>
              <w:t>5.2专职人员应具有环境监测或化学工程或电气工程或同类学专业的本科或以上学历，</w:t>
            </w:r>
            <w:r>
              <w:rPr>
                <w:rFonts w:hint="eastAsia" w:ascii="宋体" w:hAnsi="宋体" w:eastAsia="宋体" w:cs="Times New Roman"/>
                <w:bCs/>
                <w:color w:val="auto"/>
                <w:szCs w:val="21"/>
                <w:highlight w:val="none"/>
                <w:lang w:val="zh-CN" w:eastAsia="zh-CN"/>
              </w:rPr>
              <w:t>能熟练操作</w:t>
            </w:r>
            <w:r>
              <w:rPr>
                <w:rFonts w:hint="eastAsia" w:ascii="宋体" w:hAnsi="宋体" w:eastAsia="宋体" w:cs="Times New Roman"/>
                <w:bCs/>
                <w:color w:val="auto"/>
                <w:szCs w:val="21"/>
                <w:highlight w:val="none"/>
                <w:lang w:val="en-US" w:eastAsia="zh-CN"/>
              </w:rPr>
              <w:t>小型</w:t>
            </w:r>
            <w:r>
              <w:rPr>
                <w:rFonts w:hint="eastAsia" w:ascii="宋体" w:hAnsi="宋体" w:eastAsia="宋体" w:cs="Times New Roman"/>
                <w:bCs/>
                <w:color w:val="auto"/>
                <w:szCs w:val="21"/>
                <w:highlight w:val="none"/>
                <w:lang w:val="zh-CN" w:eastAsia="zh-CN"/>
              </w:rPr>
              <w:t>仪器</w:t>
            </w:r>
            <w:r>
              <w:rPr>
                <w:rFonts w:hint="eastAsia" w:ascii="宋体" w:hAnsi="宋体" w:eastAsia="宋体" w:cs="Times New Roman"/>
                <w:bCs/>
                <w:color w:val="auto"/>
                <w:szCs w:val="21"/>
                <w:highlight w:val="none"/>
                <w:lang w:val="en-US" w:eastAsia="zh-CN"/>
              </w:rPr>
              <w:t>设备，熟悉仪器校准送检流程，能熟练使用word、Excel、PPT等办公软件</w:t>
            </w:r>
            <w:r>
              <w:rPr>
                <w:rFonts w:hint="eastAsia" w:ascii="宋体" w:hAnsi="宋体" w:eastAsia="宋体" w:cs="Times New Roman"/>
                <w:bCs/>
                <w:color w:val="auto"/>
                <w:szCs w:val="21"/>
                <w:highlight w:val="none"/>
                <w:lang w:val="zh-CN" w:eastAsia="zh-CN"/>
              </w:rPr>
              <w:t>，</w:t>
            </w:r>
            <w:r>
              <w:rPr>
                <w:rFonts w:hint="eastAsia" w:ascii="宋体" w:hAnsi="宋体" w:eastAsia="宋体" w:cs="Times New Roman"/>
                <w:bCs/>
                <w:color w:val="auto"/>
                <w:szCs w:val="21"/>
                <w:highlight w:val="none"/>
                <w:lang w:val="en-US" w:eastAsia="zh-CN"/>
              </w:rPr>
              <w:t>具有一定的档案管理能力</w:t>
            </w:r>
            <w:r>
              <w:rPr>
                <w:rFonts w:hint="eastAsia" w:ascii="宋体" w:hAnsi="宋体" w:eastAsia="宋体" w:cs="Times New Roman"/>
                <w:bCs/>
                <w:color w:val="auto"/>
                <w:szCs w:val="21"/>
                <w:highlight w:val="none"/>
                <w:lang w:val="zh-CN" w:eastAsia="zh-CN"/>
              </w:rPr>
              <w:t>；</w:t>
            </w:r>
          </w:p>
          <w:p>
            <w:pPr>
              <w:adjustRightInd w:val="0"/>
              <w:spacing w:line="420" w:lineRule="exact"/>
              <w:ind w:left="6" w:firstLine="431"/>
              <w:rPr>
                <w:rFonts w:hint="eastAsia" w:ascii="宋体" w:hAnsi="宋体" w:eastAsia="宋体" w:cs="Times New Roman"/>
                <w:bCs/>
                <w:color w:val="auto"/>
                <w:szCs w:val="21"/>
                <w:highlight w:val="none"/>
              </w:rPr>
            </w:pPr>
            <w:r>
              <w:rPr>
                <w:rFonts w:hint="eastAsia" w:ascii="宋体" w:hAnsi="宋体" w:eastAsia="宋体" w:cs="Times New Roman"/>
                <w:bCs/>
                <w:color w:val="auto"/>
                <w:szCs w:val="21"/>
                <w:highlight w:val="none"/>
                <w:lang w:val="en-US" w:eastAsia="zh-CN"/>
              </w:rPr>
              <w:t>5.3积极配合采购方交办的其他相关日常工作</w:t>
            </w:r>
            <w:r>
              <w:rPr>
                <w:rFonts w:hint="eastAsia" w:ascii="宋体" w:hAnsi="宋体" w:eastAsia="宋体" w:cs="Times New Roman"/>
                <w:bCs/>
                <w:color w:val="auto"/>
                <w:szCs w:val="21"/>
                <w:highlight w:val="none"/>
                <w:lang w:val="zh-CN" w:eastAsia="zh-CN"/>
              </w:rPr>
              <w:t>。</w:t>
            </w:r>
          </w:p>
        </w:tc>
        <w:tc>
          <w:tcPr>
            <w:tcW w:w="1246" w:type="dxa"/>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rPr>
            </w:pPr>
            <w:r>
              <w:rPr>
                <w:rFonts w:hint="eastAsia" w:ascii="宋体" w:hAnsi="宋体" w:eastAsia="宋体" w:cs="宋体"/>
                <w:sz w:val="21"/>
                <w:szCs w:val="21"/>
                <w:lang w:val="en-US" w:eastAsia="zh-CN"/>
              </w:rPr>
              <w:t>其他未列明行业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10044" w:type="dxa"/>
            <w:gridSpan w:val="5"/>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lang w:val="en-US" w:eastAsia="zh-CN"/>
              </w:rPr>
            </w:pPr>
            <w:r>
              <w:rPr>
                <w:rFonts w:hint="eastAsia" w:ascii="仿宋" w:hAnsi="仿宋" w:eastAsia="仿宋" w:cs="仿宋"/>
                <w:b/>
                <w:bCs/>
                <w:color w:val="auto"/>
                <w:sz w:val="24"/>
                <w:szCs w:val="24"/>
                <w:highlight w:val="none"/>
              </w:rPr>
              <w:t>商务</w:t>
            </w:r>
            <w:r>
              <w:rPr>
                <w:rFonts w:hint="eastAsia" w:ascii="仿宋" w:hAnsi="仿宋" w:eastAsia="仿宋" w:cs="仿宋"/>
                <w:b/>
                <w:bCs/>
                <w:color w:val="auto"/>
                <w:sz w:val="24"/>
                <w:szCs w:val="24"/>
                <w:highlight w:val="none"/>
                <w:lang w:eastAsia="zh-CN"/>
              </w:rPr>
              <w:t>条款</w:t>
            </w:r>
            <w:r>
              <w:rPr>
                <w:rFonts w:hint="eastAsia" w:ascii="仿宋" w:hAnsi="仿宋" w:eastAsia="仿宋" w:cs="仿宋"/>
                <w:b/>
                <w:bCs/>
                <w:color w:val="auto"/>
                <w:sz w:val="24"/>
                <w:szCs w:val="24"/>
                <w:highlight w:val="none"/>
              </w:rPr>
              <w:t>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zh-CN" w:eastAsia="zh-CN"/>
              </w:rPr>
            </w:pPr>
            <w:r>
              <w:rPr>
                <w:rFonts w:hint="eastAsia" w:ascii="宋体" w:hAnsi="宋体" w:eastAsia="宋体" w:cs="Times New Roman"/>
                <w:bCs/>
                <w:color w:val="auto"/>
                <w:szCs w:val="21"/>
                <w:highlight w:val="none"/>
                <w:lang w:val="zh-CN" w:eastAsia="zh-CN"/>
              </w:rPr>
              <w:t>★（一）</w:t>
            </w:r>
            <w:r>
              <w:rPr>
                <w:rFonts w:hint="eastAsia" w:ascii="宋体" w:hAnsi="宋体" w:eastAsia="宋体" w:cs="Times New Roman"/>
                <w:bCs/>
                <w:color w:val="auto"/>
                <w:szCs w:val="21"/>
                <w:highlight w:val="none"/>
                <w:lang w:val="en-US" w:eastAsia="zh-CN"/>
              </w:rPr>
              <w:t>合同签订期</w:t>
            </w:r>
          </w:p>
        </w:tc>
        <w:tc>
          <w:tcPr>
            <w:tcW w:w="7418" w:type="dxa"/>
            <w:gridSpan w:val="2"/>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lang w:val="en-US" w:eastAsia="zh-CN"/>
              </w:rPr>
            </w:pPr>
            <w:r>
              <w:rPr>
                <w:rFonts w:hint="eastAsia" w:ascii="宋体" w:hAnsi="宋体" w:eastAsia="宋体" w:cs="Times New Roman"/>
                <w:bCs/>
                <w:color w:val="auto"/>
                <w:szCs w:val="21"/>
                <w:highlight w:val="none"/>
                <w:lang w:val="en-US" w:eastAsia="zh-CN"/>
              </w:rPr>
              <w:t>自</w:t>
            </w:r>
            <w:r>
              <w:rPr>
                <w:rFonts w:hint="eastAsia" w:ascii="宋体" w:hAnsi="宋体" w:eastAsia="宋体" w:cs="Times New Roman"/>
                <w:bCs/>
                <w:color w:val="auto"/>
                <w:szCs w:val="21"/>
                <w:highlight w:val="none"/>
                <w:lang w:val="zh-CN" w:eastAsia="zh-CN"/>
              </w:rPr>
              <w:t>成交通知书发出之日起15</w:t>
            </w:r>
            <w:r>
              <w:rPr>
                <w:rFonts w:hint="eastAsia" w:ascii="宋体" w:hAnsi="宋体" w:eastAsia="宋体" w:cs="Times New Roman"/>
                <w:bCs/>
                <w:color w:val="auto"/>
                <w:szCs w:val="21"/>
                <w:highlight w:val="none"/>
                <w:lang w:val="en-US" w:eastAsia="zh-CN"/>
              </w:rPr>
              <w:t>个工作</w:t>
            </w:r>
            <w:r>
              <w:rPr>
                <w:rFonts w:hint="eastAsia" w:ascii="宋体" w:hAnsi="宋体" w:eastAsia="宋体" w:cs="Times New Roman"/>
                <w:bCs/>
                <w:color w:val="auto"/>
                <w:szCs w:val="21"/>
                <w:highlight w:val="none"/>
                <w:lang w:val="zh-CN" w:eastAsia="zh-CN"/>
              </w:rPr>
              <w:t>日内</w:t>
            </w:r>
            <w:r>
              <w:rPr>
                <w:rFonts w:hint="eastAsia" w:ascii="宋体" w:hAnsi="宋体" w:eastAsia="宋体" w:cs="Times New Roman"/>
                <w:bCs/>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zh-CN" w:eastAsia="zh-CN"/>
              </w:rPr>
            </w:pPr>
            <w:r>
              <w:rPr>
                <w:rFonts w:hint="eastAsia" w:ascii="宋体" w:hAnsi="宋体" w:eastAsia="宋体" w:cs="Times New Roman"/>
                <w:bCs/>
                <w:color w:val="auto"/>
                <w:szCs w:val="21"/>
                <w:highlight w:val="none"/>
                <w:lang w:val="zh-CN" w:eastAsia="zh-CN"/>
              </w:rPr>
              <w:t>★（二）服务时间及地点</w:t>
            </w:r>
          </w:p>
        </w:tc>
        <w:tc>
          <w:tcPr>
            <w:tcW w:w="7418" w:type="dxa"/>
            <w:gridSpan w:val="2"/>
            <w:noWrap w:val="0"/>
            <w:vAlign w:val="center"/>
          </w:tcPr>
          <w:p>
            <w:pPr>
              <w:adjustRightInd w:val="0"/>
              <w:spacing w:line="420" w:lineRule="exact"/>
              <w:rPr>
                <w:rFonts w:hint="eastAsia" w:ascii="宋体" w:hAnsi="宋体" w:eastAsia="宋体" w:cs="Times New Roman"/>
                <w:bCs/>
                <w:color w:val="auto"/>
                <w:szCs w:val="21"/>
                <w:highlight w:val="none"/>
                <w:lang w:val="zh-CN" w:eastAsia="zh-CN"/>
              </w:rPr>
            </w:pPr>
            <w:r>
              <w:rPr>
                <w:rFonts w:hint="eastAsia" w:ascii="宋体" w:hAnsi="宋体" w:eastAsia="宋体" w:cs="Times New Roman"/>
                <w:bCs/>
                <w:color w:val="auto"/>
                <w:szCs w:val="21"/>
                <w:highlight w:val="none"/>
                <w:lang w:val="zh-CN" w:eastAsia="zh-CN"/>
              </w:rPr>
              <w:t>1、服务时间：</w:t>
            </w:r>
            <w:r>
              <w:rPr>
                <w:rFonts w:hint="eastAsia" w:ascii="宋体" w:hAnsi="宋体" w:eastAsia="宋体" w:cs="Times New Roman"/>
                <w:bCs/>
                <w:color w:val="auto"/>
                <w:szCs w:val="21"/>
                <w:highlight w:val="none"/>
                <w:lang w:val="en-US" w:eastAsia="zh-CN"/>
              </w:rPr>
              <w:t>2025年5月20日—2026年3月20日</w:t>
            </w:r>
            <w:r>
              <w:rPr>
                <w:rFonts w:hint="eastAsia" w:ascii="宋体" w:hAnsi="宋体" w:eastAsia="宋体" w:cs="Times New Roman"/>
                <w:bCs/>
                <w:color w:val="auto"/>
                <w:szCs w:val="21"/>
                <w:highlight w:val="none"/>
                <w:lang w:val="zh-CN" w:eastAsia="zh-CN"/>
              </w:rPr>
              <w:t>；</w:t>
            </w:r>
          </w:p>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lang w:val="en-US" w:eastAsia="zh-CN"/>
              </w:rPr>
            </w:pPr>
            <w:r>
              <w:rPr>
                <w:rFonts w:hint="eastAsia" w:ascii="宋体" w:hAnsi="宋体" w:eastAsia="宋体" w:cs="Times New Roman"/>
                <w:bCs/>
                <w:color w:val="auto"/>
                <w:szCs w:val="21"/>
                <w:highlight w:val="none"/>
                <w:lang w:val="zh-CN" w:eastAsia="zh-CN"/>
              </w:rPr>
              <w:t>2、服务地点：</w:t>
            </w:r>
            <w:r>
              <w:rPr>
                <w:rFonts w:hint="eastAsia" w:ascii="宋体" w:hAnsi="宋体" w:eastAsia="宋体" w:cs="Times New Roman"/>
                <w:bCs/>
                <w:color w:val="auto"/>
                <w:szCs w:val="21"/>
                <w:highlight w:val="none"/>
                <w:lang w:val="en-US" w:eastAsia="zh-CN"/>
              </w:rPr>
              <w:t>广西壮族自治区生态环境监测中心（南宁市青秀区佛子岭路16号）及采购人因工作需要而指定的工作地点。</w:t>
            </w:r>
            <w:bookmarkStart w:id="135" w:name="_GoBack"/>
            <w:bookmarkEnd w:id="135"/>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质量保障</w:t>
            </w:r>
          </w:p>
        </w:tc>
        <w:tc>
          <w:tcPr>
            <w:tcW w:w="7418" w:type="dxa"/>
            <w:gridSpan w:val="2"/>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lang w:val="en-US" w:eastAsia="zh-CN"/>
              </w:rPr>
            </w:pPr>
            <w:r>
              <w:rPr>
                <w:rFonts w:hint="default" w:ascii="宋体" w:hAnsi="宋体" w:eastAsia="宋体" w:cs="Times New Roman"/>
                <w:bCs/>
                <w:color w:val="auto"/>
                <w:szCs w:val="21"/>
                <w:highlight w:val="none"/>
                <w:lang w:val="en-US" w:eastAsia="zh-CN"/>
              </w:rPr>
              <w:t>乙方所提供的服务、服务质量及服务内容必须与合同、询价文件、报价文件及承诺相一致，有国家强制性标准的，还必须符合国家强制性标准的规定，没有国家强制性标准但有其他标准的，必须符合其他标准的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zh-CN" w:eastAsia="zh-CN"/>
              </w:rPr>
              <w:t>★</w:t>
            </w:r>
            <w:r>
              <w:rPr>
                <w:rFonts w:hint="eastAsia" w:ascii="宋体" w:hAnsi="宋体" w:eastAsia="宋体" w:cs="Times New Roman"/>
                <w:bCs/>
                <w:color w:val="auto"/>
                <w:szCs w:val="21"/>
                <w:highlight w:val="none"/>
                <w:lang w:val="en-US" w:eastAsia="zh-CN"/>
              </w:rPr>
              <w:t>付款方式</w:t>
            </w:r>
          </w:p>
        </w:tc>
        <w:tc>
          <w:tcPr>
            <w:tcW w:w="7418" w:type="dxa"/>
            <w:gridSpan w:val="2"/>
            <w:noWrap w:val="0"/>
            <w:vAlign w:val="center"/>
          </w:tcPr>
          <w:p>
            <w:pPr>
              <w:adjustRightInd w:val="0"/>
              <w:spacing w:line="420" w:lineRule="exact"/>
              <w:ind w:firstLine="420" w:firstLineChars="200"/>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1.待采购人完成第一季度运维考核且收到请款材料后，向成交人支付合同总额的30%。</w:t>
            </w:r>
          </w:p>
          <w:p>
            <w:pPr>
              <w:adjustRightInd w:val="0"/>
              <w:spacing w:line="420" w:lineRule="exact"/>
              <w:ind w:firstLine="420" w:firstLineChars="200"/>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2.待采购人完成第三季度运维考核且收到请款材料后，向成交人支付合同总额的60%。</w:t>
            </w:r>
          </w:p>
          <w:p>
            <w:pPr>
              <w:adjustRightInd w:val="0"/>
              <w:spacing w:line="420" w:lineRule="exact"/>
              <w:ind w:firstLine="420" w:firstLineChars="200"/>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3.服务期届满，采购人完成项目验收且受到请款材料后，向成交人支付合同总额的10%。</w:t>
            </w:r>
          </w:p>
          <w:p>
            <w:pPr>
              <w:adjustRightInd w:val="0"/>
              <w:spacing w:line="420" w:lineRule="exact"/>
              <w:ind w:firstLine="420" w:firstLineChars="200"/>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4.每季度考核得分大于等于85分的，不扣款；低于85分的，每低1分扣除合同总额的1%，每季度扣款最高不超过合同总额的10%。</w:t>
            </w:r>
            <w:r>
              <w:rPr>
                <w:rFonts w:hint="default" w:ascii="宋体" w:hAnsi="宋体" w:eastAsia="宋体" w:cs="Times New Roman"/>
                <w:bCs/>
                <w:color w:val="auto"/>
                <w:szCs w:val="21"/>
                <w:highlight w:val="none"/>
                <w:lang w:val="en-US" w:eastAsia="zh-CN"/>
              </w:rPr>
              <w:t>低于</w:t>
            </w:r>
            <w:r>
              <w:rPr>
                <w:rFonts w:hint="eastAsia" w:ascii="宋体" w:hAnsi="宋体" w:eastAsia="宋体" w:cs="Times New Roman"/>
                <w:bCs/>
                <w:color w:val="auto"/>
                <w:szCs w:val="21"/>
                <w:highlight w:val="none"/>
                <w:lang w:val="en-US" w:eastAsia="zh-CN"/>
              </w:rPr>
              <w:t>70</w:t>
            </w:r>
            <w:r>
              <w:rPr>
                <w:rFonts w:hint="default" w:ascii="宋体" w:hAnsi="宋体" w:eastAsia="宋体" w:cs="Times New Roman"/>
                <w:bCs/>
                <w:color w:val="auto"/>
                <w:szCs w:val="21"/>
                <w:highlight w:val="none"/>
                <w:lang w:val="en-US" w:eastAsia="zh-CN"/>
              </w:rPr>
              <w:t>分的，</w:t>
            </w:r>
            <w:r>
              <w:rPr>
                <w:rFonts w:hint="eastAsia" w:ascii="宋体" w:hAnsi="宋体" w:eastAsia="宋体" w:cs="Times New Roman"/>
                <w:bCs/>
                <w:color w:val="auto"/>
                <w:szCs w:val="21"/>
                <w:highlight w:val="none"/>
                <w:lang w:val="en-US" w:eastAsia="zh-CN"/>
              </w:rPr>
              <w:t>采购人有权终止服务合同，</w:t>
            </w:r>
            <w:r>
              <w:rPr>
                <w:rFonts w:hint="eastAsia" w:ascii="宋体" w:hAnsi="宋体" w:cs="Times New Roman"/>
                <w:bCs/>
                <w:color w:val="auto"/>
                <w:szCs w:val="21"/>
                <w:highlight w:val="none"/>
                <w:lang w:val="en-US" w:eastAsia="zh-CN"/>
              </w:rPr>
              <w:t>且</w:t>
            </w:r>
            <w:r>
              <w:rPr>
                <w:rFonts w:hint="eastAsia" w:ascii="宋体" w:hAnsi="宋体" w:eastAsia="宋体" w:cs="Times New Roman"/>
                <w:bCs/>
                <w:color w:val="auto"/>
                <w:szCs w:val="21"/>
                <w:highlight w:val="none"/>
                <w:lang w:val="en-US" w:eastAsia="zh-CN"/>
              </w:rPr>
              <w:t>不再支付项目</w:t>
            </w:r>
            <w:r>
              <w:rPr>
                <w:rFonts w:hint="eastAsia" w:ascii="宋体" w:hAnsi="宋体" w:cs="Times New Roman"/>
                <w:bCs/>
                <w:color w:val="auto"/>
                <w:szCs w:val="21"/>
                <w:highlight w:val="none"/>
                <w:lang w:val="en-US" w:eastAsia="zh-CN"/>
              </w:rPr>
              <w:t>全部剩余</w:t>
            </w:r>
            <w:r>
              <w:rPr>
                <w:rFonts w:hint="eastAsia" w:ascii="宋体" w:hAnsi="宋体" w:eastAsia="宋体" w:cs="Times New Roman"/>
                <w:bCs/>
                <w:color w:val="auto"/>
                <w:szCs w:val="21"/>
                <w:highlight w:val="none"/>
                <w:lang w:val="en-US" w:eastAsia="zh-CN"/>
              </w:rPr>
              <w:t>尾款。</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仿宋" w:hAnsi="仿宋" w:eastAsia="仿宋" w:cs="仿宋"/>
                <w:sz w:val="21"/>
                <w:szCs w:val="21"/>
                <w:lang w:val="en-US" w:eastAsia="zh-CN"/>
              </w:rPr>
            </w:pPr>
            <w:r>
              <w:rPr>
                <w:rFonts w:hint="eastAsia" w:ascii="宋体" w:hAnsi="宋体" w:eastAsia="宋体" w:cs="Times New Roman"/>
                <w:bCs/>
                <w:color w:val="auto"/>
                <w:szCs w:val="21"/>
                <w:highlight w:val="none"/>
                <w:lang w:val="en-US" w:eastAsia="zh-CN"/>
              </w:rPr>
              <w:t>5.每次付款前，成交人须提交请款函和对应支付金额的合法发票等请款材料。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★报价要求</w:t>
            </w:r>
          </w:p>
        </w:tc>
        <w:tc>
          <w:tcPr>
            <w:tcW w:w="7418" w:type="dxa"/>
            <w:gridSpan w:val="2"/>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lang w:val="en-US" w:eastAsia="zh-CN"/>
              </w:rPr>
            </w:pPr>
            <w:r>
              <w:rPr>
                <w:rFonts w:hint="eastAsia" w:ascii="宋体" w:hAnsi="宋体" w:eastAsia="宋体" w:cs="Times New Roman"/>
                <w:bCs/>
                <w:color w:val="auto"/>
                <w:szCs w:val="21"/>
                <w:highlight w:val="none"/>
                <w:lang w:val="en-US" w:eastAsia="zh-CN"/>
              </w:rPr>
              <w:t>报价为采购人指定服务范围内的全部价格，包括更换报价单约定条件的零部件费，服务人员的薪金、社保、休假日补贴、补偿费、赔偿金等由成交供应商付给，采购人不再支付成交价格以外的任何费用。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验收要求</w:t>
            </w:r>
          </w:p>
        </w:tc>
        <w:tc>
          <w:tcPr>
            <w:tcW w:w="7418" w:type="dxa"/>
            <w:gridSpan w:val="2"/>
            <w:noWrap w:val="0"/>
            <w:vAlign w:val="center"/>
          </w:tcPr>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1</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乙方应按合同、询价文件、报价文件及承诺向甲方提供相应的服务，并提供服务质量和服务内容的相关技术资料。</w:t>
            </w:r>
          </w:p>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乙方提供不符合合同、询价文件、报价文件规定的服务成果，甲方有权拒绝接受。</w:t>
            </w:r>
          </w:p>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乙方在完成服务前应对服务作出全面检查和对验收文件进行整理，并列出清单，作为甲方服务验收的技术依据，清单应随提交的服务成果交给甲方。</w:t>
            </w:r>
          </w:p>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4</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乙方完成服务后应及时书面通知甲方进行验收，甲方应在收到通知后七个工作日内进行验收，逾期不验收的，乙方可视同验收合格。</w:t>
            </w:r>
          </w:p>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甲乙双方应按照合同、询价文件、报价文件验收，验收时乙方必须在现场，验收费用由乙方负责。服务质量和服务内容符合合同、询价文件、报价文件规定的要求的，由甲乙双方签署验收合格单并加盖甲方公章，甲乙双方各执一份。</w:t>
            </w:r>
          </w:p>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6</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甲方在初步验收或者最终验收过程中发现乙方提供的服务、服务质量或服务内容不满足合同、询价文件、报价文件规定的，可暂缓向乙方付款，直到乙方及时完善并提交相应的服务成果且经甲方验收合格后，方可办理付款。</w:t>
            </w:r>
          </w:p>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lang w:val="en-US" w:eastAsia="zh-CN"/>
              </w:rPr>
            </w:pPr>
            <w:r>
              <w:rPr>
                <w:rFonts w:hint="eastAsia" w:ascii="宋体" w:hAnsi="宋体" w:eastAsia="宋体" w:cs="Times New Roman"/>
                <w:bCs/>
                <w:color w:val="auto"/>
                <w:szCs w:val="21"/>
                <w:highlight w:val="none"/>
                <w:lang w:val="en-US" w:eastAsia="zh-CN"/>
              </w:rPr>
              <w:t>7</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甲方验收时发现乙方提供的服务、服务质量或服务内容不满足合同、询价文件、报价文件规定并以书面形式提出异议的，乙方应自收到甲方书面异议后五个工作日内予以解决，否则甲方有权不出具验收合格单。乙方因解决异议问题而造成逾期的，按乙方逾期交付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售后服务、服务质量</w:t>
            </w:r>
          </w:p>
        </w:tc>
        <w:tc>
          <w:tcPr>
            <w:tcW w:w="7418" w:type="dxa"/>
            <w:gridSpan w:val="2"/>
            <w:noWrap w:val="0"/>
            <w:vAlign w:val="center"/>
          </w:tcPr>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default" w:ascii="宋体" w:hAnsi="宋体" w:eastAsia="宋体" w:cs="Times New Roman"/>
                <w:bCs/>
                <w:color w:val="auto"/>
                <w:szCs w:val="21"/>
                <w:highlight w:val="none"/>
                <w:lang w:val="en-US" w:eastAsia="zh-CN"/>
              </w:rPr>
              <w:t>1</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乙方应按照国家有关法律法规、合同、询价文件、报价文件所附的《服务承诺》要求为甲方提供相应的服务。</w:t>
            </w:r>
          </w:p>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default" w:ascii="宋体" w:hAnsi="宋体" w:eastAsia="宋体" w:cs="Times New Roman"/>
                <w:bCs/>
                <w:color w:val="auto"/>
                <w:szCs w:val="21"/>
                <w:highlight w:val="none"/>
                <w:lang w:val="en-US" w:eastAsia="zh-CN"/>
              </w:rPr>
              <w:t>2</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乙方提供服务的质量保证期按交付服务成果验收合格并签署验收合格单之日起计算，为365日，在质量保证期内因服务成果本身的技术问题，乙方应对服务出现的问题负责处理解决并承担一切费用。</w:t>
            </w:r>
          </w:p>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lang w:val="en-US" w:eastAsia="zh-CN"/>
              </w:rPr>
            </w:pPr>
            <w:r>
              <w:rPr>
                <w:rFonts w:hint="default" w:ascii="宋体" w:hAnsi="宋体" w:eastAsia="宋体" w:cs="Times New Roman"/>
                <w:bCs/>
                <w:color w:val="auto"/>
                <w:szCs w:val="21"/>
                <w:highlight w:val="none"/>
                <w:lang w:val="en-US" w:eastAsia="zh-CN"/>
              </w:rPr>
              <w:t>3</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在质量保证期内发生技术服务问题，乙方应在接到甲方通知后</w:t>
            </w:r>
            <w:r>
              <w:rPr>
                <w:rFonts w:hint="eastAsia" w:ascii="宋体" w:hAnsi="宋体" w:eastAsia="宋体" w:cs="Times New Roman"/>
                <w:bCs/>
                <w:color w:val="auto"/>
                <w:szCs w:val="21"/>
                <w:highlight w:val="none"/>
                <w:lang w:val="en-US" w:eastAsia="zh-CN"/>
              </w:rPr>
              <w:t>2</w:t>
            </w:r>
            <w:r>
              <w:rPr>
                <w:rFonts w:hint="default" w:ascii="宋体" w:hAnsi="宋体" w:eastAsia="宋体" w:cs="Times New Roman"/>
                <w:bCs/>
                <w:color w:val="auto"/>
                <w:szCs w:val="21"/>
                <w:highlight w:val="none"/>
                <w:lang w:val="en-US" w:eastAsia="zh-CN"/>
              </w:rPr>
              <w:t>小时内到达甲方现场在甲方指定的期限内解决问题。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知识产权</w:t>
            </w:r>
          </w:p>
        </w:tc>
        <w:tc>
          <w:tcPr>
            <w:tcW w:w="7418" w:type="dxa"/>
            <w:gridSpan w:val="2"/>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lang w:val="en-US" w:eastAsia="zh-CN"/>
              </w:rPr>
            </w:pPr>
            <w:r>
              <w:rPr>
                <w:rFonts w:hint="eastAsia" w:ascii="宋体" w:hAnsi="宋体" w:eastAsia="宋体" w:cs="Times New Roman"/>
                <w:bCs/>
                <w:color w:val="auto"/>
                <w:szCs w:val="21"/>
                <w:highlight w:val="none"/>
                <w:lang w:val="en-US" w:eastAsia="zh-CN"/>
              </w:rPr>
              <w:t>采购人在中华人民共和国境内使用供应商提供的产品及服务时免受第三方提出的侵犯其专利权或其它知识产权的起诉。如果第三方提出侵权指控，成交供应商应承担由此而引起的一切法律责任和费用。</w:t>
            </w:r>
          </w:p>
        </w:tc>
      </w:tr>
    </w:tbl>
    <w:p>
      <w:pPr>
        <w:pStyle w:val="45"/>
        <w:keepNext w:val="0"/>
        <w:keepLines w:val="0"/>
        <w:pageBreakBefore w:val="0"/>
        <w:kinsoku/>
        <w:wordWrap/>
        <w:overflowPunct/>
        <w:topLinePunct w:val="0"/>
        <w:autoSpaceDE/>
        <w:autoSpaceDN/>
        <w:bidi w:val="0"/>
        <w:adjustRightInd/>
        <w:snapToGrid/>
        <w:spacing w:line="300" w:lineRule="exact"/>
        <w:textAlignment w:val="auto"/>
      </w:pPr>
    </w:p>
    <w:p>
      <w:pPr>
        <w:spacing w:line="360" w:lineRule="auto"/>
        <w:ind w:firstLine="600" w:firstLineChars="250"/>
        <w:rPr>
          <w:rFonts w:ascii="宋体" w:hAnsi="宋体" w:cs="宋体"/>
          <w:sz w:val="24"/>
        </w:rPr>
      </w:pPr>
    </w:p>
    <w:bookmarkEnd w:id="9"/>
    <w:bookmarkEnd w:id="10"/>
    <w:bookmarkEnd w:id="11"/>
    <w:bookmarkEnd w:id="12"/>
    <w:bookmarkEnd w:id="13"/>
    <w:p>
      <w:pPr>
        <w:rPr>
          <w:rFonts w:hint="eastAsia" w:ascii="宋体" w:hAnsi="宋体" w:cs="宋体"/>
          <w:b/>
          <w:sz w:val="28"/>
          <w:szCs w:val="28"/>
          <w:lang w:eastAsia="zh-CN"/>
        </w:rPr>
      </w:pPr>
      <w:bookmarkStart w:id="102" w:name="_Toc485920211"/>
      <w:bookmarkStart w:id="103" w:name="_Toc460253700"/>
      <w:bookmarkStart w:id="104" w:name="_Toc213325922"/>
      <w:bookmarkStart w:id="105" w:name="_Toc139967216"/>
      <w:bookmarkStart w:id="106" w:name="_Toc213326413"/>
      <w:bookmarkStart w:id="107" w:name="_Toc213206173"/>
      <w:bookmarkStart w:id="108" w:name="_Toc139966432"/>
      <w:r>
        <w:rPr>
          <w:rFonts w:hint="eastAsia" w:ascii="宋体" w:hAnsi="宋体" w:cs="宋体"/>
          <w:b/>
          <w:sz w:val="28"/>
          <w:szCs w:val="28"/>
          <w:lang w:eastAsia="zh-CN"/>
        </w:rPr>
        <w:t>分包二：</w:t>
      </w:r>
    </w:p>
    <w:tbl>
      <w:tblPr>
        <w:tblStyle w:val="29"/>
        <w:tblW w:w="1004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487"/>
        <w:gridCol w:w="1108"/>
        <w:gridCol w:w="1031"/>
        <w:gridCol w:w="6172"/>
        <w:gridCol w:w="12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42" w:hRule="atLeast"/>
          <w:jc w:val="center"/>
        </w:trPr>
        <w:tc>
          <w:tcPr>
            <w:tcW w:w="487" w:type="dxa"/>
            <w:noWrap w:val="0"/>
            <w:vAlign w:val="center"/>
          </w:tcPr>
          <w:p>
            <w:pPr>
              <w:autoSpaceDE w:val="0"/>
              <w:autoSpaceDN w:val="0"/>
              <w:adjustRightInd w:val="0"/>
              <w:spacing w:line="430" w:lineRule="exact"/>
              <w:jc w:val="center"/>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序号</w:t>
            </w:r>
          </w:p>
        </w:tc>
        <w:tc>
          <w:tcPr>
            <w:tcW w:w="1108" w:type="dxa"/>
            <w:noWrap w:val="0"/>
            <w:vAlign w:val="center"/>
          </w:tcPr>
          <w:p>
            <w:pPr>
              <w:autoSpaceDE w:val="0"/>
              <w:autoSpaceDN w:val="0"/>
              <w:adjustRightInd w:val="0"/>
              <w:spacing w:line="430" w:lineRule="exact"/>
              <w:jc w:val="center"/>
              <w:rPr>
                <w:rFonts w:hint="eastAsia" w:ascii="宋体" w:hAnsi="宋体" w:eastAsia="宋体" w:cs="宋体"/>
                <w:b/>
                <w:bCs/>
                <w:sz w:val="21"/>
                <w:szCs w:val="21"/>
              </w:rPr>
            </w:pPr>
            <w:r>
              <w:rPr>
                <w:rFonts w:hint="eastAsia" w:ascii="宋体" w:hAnsi="宋体" w:eastAsia="宋体" w:cs="宋体"/>
                <w:b/>
                <w:bCs/>
                <w:sz w:val="21"/>
                <w:szCs w:val="21"/>
              </w:rPr>
              <w:t>标的名称</w:t>
            </w:r>
          </w:p>
        </w:tc>
        <w:tc>
          <w:tcPr>
            <w:tcW w:w="1031" w:type="dxa"/>
            <w:noWrap w:val="0"/>
            <w:vAlign w:val="center"/>
          </w:tcPr>
          <w:p>
            <w:pPr>
              <w:autoSpaceDE w:val="0"/>
              <w:autoSpaceDN w:val="0"/>
              <w:adjustRightInd w:val="0"/>
              <w:spacing w:line="430" w:lineRule="exact"/>
              <w:jc w:val="center"/>
              <w:rPr>
                <w:rFonts w:hint="eastAsia" w:ascii="宋体" w:hAnsi="宋体" w:eastAsia="宋体" w:cs="宋体"/>
                <w:b/>
                <w:bCs/>
                <w:sz w:val="21"/>
                <w:szCs w:val="21"/>
              </w:rPr>
            </w:pPr>
            <w:r>
              <w:rPr>
                <w:rFonts w:hint="eastAsia" w:ascii="宋体" w:hAnsi="宋体" w:eastAsia="宋体" w:cs="宋体"/>
                <w:b/>
                <w:bCs/>
                <w:sz w:val="21"/>
                <w:szCs w:val="21"/>
              </w:rPr>
              <w:t>数量及</w:t>
            </w:r>
          </w:p>
          <w:p>
            <w:pPr>
              <w:autoSpaceDE w:val="0"/>
              <w:autoSpaceDN w:val="0"/>
              <w:adjustRightInd w:val="0"/>
              <w:spacing w:line="430" w:lineRule="exact"/>
              <w:jc w:val="center"/>
              <w:rPr>
                <w:rFonts w:hint="eastAsia" w:ascii="宋体" w:hAnsi="宋体" w:eastAsia="宋体" w:cs="宋体"/>
                <w:b/>
                <w:bCs/>
                <w:sz w:val="21"/>
                <w:szCs w:val="21"/>
              </w:rPr>
            </w:pPr>
            <w:r>
              <w:rPr>
                <w:rFonts w:hint="eastAsia" w:ascii="宋体" w:hAnsi="宋体" w:eastAsia="宋体" w:cs="宋体"/>
                <w:b/>
                <w:bCs/>
                <w:sz w:val="21"/>
                <w:szCs w:val="21"/>
              </w:rPr>
              <w:t>单位</w:t>
            </w:r>
          </w:p>
        </w:tc>
        <w:tc>
          <w:tcPr>
            <w:tcW w:w="6172" w:type="dxa"/>
            <w:noWrap w:val="0"/>
            <w:vAlign w:val="center"/>
          </w:tcPr>
          <w:p>
            <w:pPr>
              <w:autoSpaceDE w:val="0"/>
              <w:autoSpaceDN w:val="0"/>
              <w:adjustRightInd w:val="0"/>
              <w:spacing w:line="430" w:lineRule="exact"/>
              <w:jc w:val="center"/>
              <w:rPr>
                <w:rFonts w:hint="eastAsia" w:ascii="宋体" w:hAnsi="宋体" w:eastAsia="宋体" w:cs="宋体"/>
                <w:b/>
                <w:bCs/>
                <w:sz w:val="21"/>
                <w:szCs w:val="21"/>
              </w:rPr>
            </w:pPr>
            <w:r>
              <w:rPr>
                <w:rFonts w:hint="eastAsia" w:ascii="宋体" w:hAnsi="宋体" w:eastAsia="宋体" w:cs="宋体"/>
                <w:b/>
                <w:bCs/>
                <w:sz w:val="21"/>
                <w:szCs w:val="21"/>
              </w:rPr>
              <w:t>服务内容及要求</w:t>
            </w:r>
          </w:p>
        </w:tc>
        <w:tc>
          <w:tcPr>
            <w:tcW w:w="1246" w:type="dxa"/>
            <w:noWrap w:val="0"/>
            <w:vAlign w:val="center"/>
          </w:tcPr>
          <w:p>
            <w:pPr>
              <w:autoSpaceDE w:val="0"/>
              <w:autoSpaceDN w:val="0"/>
              <w:adjustRightInd w:val="0"/>
              <w:spacing w:line="430" w:lineRule="exact"/>
              <w:jc w:val="center"/>
              <w:rPr>
                <w:rFonts w:hint="eastAsia" w:ascii="宋体" w:hAnsi="宋体" w:eastAsia="宋体" w:cs="宋体"/>
                <w:b/>
                <w:bCs/>
                <w:sz w:val="21"/>
                <w:szCs w:val="21"/>
              </w:rPr>
            </w:pPr>
            <w:r>
              <w:rPr>
                <w:rFonts w:hint="eastAsia" w:ascii="宋体" w:hAnsi="宋体" w:eastAsia="宋体" w:cs="宋体"/>
                <w:b/>
                <w:bCs/>
                <w:sz w:val="24"/>
                <w:szCs w:val="24"/>
              </w:rPr>
              <w:t>所属行业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487" w:type="dxa"/>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1</w:t>
            </w:r>
          </w:p>
        </w:tc>
        <w:tc>
          <w:tcPr>
            <w:tcW w:w="1108" w:type="dxa"/>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实验室辅助设施维护管理</w:t>
            </w:r>
          </w:p>
        </w:tc>
        <w:tc>
          <w:tcPr>
            <w:tcW w:w="1031" w:type="dxa"/>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1项</w:t>
            </w:r>
          </w:p>
        </w:tc>
        <w:tc>
          <w:tcPr>
            <w:tcW w:w="6172" w:type="dxa"/>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1.项目概况</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为确保实验室正常运转，使实验室环境保持“战时”状态，日常需对实验室通用设备和实验环境进行常态化检查和维护，保持水、气、电路的正常运行，</w:t>
            </w:r>
            <w:r>
              <w:rPr>
                <w:rFonts w:hint="eastAsia" w:ascii="宋体" w:hAnsi="宋体" w:eastAsia="宋体" w:cs="Times New Roman"/>
                <w:bCs/>
                <w:color w:val="auto"/>
                <w:szCs w:val="21"/>
                <w:highlight w:val="none"/>
                <w:lang w:val="zh-CN" w:eastAsia="zh-CN"/>
              </w:rPr>
              <w:t>保障各项工作能安全、顺利开展</w:t>
            </w:r>
            <w:r>
              <w:rPr>
                <w:rFonts w:hint="eastAsia" w:ascii="宋体" w:hAnsi="宋体" w:eastAsia="宋体" w:cs="Times New Roman"/>
                <w:bCs/>
                <w:color w:val="auto"/>
                <w:szCs w:val="21"/>
                <w:highlight w:val="none"/>
                <w:lang w:val="en-US" w:eastAsia="zh-CN"/>
              </w:rPr>
              <w:t>，检测数据真实、准确。</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2.服务内容</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服务内容保含两部分，一是实验室专业管理维护，二是实验室各系统定期维护。</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2.1实验室专业管理维护</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实验室专业管理维护包括各类实验室器皿前后处理、专用设备及其附属设施保养管理等工作，加强实验室区域管理巡检。服务范围如下：</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2.1.1实验区域</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实验区域包含监测中心大楼二层（C203-C205房）、五至八层所有实验室及配套区域，以及生态环境厅主楼五层的空气复合观测站区域。对实验区域内各类实验室器皿进行前后处理，确保器皿清洁，符合实验使用标准；如因维护操作造成的器皿破碎需及时免费补充；对实验区域内专业设备及其附属设施进行维护保养等专业管理服务，确保区域整体干净整洁、无积尘、无污迹、无杂物、无积水。</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2.1.2仓储区域</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仓储区域包含监测中心大楼负一层（C负101—C负106房）及一层（C101、C104-C106房、C109房、C111房）所有存放实验物品及设备的区域。对仓储区域内各类物品、专业设备及其附属设施进行维护保养等专业管理服务，确保区域整体干净整洁、无积尘、无污迹、无杂物、无积水。</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2.1.3会商区域</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会商区域包含监测中心一层（C102、C103、C107房）、二层C201房、三层C304、四层C406-411及生态环境厅主楼二层大气监测与预报预警会商室。对会商区域内各类专用设备及其附属设施进行维护保养等专业管理服务，确保区域整体干净整洁、无积尘、无污迹、无杂物。</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确保以上所有区域整体干净整洁、无积尘、无污迹、无积水、无杂物。管理维护频率每周至少二次，部分区域需要增加维护频次可双方协商后进行调整。</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2.2实验室各系统定期维护</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实验室各系统定期维护，包括实验室的洁净系统、供气系统、通风系统、水电系统、污水处理系统等</w:t>
            </w:r>
            <w:r>
              <w:rPr>
                <w:rFonts w:hint="eastAsia" w:ascii="宋体" w:hAnsi="宋体" w:eastAsia="宋体" w:cs="Times New Roman"/>
                <w:bCs/>
                <w:color w:val="auto"/>
                <w:szCs w:val="21"/>
                <w:highlight w:val="none"/>
                <w:lang w:val="zh-CN" w:eastAsia="zh-CN"/>
              </w:rPr>
              <w:t>。</w:t>
            </w:r>
            <w:r>
              <w:rPr>
                <w:rFonts w:hint="eastAsia" w:ascii="宋体" w:hAnsi="宋体" w:eastAsia="宋体" w:cs="Times New Roman"/>
                <w:bCs/>
                <w:color w:val="auto"/>
                <w:szCs w:val="21"/>
                <w:highlight w:val="none"/>
                <w:lang w:val="en-US" w:eastAsia="zh-CN"/>
              </w:rPr>
              <w:t>主要内容如下：</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2.2.1洁净系统：保障实验室初、中、高效过滤器正常运行，液晶显示控制面板，甲醛熏蒸（霉菌消除），紫外线灯，压力梯度（压差表），净化机组，PVC地板等正常运转。</w:t>
            </w:r>
          </w:p>
          <w:p>
            <w:pPr>
              <w:keepNext w:val="0"/>
              <w:keepLines w:val="0"/>
              <w:pageBreakBefore w:val="0"/>
              <w:kinsoku/>
              <w:wordWrap/>
              <w:overflowPunct/>
              <w:topLinePunct w:val="0"/>
              <w:autoSpaceDE/>
              <w:autoSpaceDN/>
              <w:bidi w:val="0"/>
              <w:adjustRightInd/>
              <w:spacing w:line="400" w:lineRule="exact"/>
              <w:textAlignment w:val="auto"/>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2.2.2供气系统：保障实验室各供气系统无泄漏、无破损，正常运转，气源室C605气路安全、无泄漏。</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2.2.2通风系统：保障各实验室内各通风系统（包含但不限于万向排气罩、原子吸收罩、通风柜/橱、变频系统、风机、酸雾净化塔、活性炭吸附塔（装置））等正常运转，若出现设备噪音过大，风量不稳等情况时，及时解决问题，消除噪声，控制风量。</w:t>
            </w:r>
          </w:p>
          <w:p>
            <w:pPr>
              <w:keepNext w:val="0"/>
              <w:keepLines w:val="0"/>
              <w:pageBreakBefore w:val="0"/>
              <w:kinsoku/>
              <w:wordWrap/>
              <w:overflowPunct/>
              <w:topLinePunct w:val="0"/>
              <w:autoSpaceDE/>
              <w:autoSpaceDN/>
              <w:bidi w:val="0"/>
              <w:adjustRightInd/>
              <w:spacing w:line="400" w:lineRule="exact"/>
              <w:textAlignment w:val="auto"/>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2.2.3水电系统：</w:t>
            </w:r>
            <w:r>
              <w:rPr>
                <w:rFonts w:hint="eastAsia" w:ascii="宋体" w:hAnsi="宋体" w:eastAsia="宋体" w:cs="Times New Roman"/>
                <w:bCs/>
                <w:color w:val="auto"/>
                <w:szCs w:val="21"/>
                <w:highlight w:val="none"/>
                <w:lang w:val="zh-CN" w:eastAsia="zh-CN"/>
              </w:rPr>
              <w:t>确保实验室给排水</w:t>
            </w:r>
            <w:r>
              <w:rPr>
                <w:rFonts w:hint="eastAsia" w:ascii="宋体" w:hAnsi="宋体" w:eastAsia="宋体" w:cs="Times New Roman"/>
                <w:bCs/>
                <w:color w:val="auto"/>
                <w:szCs w:val="21"/>
                <w:highlight w:val="none"/>
                <w:lang w:val="en-US" w:eastAsia="zh-CN"/>
              </w:rPr>
              <w:t>及电路</w:t>
            </w:r>
            <w:r>
              <w:rPr>
                <w:rFonts w:hint="eastAsia" w:ascii="宋体" w:hAnsi="宋体" w:eastAsia="宋体" w:cs="Times New Roman"/>
                <w:bCs/>
                <w:color w:val="auto"/>
                <w:szCs w:val="21"/>
                <w:highlight w:val="none"/>
                <w:lang w:val="zh-CN" w:eastAsia="zh-CN"/>
              </w:rPr>
              <w:t>系统正常运转，对各</w:t>
            </w:r>
            <w:r>
              <w:rPr>
                <w:rFonts w:hint="eastAsia" w:ascii="宋体" w:hAnsi="宋体" w:eastAsia="宋体" w:cs="Times New Roman"/>
                <w:bCs/>
                <w:color w:val="auto"/>
                <w:szCs w:val="21"/>
                <w:highlight w:val="none"/>
                <w:lang w:val="en-US" w:eastAsia="zh-CN"/>
              </w:rPr>
              <w:t>实验室排水系统（包含但不限于</w:t>
            </w:r>
            <w:r>
              <w:rPr>
                <w:rFonts w:hint="eastAsia" w:ascii="宋体" w:hAnsi="宋体" w:eastAsia="宋体" w:cs="Times New Roman"/>
                <w:bCs/>
                <w:color w:val="auto"/>
                <w:szCs w:val="21"/>
                <w:highlight w:val="none"/>
                <w:lang w:val="zh-CN" w:eastAsia="zh-CN"/>
              </w:rPr>
              <w:t>上下水位、地漏管路、水槽、水龙头、洗眼器、紧急喷淋</w:t>
            </w:r>
            <w:r>
              <w:rPr>
                <w:rFonts w:hint="eastAsia" w:ascii="宋体" w:hAnsi="宋体" w:eastAsia="宋体" w:cs="Times New Roman"/>
                <w:bCs/>
                <w:color w:val="auto"/>
                <w:szCs w:val="21"/>
                <w:highlight w:val="none"/>
                <w:lang w:val="en-US" w:eastAsia="zh-CN"/>
              </w:rPr>
              <w:t>）、电路系统（包含但不限于</w:t>
            </w:r>
            <w:r>
              <w:rPr>
                <w:rFonts w:hint="eastAsia" w:ascii="宋体" w:hAnsi="宋体" w:eastAsia="宋体" w:cs="Times New Roman"/>
                <w:bCs/>
                <w:color w:val="auto"/>
                <w:szCs w:val="21"/>
                <w:highlight w:val="none"/>
                <w:lang w:val="zh-CN" w:eastAsia="zh-CN"/>
              </w:rPr>
              <w:t>各科室电路点位、配电柜元器件</w:t>
            </w:r>
            <w:r>
              <w:rPr>
                <w:rFonts w:hint="eastAsia" w:ascii="宋体" w:hAnsi="宋体" w:eastAsia="宋体" w:cs="Times New Roman"/>
                <w:bCs/>
                <w:color w:val="auto"/>
                <w:szCs w:val="21"/>
                <w:highlight w:val="none"/>
                <w:lang w:val="en-US" w:eastAsia="zh-CN"/>
              </w:rPr>
              <w:t>）</w:t>
            </w:r>
            <w:r>
              <w:rPr>
                <w:rFonts w:hint="eastAsia" w:ascii="宋体" w:hAnsi="宋体" w:eastAsia="宋体" w:cs="Times New Roman"/>
                <w:bCs/>
                <w:color w:val="auto"/>
                <w:szCs w:val="21"/>
                <w:highlight w:val="none"/>
                <w:lang w:val="zh-CN" w:eastAsia="zh-CN"/>
              </w:rPr>
              <w:t>一个月进行</w:t>
            </w:r>
            <w:r>
              <w:rPr>
                <w:rFonts w:hint="eastAsia" w:ascii="宋体" w:hAnsi="宋体" w:eastAsia="宋体" w:cs="Times New Roman"/>
                <w:bCs/>
                <w:color w:val="auto"/>
                <w:szCs w:val="21"/>
                <w:highlight w:val="none"/>
                <w:lang w:val="en-US" w:eastAsia="zh-CN"/>
              </w:rPr>
              <w:t>巡检</w:t>
            </w:r>
            <w:r>
              <w:rPr>
                <w:rFonts w:hint="eastAsia" w:ascii="宋体" w:hAnsi="宋体" w:eastAsia="宋体" w:cs="Times New Roman"/>
                <w:bCs/>
                <w:color w:val="auto"/>
                <w:szCs w:val="21"/>
                <w:highlight w:val="none"/>
                <w:lang w:val="zh-CN" w:eastAsia="zh-CN"/>
              </w:rPr>
              <w:t>一次，一年</w:t>
            </w:r>
            <w:r>
              <w:rPr>
                <w:rFonts w:hint="eastAsia" w:ascii="宋体" w:hAnsi="宋体" w:eastAsia="宋体" w:cs="Times New Roman"/>
                <w:bCs/>
                <w:color w:val="auto"/>
                <w:szCs w:val="21"/>
                <w:highlight w:val="none"/>
                <w:lang w:val="en-US" w:eastAsia="zh-CN"/>
              </w:rPr>
              <w:t>巡检</w:t>
            </w:r>
            <w:r>
              <w:rPr>
                <w:rFonts w:hint="eastAsia" w:ascii="宋体" w:hAnsi="宋体" w:eastAsia="宋体" w:cs="Times New Roman"/>
                <w:bCs/>
                <w:color w:val="auto"/>
                <w:szCs w:val="21"/>
                <w:highlight w:val="none"/>
                <w:lang w:val="zh-CN" w:eastAsia="zh-CN"/>
              </w:rPr>
              <w:t>共计十二次；</w:t>
            </w:r>
            <w:r>
              <w:rPr>
                <w:rFonts w:hint="eastAsia" w:ascii="宋体" w:hAnsi="宋体" w:eastAsia="宋体" w:cs="Times New Roman"/>
                <w:bCs/>
                <w:color w:val="auto"/>
                <w:szCs w:val="21"/>
                <w:highlight w:val="none"/>
                <w:lang w:val="en-US" w:eastAsia="zh-CN"/>
              </w:rPr>
              <w:t>若遇大型节假日（如国庆、春节等），根据实际情况适当增加巡检次数；若出现水路堵塞、漏水、漏电、系统损坏等情况，需2小时内到达现场检查并免费疏通、维修或单件价值500元以下的易损件免费更换。</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2.2.4污水处理系统：污水处理房设施操作及管理工作，污水处理房设备日常检查及调试工作。</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3.工作要求</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3.1因维护操作造成的器皿破碎需及时免费补充。</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3.2 对服务区域内的附属设施进行日常保养或免费更换。</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3.3服务区域内的设施（包含但不限于门、窗、桌、凳等家具设施或其他大件设施）需移动或有损坏时，免费提供移动、维修等服务，如需替换单件价值在500元（含）以下的易损件，免费更换全新产品。</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3.4实验室专业管理维护频率每周至少二次，部分区域需增加维护频次时，可双方协商后进行调整。</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3.5实验室内各系统（包含但不限于洁净、通风、供水、供电、供气、废水处理等）维护要求每月至少检查一次，大型节假日（如国庆、春节等）前根据检修情况适当增加检修次数，保持其正常运转。若出现堵塞、漏水、漏电、腐蚀或损坏等情况，需2小时内到达现场检查并免费疏通或维修，如单件价值在500元（含）以下的易损件出现问题，免费更换全新产品。</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3.6禁止碰触实验室内的大型专用仪器设备；未经允许不得接触危险化学物品，不得进入两毒一爆试剂存储间。</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3.7对于维护过程中接触到的所有资料，未经采购人的书面同意，不得泄露给任何第三方。</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3.8离开服务区域后，即可关水关电。</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3.9每月10日前向采购人报送上一个月实验室各系统检修情况表（详见附件3）。</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3.10协助完成因实际工作需要临时交办的维护保养等工作任务及其他事项。</w:t>
            </w:r>
          </w:p>
          <w:p>
            <w:pPr>
              <w:keepNext w:val="0"/>
              <w:keepLines w:val="0"/>
              <w:pageBreakBefore w:val="0"/>
              <w:kinsoku/>
              <w:wordWrap/>
              <w:overflowPunct/>
              <w:topLinePunct w:val="0"/>
              <w:autoSpaceDE/>
              <w:autoSpaceDN/>
              <w:bidi w:val="0"/>
              <w:adjustRightInd/>
              <w:spacing w:line="400" w:lineRule="exact"/>
              <w:textAlignment w:val="auto"/>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3.11服务内容允许分包。</w:t>
            </w:r>
          </w:p>
          <w:p>
            <w:pPr>
              <w:keepNext w:val="0"/>
              <w:keepLines w:val="0"/>
              <w:pageBreakBefore w:val="0"/>
              <w:kinsoku/>
              <w:wordWrap/>
              <w:overflowPunct/>
              <w:topLinePunct w:val="0"/>
              <w:autoSpaceDE/>
              <w:autoSpaceDN/>
              <w:bidi w:val="0"/>
              <w:adjustRightInd/>
              <w:spacing w:line="400" w:lineRule="exact"/>
              <w:textAlignment w:val="auto"/>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4.服务质量考核</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采购人每季度组织相关人员对合同约定的服务内容进行服务质量考核（考核表附件2），并评分。考核内容如下：</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4.1实验室专业管理维护</w:t>
            </w:r>
          </w:p>
          <w:p>
            <w:pPr>
              <w:keepNext w:val="0"/>
              <w:keepLines w:val="0"/>
              <w:pageBreakBefore w:val="0"/>
              <w:kinsoku/>
              <w:wordWrap/>
              <w:overflowPunct/>
              <w:topLinePunct w:val="0"/>
              <w:autoSpaceDE/>
              <w:autoSpaceDN/>
              <w:bidi w:val="0"/>
              <w:adjustRightInd/>
              <w:spacing w:line="400" w:lineRule="exact"/>
              <w:textAlignment w:val="auto"/>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主要考核服务区域内是否做到整体干净整洁、无积尘、无污迹、无杂物、无积水，破碎器皿及时补充情况，采购人临时交办的紧急工作任务应急响应情况，相关的保密和安全要求。</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zh-CN" w:eastAsia="zh-CN"/>
              </w:rPr>
            </w:pPr>
            <w:r>
              <w:rPr>
                <w:rFonts w:hint="eastAsia" w:ascii="宋体" w:hAnsi="宋体" w:eastAsia="宋体" w:cs="Times New Roman"/>
                <w:bCs/>
                <w:color w:val="auto"/>
                <w:szCs w:val="21"/>
                <w:highlight w:val="none"/>
                <w:lang w:val="en-US" w:eastAsia="zh-CN"/>
              </w:rPr>
              <w:t>4.2</w:t>
            </w:r>
            <w:r>
              <w:rPr>
                <w:rFonts w:hint="eastAsia" w:ascii="宋体" w:hAnsi="宋体" w:eastAsia="宋体" w:cs="Times New Roman"/>
                <w:bCs/>
                <w:color w:val="auto"/>
                <w:szCs w:val="21"/>
                <w:highlight w:val="none"/>
                <w:lang w:val="zh-CN" w:eastAsia="zh-CN"/>
              </w:rPr>
              <w:t>实验室各系统定期维护</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主要考核各系统正常运转情况，系统出现问题时的应急响应情况及处理问题能力等。</w:t>
            </w:r>
          </w:p>
          <w:p>
            <w:pPr>
              <w:keepNext w:val="0"/>
              <w:keepLines w:val="0"/>
              <w:pageBreakBefore w:val="0"/>
              <w:kinsoku/>
              <w:wordWrap/>
              <w:overflowPunct/>
              <w:topLinePunct w:val="0"/>
              <w:autoSpaceDE/>
              <w:autoSpaceDN/>
              <w:bidi w:val="0"/>
              <w:adjustRightInd/>
              <w:spacing w:line="400" w:lineRule="exact"/>
              <w:textAlignment w:val="auto"/>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每季度</w:t>
            </w:r>
            <w:r>
              <w:rPr>
                <w:rFonts w:hint="default" w:ascii="宋体" w:hAnsi="宋体" w:eastAsia="宋体" w:cs="Times New Roman"/>
                <w:bCs/>
                <w:color w:val="auto"/>
                <w:szCs w:val="21"/>
                <w:highlight w:val="none"/>
                <w:lang w:val="en-US" w:eastAsia="zh-CN"/>
              </w:rPr>
              <w:t>考核得分大于等于85分的，不扣款；低于85分的，每低1分扣除合同总额的1%，每</w:t>
            </w:r>
            <w:r>
              <w:rPr>
                <w:rFonts w:hint="eastAsia" w:ascii="宋体" w:hAnsi="宋体" w:eastAsia="宋体" w:cs="Times New Roman"/>
                <w:bCs/>
                <w:color w:val="auto"/>
                <w:szCs w:val="21"/>
                <w:highlight w:val="none"/>
                <w:lang w:val="en-US" w:eastAsia="zh-CN"/>
              </w:rPr>
              <w:t>季度</w:t>
            </w:r>
            <w:r>
              <w:rPr>
                <w:rFonts w:hint="default" w:ascii="宋体" w:hAnsi="宋体" w:eastAsia="宋体" w:cs="Times New Roman"/>
                <w:bCs/>
                <w:color w:val="auto"/>
                <w:szCs w:val="21"/>
                <w:highlight w:val="none"/>
                <w:lang w:val="en-US" w:eastAsia="zh-CN"/>
              </w:rPr>
              <w:t>扣款最高不超过合同总额的10%。低于</w:t>
            </w:r>
            <w:r>
              <w:rPr>
                <w:rFonts w:hint="eastAsia" w:ascii="宋体" w:hAnsi="宋体" w:eastAsia="宋体" w:cs="Times New Roman"/>
                <w:bCs/>
                <w:color w:val="auto"/>
                <w:szCs w:val="21"/>
                <w:highlight w:val="none"/>
                <w:lang w:val="en-US" w:eastAsia="zh-CN"/>
              </w:rPr>
              <w:t>70</w:t>
            </w:r>
            <w:r>
              <w:rPr>
                <w:rFonts w:hint="default" w:ascii="宋体" w:hAnsi="宋体" w:eastAsia="宋体" w:cs="Times New Roman"/>
                <w:bCs/>
                <w:color w:val="auto"/>
                <w:szCs w:val="21"/>
                <w:highlight w:val="none"/>
                <w:lang w:val="en-US" w:eastAsia="zh-CN"/>
              </w:rPr>
              <w:t>分的，</w:t>
            </w:r>
            <w:r>
              <w:rPr>
                <w:rFonts w:hint="eastAsia" w:ascii="宋体" w:hAnsi="宋体" w:eastAsia="宋体" w:cs="Times New Roman"/>
                <w:bCs/>
                <w:color w:val="auto"/>
                <w:szCs w:val="21"/>
                <w:highlight w:val="none"/>
                <w:lang w:val="en-US" w:eastAsia="zh-CN"/>
              </w:rPr>
              <w:t>采购人有权终止服务合同，</w:t>
            </w:r>
            <w:r>
              <w:rPr>
                <w:rFonts w:hint="eastAsia" w:ascii="宋体" w:hAnsi="宋体" w:cs="Times New Roman"/>
                <w:bCs/>
                <w:color w:val="auto"/>
                <w:szCs w:val="21"/>
                <w:highlight w:val="none"/>
                <w:lang w:val="en-US" w:eastAsia="zh-CN"/>
              </w:rPr>
              <w:t>且</w:t>
            </w:r>
            <w:r>
              <w:rPr>
                <w:rFonts w:hint="eastAsia" w:ascii="宋体" w:hAnsi="宋体" w:eastAsia="宋体" w:cs="Times New Roman"/>
                <w:bCs/>
                <w:color w:val="auto"/>
                <w:szCs w:val="21"/>
                <w:highlight w:val="none"/>
                <w:lang w:val="en-US" w:eastAsia="zh-CN"/>
              </w:rPr>
              <w:t>不再支付项目</w:t>
            </w:r>
            <w:r>
              <w:rPr>
                <w:rFonts w:hint="eastAsia" w:ascii="宋体" w:hAnsi="宋体" w:cs="Times New Roman"/>
                <w:bCs/>
                <w:color w:val="auto"/>
                <w:szCs w:val="21"/>
                <w:highlight w:val="none"/>
                <w:lang w:val="en-US" w:eastAsia="zh-CN"/>
              </w:rPr>
              <w:t>全部剩余</w:t>
            </w:r>
            <w:r>
              <w:rPr>
                <w:rFonts w:hint="eastAsia" w:ascii="宋体" w:hAnsi="宋体" w:eastAsia="宋体" w:cs="Times New Roman"/>
                <w:bCs/>
                <w:color w:val="auto"/>
                <w:szCs w:val="21"/>
                <w:highlight w:val="none"/>
                <w:lang w:val="en-US" w:eastAsia="zh-CN"/>
              </w:rPr>
              <w:t>尾款，保留向成交供应商追究责任和赔偿的权利。</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5.人员要求</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5.1负责实验室专业管理维护人员至少4人，需有2年以上服务工作经验，且身体健康，工作认真负责，积极配合采购方日常工作。</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5.2维护实验室供电系统的工作人员须具备电工操作资质证或同种类型的资格证书。</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5.3拟服务本项目的工作人员在项目执行期间应保持稳定，未取得采购人同意，不得擅自更换。</w:t>
            </w:r>
          </w:p>
        </w:tc>
        <w:tc>
          <w:tcPr>
            <w:tcW w:w="1246" w:type="dxa"/>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rPr>
            </w:pPr>
            <w:r>
              <w:rPr>
                <w:rFonts w:hint="eastAsia" w:ascii="宋体" w:hAnsi="宋体" w:eastAsia="宋体" w:cs="宋体"/>
                <w:sz w:val="21"/>
                <w:szCs w:val="21"/>
                <w:lang w:val="en-US" w:eastAsia="zh-CN"/>
              </w:rPr>
              <w:t>其他未列明行业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10044" w:type="dxa"/>
            <w:gridSpan w:val="5"/>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lang w:val="en-US" w:eastAsia="zh-CN"/>
              </w:rPr>
            </w:pPr>
            <w:r>
              <w:rPr>
                <w:rFonts w:hint="eastAsia" w:ascii="仿宋" w:hAnsi="仿宋" w:eastAsia="仿宋" w:cs="仿宋"/>
                <w:b/>
                <w:bCs/>
                <w:color w:val="auto"/>
                <w:sz w:val="24"/>
                <w:szCs w:val="24"/>
                <w:highlight w:val="none"/>
              </w:rPr>
              <w:t>商务</w:t>
            </w:r>
            <w:r>
              <w:rPr>
                <w:rFonts w:hint="eastAsia" w:ascii="仿宋" w:hAnsi="仿宋" w:eastAsia="仿宋" w:cs="仿宋"/>
                <w:b/>
                <w:bCs/>
                <w:color w:val="auto"/>
                <w:sz w:val="24"/>
                <w:szCs w:val="24"/>
                <w:highlight w:val="none"/>
                <w:lang w:eastAsia="zh-CN"/>
              </w:rPr>
              <w:t>条款</w:t>
            </w:r>
            <w:r>
              <w:rPr>
                <w:rFonts w:hint="eastAsia" w:ascii="仿宋" w:hAnsi="仿宋" w:eastAsia="仿宋" w:cs="仿宋"/>
                <w:b/>
                <w:bCs/>
                <w:color w:val="auto"/>
                <w:sz w:val="24"/>
                <w:szCs w:val="24"/>
                <w:highlight w:val="none"/>
              </w:rPr>
              <w:t>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zh-CN" w:eastAsia="zh-CN"/>
              </w:rPr>
            </w:pPr>
            <w:r>
              <w:rPr>
                <w:rFonts w:hint="eastAsia" w:ascii="宋体" w:hAnsi="宋体" w:eastAsia="宋体" w:cs="Times New Roman"/>
                <w:bCs/>
                <w:color w:val="auto"/>
                <w:szCs w:val="21"/>
                <w:highlight w:val="none"/>
                <w:lang w:val="zh-CN" w:eastAsia="zh-CN"/>
              </w:rPr>
              <w:t>★（一）</w:t>
            </w:r>
            <w:r>
              <w:rPr>
                <w:rFonts w:hint="eastAsia" w:ascii="宋体" w:hAnsi="宋体" w:eastAsia="宋体" w:cs="Times New Roman"/>
                <w:bCs/>
                <w:color w:val="auto"/>
                <w:szCs w:val="21"/>
                <w:highlight w:val="none"/>
                <w:lang w:val="en-US" w:eastAsia="zh-CN"/>
              </w:rPr>
              <w:t>合同签订期</w:t>
            </w:r>
          </w:p>
        </w:tc>
        <w:tc>
          <w:tcPr>
            <w:tcW w:w="7418" w:type="dxa"/>
            <w:gridSpan w:val="2"/>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自</w:t>
            </w:r>
            <w:r>
              <w:rPr>
                <w:rFonts w:hint="eastAsia" w:ascii="宋体" w:hAnsi="宋体" w:eastAsia="宋体" w:cs="Times New Roman"/>
                <w:bCs/>
                <w:color w:val="auto"/>
                <w:szCs w:val="21"/>
                <w:highlight w:val="none"/>
                <w:lang w:val="zh-CN" w:eastAsia="zh-CN"/>
              </w:rPr>
              <w:t>成交通知书发出之日起15</w:t>
            </w:r>
            <w:r>
              <w:rPr>
                <w:rFonts w:hint="eastAsia" w:ascii="宋体" w:hAnsi="宋体" w:eastAsia="宋体" w:cs="Times New Roman"/>
                <w:bCs/>
                <w:color w:val="auto"/>
                <w:szCs w:val="21"/>
                <w:highlight w:val="none"/>
                <w:lang w:val="en-US" w:eastAsia="zh-CN"/>
              </w:rPr>
              <w:t>个工作</w:t>
            </w:r>
            <w:r>
              <w:rPr>
                <w:rFonts w:hint="eastAsia" w:ascii="宋体" w:hAnsi="宋体" w:eastAsia="宋体" w:cs="Times New Roman"/>
                <w:bCs/>
                <w:color w:val="auto"/>
                <w:szCs w:val="21"/>
                <w:highlight w:val="none"/>
                <w:lang w:val="zh-CN" w:eastAsia="zh-CN"/>
              </w:rPr>
              <w:t>日内</w:t>
            </w:r>
            <w:r>
              <w:rPr>
                <w:rFonts w:hint="eastAsia" w:ascii="宋体" w:hAnsi="宋体" w:eastAsia="宋体" w:cs="Times New Roman"/>
                <w:bCs/>
                <w:color w:val="auto"/>
                <w:szCs w:val="21"/>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zh-CN" w:eastAsia="zh-CN"/>
              </w:rPr>
            </w:pPr>
            <w:r>
              <w:rPr>
                <w:rFonts w:hint="eastAsia" w:ascii="宋体" w:hAnsi="宋体" w:eastAsia="宋体" w:cs="Times New Roman"/>
                <w:bCs/>
                <w:color w:val="auto"/>
                <w:szCs w:val="21"/>
                <w:highlight w:val="none"/>
                <w:lang w:val="zh-CN" w:eastAsia="zh-CN"/>
              </w:rPr>
              <w:t>★（二）服务时间及地点</w:t>
            </w:r>
          </w:p>
        </w:tc>
        <w:tc>
          <w:tcPr>
            <w:tcW w:w="7418" w:type="dxa"/>
            <w:gridSpan w:val="2"/>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zh-CN" w:eastAsia="zh-CN"/>
              </w:rPr>
            </w:pPr>
            <w:r>
              <w:rPr>
                <w:rFonts w:hint="eastAsia" w:ascii="宋体" w:hAnsi="宋体" w:eastAsia="宋体" w:cs="Times New Roman"/>
                <w:bCs/>
                <w:color w:val="auto"/>
                <w:szCs w:val="21"/>
                <w:highlight w:val="none"/>
                <w:lang w:val="zh-CN" w:eastAsia="zh-CN"/>
              </w:rPr>
              <w:t>1、</w:t>
            </w:r>
            <w:r>
              <w:rPr>
                <w:rFonts w:hint="eastAsia" w:ascii="宋体" w:hAnsi="宋体" w:eastAsia="宋体" w:cs="Times New Roman"/>
                <w:bCs/>
                <w:color w:val="auto"/>
                <w:szCs w:val="21"/>
                <w:highlight w:val="none"/>
                <w:lang w:val="en-US" w:eastAsia="zh-CN"/>
              </w:rPr>
              <w:t>服务时间为2025年3月20日—2026年3月20日。</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zh-CN" w:eastAsia="zh-CN"/>
              </w:rPr>
              <w:t>2、服务地点：</w:t>
            </w:r>
            <w:r>
              <w:rPr>
                <w:rFonts w:hint="eastAsia" w:ascii="宋体" w:hAnsi="宋体" w:eastAsia="宋体" w:cs="Times New Roman"/>
                <w:bCs/>
                <w:color w:val="auto"/>
                <w:szCs w:val="21"/>
                <w:highlight w:val="none"/>
                <w:lang w:val="en-US" w:eastAsia="zh-CN"/>
              </w:rPr>
              <w:t>广西壮族自治区生态环境监测中心（南宁市青秀区佛子岭路16号）及采购人因工作需要而指定的工作地点。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质量保障</w:t>
            </w:r>
          </w:p>
        </w:tc>
        <w:tc>
          <w:tcPr>
            <w:tcW w:w="7418" w:type="dxa"/>
            <w:gridSpan w:val="2"/>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default" w:ascii="宋体" w:hAnsi="宋体" w:eastAsia="宋体" w:cs="Times New Roman"/>
                <w:bCs/>
                <w:color w:val="auto"/>
                <w:szCs w:val="21"/>
                <w:highlight w:val="none"/>
                <w:lang w:val="en-US" w:eastAsia="zh-CN"/>
              </w:rPr>
              <w:t>乙方所提供的服务、服务质量及服务内容必须与合同、询价文件、报价文件及承诺相一致，有国家强制性标准的，还必须符合国家强制性标准的规定，没有国家强制性标准但有其他标准的，必须符合其他标准的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zh-CN" w:eastAsia="zh-CN"/>
              </w:rPr>
              <w:t>★</w:t>
            </w:r>
            <w:r>
              <w:rPr>
                <w:rFonts w:hint="eastAsia" w:ascii="宋体" w:hAnsi="宋体" w:eastAsia="宋体" w:cs="Times New Roman"/>
                <w:bCs/>
                <w:color w:val="auto"/>
                <w:szCs w:val="21"/>
                <w:highlight w:val="none"/>
                <w:lang w:val="en-US" w:eastAsia="zh-CN"/>
              </w:rPr>
              <w:t>付款方式</w:t>
            </w:r>
          </w:p>
        </w:tc>
        <w:tc>
          <w:tcPr>
            <w:tcW w:w="7418" w:type="dxa"/>
            <w:gridSpan w:val="2"/>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1.自双方签订合同生效起，采购人收到请款材料后支付合同总额70%的预付款；</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2.待采购人完成第三季度运维考核且收到请款材料后，向成交人支付合同总额的25%。</w:t>
            </w:r>
          </w:p>
          <w:p>
            <w:pPr>
              <w:keepNext w:val="0"/>
              <w:keepLines w:val="0"/>
              <w:pageBreakBefore w:val="0"/>
              <w:kinsoku/>
              <w:wordWrap/>
              <w:overflowPunct/>
              <w:topLinePunct w:val="0"/>
              <w:autoSpaceDE/>
              <w:autoSpaceDN/>
              <w:bidi w:val="0"/>
              <w:adjustRightInd/>
              <w:spacing w:line="400" w:lineRule="exact"/>
              <w:textAlignment w:val="auto"/>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3.服务期届满，采购人完成项目验收且受到请款材料后，向成交人支付</w:t>
            </w:r>
            <w:r>
              <w:rPr>
                <w:rFonts w:hint="default" w:ascii="宋体" w:hAnsi="宋体" w:eastAsia="宋体" w:cs="Times New Roman"/>
                <w:bCs/>
                <w:color w:val="auto"/>
                <w:szCs w:val="21"/>
                <w:highlight w:val="none"/>
                <w:lang w:val="en-US" w:eastAsia="zh-CN"/>
              </w:rPr>
              <w:t>合同总额</w:t>
            </w:r>
            <w:r>
              <w:rPr>
                <w:rFonts w:hint="eastAsia" w:ascii="宋体" w:hAnsi="宋体" w:eastAsia="宋体" w:cs="Times New Roman"/>
                <w:bCs/>
                <w:color w:val="auto"/>
                <w:szCs w:val="21"/>
                <w:highlight w:val="none"/>
                <w:lang w:val="en-US" w:eastAsia="zh-CN"/>
              </w:rPr>
              <w:t>5</w:t>
            </w:r>
            <w:r>
              <w:rPr>
                <w:rFonts w:hint="default" w:ascii="宋体" w:hAnsi="宋体" w:eastAsia="宋体" w:cs="Times New Roman"/>
                <w:bCs/>
                <w:color w:val="auto"/>
                <w:szCs w:val="21"/>
                <w:highlight w:val="none"/>
                <w:lang w:val="en-US" w:eastAsia="zh-CN"/>
              </w:rPr>
              <w:t>%的</w:t>
            </w:r>
            <w:r>
              <w:rPr>
                <w:rFonts w:hint="eastAsia" w:ascii="宋体" w:hAnsi="宋体" w:eastAsia="宋体" w:cs="Times New Roman"/>
                <w:bCs/>
                <w:color w:val="auto"/>
                <w:szCs w:val="21"/>
                <w:highlight w:val="none"/>
                <w:lang w:val="en-US" w:eastAsia="zh-CN"/>
              </w:rPr>
              <w:t>尾款。</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4.每季度考核得分大于等于85分的，不扣款；低于85分的，每低1分扣除合同总额的1%，每季度扣款最高不超过合同总额的10%。</w:t>
            </w:r>
            <w:r>
              <w:rPr>
                <w:rFonts w:hint="default" w:ascii="宋体" w:hAnsi="宋体" w:eastAsia="宋体" w:cs="Times New Roman"/>
                <w:bCs/>
                <w:color w:val="auto"/>
                <w:szCs w:val="21"/>
                <w:highlight w:val="none"/>
                <w:lang w:val="en-US" w:eastAsia="zh-CN"/>
              </w:rPr>
              <w:t>低于</w:t>
            </w:r>
            <w:r>
              <w:rPr>
                <w:rFonts w:hint="eastAsia" w:ascii="宋体" w:hAnsi="宋体" w:eastAsia="宋体" w:cs="Times New Roman"/>
                <w:bCs/>
                <w:color w:val="auto"/>
                <w:szCs w:val="21"/>
                <w:highlight w:val="none"/>
                <w:lang w:val="en-US" w:eastAsia="zh-CN"/>
              </w:rPr>
              <w:t>70</w:t>
            </w:r>
            <w:r>
              <w:rPr>
                <w:rFonts w:hint="default" w:ascii="宋体" w:hAnsi="宋体" w:eastAsia="宋体" w:cs="Times New Roman"/>
                <w:bCs/>
                <w:color w:val="auto"/>
                <w:szCs w:val="21"/>
                <w:highlight w:val="none"/>
                <w:lang w:val="en-US" w:eastAsia="zh-CN"/>
              </w:rPr>
              <w:t>分的，</w:t>
            </w:r>
            <w:r>
              <w:rPr>
                <w:rFonts w:hint="eastAsia" w:ascii="宋体" w:hAnsi="宋体" w:eastAsia="宋体" w:cs="Times New Roman"/>
                <w:bCs/>
                <w:color w:val="auto"/>
                <w:szCs w:val="21"/>
                <w:highlight w:val="none"/>
                <w:lang w:val="en-US" w:eastAsia="zh-CN"/>
              </w:rPr>
              <w:t>采购人有权终止服务合同，不再支付项目</w:t>
            </w:r>
            <w:r>
              <w:rPr>
                <w:rFonts w:hint="eastAsia" w:ascii="宋体" w:hAnsi="宋体" w:cs="Times New Roman"/>
                <w:bCs/>
                <w:color w:val="auto"/>
                <w:szCs w:val="21"/>
                <w:highlight w:val="none"/>
                <w:lang w:val="en-US" w:eastAsia="zh-CN"/>
              </w:rPr>
              <w:t>全部剩余</w:t>
            </w:r>
            <w:r>
              <w:rPr>
                <w:rFonts w:hint="eastAsia" w:ascii="宋体" w:hAnsi="宋体" w:eastAsia="宋体" w:cs="Times New Roman"/>
                <w:bCs/>
                <w:color w:val="auto"/>
                <w:szCs w:val="21"/>
                <w:highlight w:val="none"/>
                <w:lang w:val="en-US" w:eastAsia="zh-CN"/>
              </w:rPr>
              <w:t>尾款。</w:t>
            </w:r>
          </w:p>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5.每次付款前，中标人须提供的请款材料包括请款函和对应金额的增值税发票。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★报价要求</w:t>
            </w:r>
          </w:p>
        </w:tc>
        <w:tc>
          <w:tcPr>
            <w:tcW w:w="7418" w:type="dxa"/>
            <w:gridSpan w:val="2"/>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lang w:val="en-US" w:eastAsia="zh-CN"/>
              </w:rPr>
            </w:pPr>
            <w:r>
              <w:rPr>
                <w:rFonts w:hint="eastAsia" w:ascii="宋体" w:hAnsi="宋体" w:eastAsia="宋体" w:cs="Times New Roman"/>
                <w:bCs/>
                <w:color w:val="auto"/>
                <w:szCs w:val="21"/>
                <w:highlight w:val="none"/>
                <w:lang w:val="en-US" w:eastAsia="zh-CN"/>
              </w:rPr>
              <w:t>报价为采购人指定服务范围内的全部价格，包括更换报价单约定条件的零部件费，服务人员的薪金、社保、休假日补贴、补偿费、赔偿金等由成交供应商付给，采购人不再支付成交价格以外的任何费用。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验收要求</w:t>
            </w:r>
          </w:p>
        </w:tc>
        <w:tc>
          <w:tcPr>
            <w:tcW w:w="7418" w:type="dxa"/>
            <w:gridSpan w:val="2"/>
            <w:noWrap w:val="0"/>
            <w:vAlign w:val="center"/>
          </w:tcPr>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1</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乙方应按合同、询价文件、报价文件及承诺向甲方提供相应的服务，并提供服务质量和服务内容的相关技术资料。</w:t>
            </w:r>
          </w:p>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2</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乙方提供不符合合同、询价文件、报价文件规定的服务成果，甲方有权拒绝接受。</w:t>
            </w:r>
          </w:p>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乙方在完成服务前应对服务作出全面检查和对验收文件进行整理，并列出清单，作为甲方服务验收的技术依据，清单应随提交的服务成果交给甲方。</w:t>
            </w:r>
          </w:p>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4</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乙方完成服务后应及时书面通知甲方进行验收，甲方应在收到通知后七个工作日内进行验收，逾期不验收的，乙方可视同验收合格。</w:t>
            </w:r>
          </w:p>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甲乙双方应按照合同、询价文件、报价文件验收，验收时乙方必须在现场，验收费用由乙方负责。服务质量和服务内容符合合同、询价文件、报价文件规定的要求的，由甲乙双方签署验收合格单并加盖甲方公章，甲乙双方各执一份。</w:t>
            </w:r>
          </w:p>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6</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甲方在初步验收或者最终验收过程中发现乙方提供的服务、服务质量或服务内容不满足合同、询价文件、报价文件规定的，可暂缓向乙方付款，直到乙方及时完善并提交相应的服务成果且经甲方验收合格后，方可办理付款。</w:t>
            </w:r>
          </w:p>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lang w:val="en-US" w:eastAsia="zh-CN"/>
              </w:rPr>
            </w:pPr>
            <w:r>
              <w:rPr>
                <w:rFonts w:hint="eastAsia" w:ascii="宋体" w:hAnsi="宋体" w:eastAsia="宋体" w:cs="Times New Roman"/>
                <w:bCs/>
                <w:color w:val="auto"/>
                <w:szCs w:val="21"/>
                <w:highlight w:val="none"/>
                <w:lang w:val="en-US" w:eastAsia="zh-CN"/>
              </w:rPr>
              <w:t>7</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甲方验收时发现乙方提供的服务、服务质量或服务内容不满足合同、询价文件、报价文件规定并以书面形式提出异议的，乙方应自收到甲方书面异议后五个工作日内予以解决，否则甲方有权不出具验收合格单。乙方因解决异议问题而造成逾期的，按乙方逾期交付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售后服务、服务质量</w:t>
            </w:r>
          </w:p>
        </w:tc>
        <w:tc>
          <w:tcPr>
            <w:tcW w:w="7418" w:type="dxa"/>
            <w:gridSpan w:val="2"/>
            <w:noWrap w:val="0"/>
            <w:vAlign w:val="center"/>
          </w:tcPr>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default" w:ascii="宋体" w:hAnsi="宋体" w:eastAsia="宋体" w:cs="Times New Roman"/>
                <w:bCs/>
                <w:color w:val="auto"/>
                <w:szCs w:val="21"/>
                <w:highlight w:val="none"/>
                <w:lang w:val="en-US" w:eastAsia="zh-CN"/>
              </w:rPr>
              <w:t>1</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乙方应按照国家有关法律法规、合同、询价文件、报价文件所附的《服务承诺》要求为甲方提供相应的服务。</w:t>
            </w:r>
          </w:p>
          <w:p>
            <w:pPr>
              <w:adjustRightInd w:val="0"/>
              <w:spacing w:line="420" w:lineRule="exact"/>
              <w:ind w:firstLine="420" w:firstLineChars="200"/>
              <w:rPr>
                <w:rFonts w:hint="default" w:ascii="宋体" w:hAnsi="宋体" w:eastAsia="宋体" w:cs="Times New Roman"/>
                <w:bCs/>
                <w:color w:val="auto"/>
                <w:szCs w:val="21"/>
                <w:highlight w:val="none"/>
                <w:lang w:val="en-US" w:eastAsia="zh-CN"/>
              </w:rPr>
            </w:pPr>
            <w:r>
              <w:rPr>
                <w:rFonts w:hint="default" w:ascii="宋体" w:hAnsi="宋体" w:eastAsia="宋体" w:cs="Times New Roman"/>
                <w:bCs/>
                <w:color w:val="auto"/>
                <w:szCs w:val="21"/>
                <w:highlight w:val="none"/>
                <w:lang w:val="en-US" w:eastAsia="zh-CN"/>
              </w:rPr>
              <w:t>2</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乙方提供服务的质量保证期按交付服务成果验收合格并签署验收合格单之日起计算，为365日，在质量保证期内因服务成果本身的技术问题，乙方应对服务出现的问题负责处理解决并承担一切费用。</w:t>
            </w:r>
          </w:p>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lang w:val="en-US" w:eastAsia="zh-CN"/>
              </w:rPr>
            </w:pPr>
            <w:r>
              <w:rPr>
                <w:rFonts w:hint="default" w:ascii="宋体" w:hAnsi="宋体" w:eastAsia="宋体" w:cs="Times New Roman"/>
                <w:bCs/>
                <w:color w:val="auto"/>
                <w:szCs w:val="21"/>
                <w:highlight w:val="none"/>
                <w:lang w:val="en-US" w:eastAsia="zh-CN"/>
              </w:rPr>
              <w:t>3</w:t>
            </w:r>
            <w:r>
              <w:rPr>
                <w:rFonts w:hint="default" w:ascii="宋体" w:hAnsi="宋体" w:eastAsia="宋体" w:cs="Times New Roman"/>
                <w:bCs/>
                <w:color w:val="auto"/>
                <w:szCs w:val="21"/>
                <w:highlight w:val="none"/>
                <w:lang w:val="en" w:eastAsia="zh-CN"/>
              </w:rPr>
              <w:t>.</w:t>
            </w:r>
            <w:r>
              <w:rPr>
                <w:rFonts w:hint="default" w:ascii="宋体" w:hAnsi="宋体" w:eastAsia="宋体" w:cs="Times New Roman"/>
                <w:bCs/>
                <w:color w:val="auto"/>
                <w:szCs w:val="21"/>
                <w:highlight w:val="none"/>
                <w:lang w:val="en-US" w:eastAsia="zh-CN"/>
              </w:rPr>
              <w:t>在质量保证期内发生技术服务问题，乙方应在接到甲方通知后</w:t>
            </w:r>
            <w:r>
              <w:rPr>
                <w:rFonts w:hint="eastAsia" w:ascii="宋体" w:hAnsi="宋体" w:eastAsia="宋体" w:cs="Times New Roman"/>
                <w:bCs/>
                <w:color w:val="auto"/>
                <w:szCs w:val="21"/>
                <w:highlight w:val="none"/>
                <w:lang w:val="en-US" w:eastAsia="zh-CN"/>
              </w:rPr>
              <w:t>2</w:t>
            </w:r>
            <w:r>
              <w:rPr>
                <w:rFonts w:hint="default" w:ascii="宋体" w:hAnsi="宋体" w:eastAsia="宋体" w:cs="Times New Roman"/>
                <w:bCs/>
                <w:color w:val="auto"/>
                <w:szCs w:val="21"/>
                <w:highlight w:val="none"/>
                <w:lang w:val="en-US" w:eastAsia="zh-CN"/>
              </w:rPr>
              <w:t>小时内到达甲方现场在甲方指定的期限内解决问题。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26" w:type="dxa"/>
            <w:gridSpan w:val="3"/>
            <w:noWrap w:val="0"/>
            <w:vAlign w:val="center"/>
          </w:tcPr>
          <w:p>
            <w:pPr>
              <w:adjustRightInd w:val="0"/>
              <w:spacing w:line="420" w:lineRule="exact"/>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知识产权</w:t>
            </w:r>
          </w:p>
        </w:tc>
        <w:tc>
          <w:tcPr>
            <w:tcW w:w="7418" w:type="dxa"/>
            <w:gridSpan w:val="2"/>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仿宋" w:hAnsi="仿宋" w:eastAsia="仿宋" w:cs="仿宋"/>
                <w:sz w:val="21"/>
                <w:szCs w:val="21"/>
                <w:lang w:val="en-US" w:eastAsia="zh-CN"/>
              </w:rPr>
            </w:pPr>
            <w:r>
              <w:rPr>
                <w:rFonts w:hint="eastAsia" w:ascii="宋体" w:hAnsi="宋体" w:eastAsia="宋体" w:cs="Times New Roman"/>
                <w:bCs/>
                <w:color w:val="auto"/>
                <w:szCs w:val="21"/>
                <w:highlight w:val="none"/>
                <w:lang w:val="en-US" w:eastAsia="zh-CN"/>
              </w:rPr>
              <w:t>采购人在中华人民共和国境内使用供应商提供的产品及服务时免受第三方提出的侵犯其专利权或其它知识产权的起诉。如果第三方提出侵权指控，成交供应商应承担由此而引起的一切法律责任和费用。</w:t>
            </w:r>
          </w:p>
        </w:tc>
      </w:tr>
    </w:tbl>
    <w:p>
      <w:pPr>
        <w:rPr>
          <w:rFonts w:ascii="宋体" w:hAnsi="宋体" w:cs="宋体"/>
          <w:b/>
          <w:sz w:val="32"/>
          <w:szCs w:val="32"/>
        </w:rPr>
      </w:pPr>
      <w:r>
        <w:rPr>
          <w:rFonts w:hint="eastAsia" w:ascii="宋体" w:hAnsi="宋体" w:cs="宋体"/>
          <w:b/>
          <w:sz w:val="32"/>
          <w:szCs w:val="32"/>
        </w:rPr>
        <w:br w:type="page"/>
      </w:r>
    </w:p>
    <w:p>
      <w:pPr>
        <w:tabs>
          <w:tab w:val="left" w:pos="0"/>
        </w:tabs>
        <w:adjustRightInd/>
        <w:snapToGrid/>
        <w:spacing w:line="600" w:lineRule="exact"/>
        <w:ind w:firstLine="0" w:firstLineChars="0"/>
        <w:jc w:val="left"/>
        <w:rPr>
          <w:rFonts w:hint="default" w:ascii="黑体" w:hAnsi="黑体" w:eastAsia="黑体" w:cs="黑体"/>
          <w:b w:val="0"/>
          <w:bCs w:val="0"/>
          <w:sz w:val="44"/>
          <w:szCs w:val="44"/>
          <w:lang w:val="en-US" w:eastAsia="zh-CN"/>
        </w:rPr>
      </w:pPr>
      <w:bookmarkStart w:id="109" w:name="_Toc32375"/>
      <w:bookmarkStart w:id="110" w:name="_Toc6548"/>
      <w:r>
        <w:rPr>
          <w:rFonts w:hint="eastAsia" w:ascii="黑体" w:hAnsi="黑体" w:eastAsia="黑体" w:cs="黑体"/>
          <w:b w:val="0"/>
          <w:bCs w:val="0"/>
          <w:sz w:val="30"/>
          <w:szCs w:val="30"/>
          <w:lang w:val="en-US" w:eastAsia="zh-CN"/>
        </w:rPr>
        <w:t>附件1</w:t>
      </w:r>
    </w:p>
    <w:p>
      <w:pPr>
        <w:tabs>
          <w:tab w:val="left" w:pos="0"/>
        </w:tabs>
        <w:adjustRightInd/>
        <w:snapToGrid/>
        <w:spacing w:line="600" w:lineRule="exact"/>
        <w:ind w:firstLine="0" w:firstLineChars="0"/>
        <w:jc w:val="center"/>
        <w:rPr>
          <w:rFonts w:hint="eastAsia" w:ascii="方正小标宋_GBK" w:hAnsi="方正小标宋_GBK" w:eastAsia="方正小标宋_GBK" w:cs="方正小标宋_GBK"/>
          <w:sz w:val="36"/>
          <w:szCs w:val="36"/>
          <w:lang w:val="en-US" w:eastAsia="zh-CN"/>
        </w:rPr>
      </w:pPr>
      <w:r>
        <w:rPr>
          <w:rFonts w:hint="eastAsia" w:ascii="方正小标宋_GBK" w:hAnsi="方正小标宋_GBK" w:eastAsia="方正小标宋_GBK" w:cs="方正小标宋_GBK"/>
          <w:sz w:val="36"/>
          <w:szCs w:val="36"/>
          <w:lang w:val="en-US" w:eastAsia="zh-CN"/>
        </w:rPr>
        <w:t>外出监测仪器管理维护服务考核表</w:t>
      </w:r>
    </w:p>
    <w:tbl>
      <w:tblPr>
        <w:tblStyle w:val="29"/>
        <w:tblW w:w="482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0"/>
        <w:gridCol w:w="927"/>
        <w:gridCol w:w="6450"/>
        <w:gridCol w:w="700"/>
        <w:gridCol w:w="1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4007" w:type="pct"/>
            <w:gridSpan w:val="3"/>
            <w:vAlign w:val="center"/>
          </w:tcPr>
          <w:p>
            <w:pPr>
              <w:spacing w:line="360" w:lineRule="auto"/>
              <w:ind w:firstLine="0" w:firstLineChars="0"/>
              <w:jc w:val="center"/>
              <w:rPr>
                <w:rFonts w:hint="eastAsia" w:ascii="宋体" w:hAnsi="宋体" w:eastAsia="宋体" w:cs="宋体"/>
                <w:b/>
                <w:bCs/>
                <w:sz w:val="18"/>
                <w:szCs w:val="18"/>
              </w:rPr>
            </w:pPr>
            <w:r>
              <w:rPr>
                <w:rFonts w:hint="eastAsia" w:ascii="宋体" w:hAnsi="宋体" w:eastAsia="宋体" w:cs="宋体"/>
                <w:b/>
                <w:bCs/>
                <w:sz w:val="18"/>
                <w:szCs w:val="18"/>
              </w:rPr>
              <w:t>考核内容</w:t>
            </w:r>
          </w:p>
        </w:tc>
        <w:tc>
          <w:tcPr>
            <w:tcW w:w="36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sz w:val="18"/>
                <w:szCs w:val="18"/>
                <w:lang w:eastAsia="zh-CN"/>
              </w:rPr>
            </w:pPr>
            <w:r>
              <w:rPr>
                <w:rFonts w:hint="eastAsia" w:ascii="宋体" w:hAnsi="宋体" w:eastAsia="宋体" w:cs="宋体"/>
                <w:b/>
                <w:bCs/>
                <w:sz w:val="18"/>
                <w:szCs w:val="18"/>
                <w:lang w:val="en-US" w:eastAsia="zh-CN"/>
              </w:rPr>
              <w:t>得分</w:t>
            </w:r>
          </w:p>
        </w:tc>
        <w:tc>
          <w:tcPr>
            <w:tcW w:w="62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b/>
                <w:bCs/>
                <w:sz w:val="18"/>
                <w:szCs w:val="18"/>
              </w:rPr>
            </w:pPr>
            <w:r>
              <w:rPr>
                <w:rFonts w:hint="eastAsia" w:ascii="宋体" w:hAnsi="宋体" w:eastAsia="宋体" w:cs="宋体"/>
                <w:b/>
                <w:bCs/>
                <w:sz w:val="18"/>
                <w:szCs w:val="1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6" w:hRule="atLeast"/>
        </w:trPr>
        <w:tc>
          <w:tcPr>
            <w:tcW w:w="171" w:type="pct"/>
            <w:vMerge w:val="restart"/>
            <w:vAlign w:val="center"/>
          </w:tcPr>
          <w:p>
            <w:pPr>
              <w:adjustRightInd/>
              <w:snapToGrid/>
              <w:spacing w:line="240" w:lineRule="auto"/>
              <w:ind w:firstLine="0" w:firstLineChars="0"/>
              <w:jc w:val="center"/>
              <w:rPr>
                <w:rFonts w:hint="eastAsia" w:ascii="宋体" w:hAnsi="宋体" w:eastAsia="宋体" w:cs="宋体"/>
                <w:sz w:val="18"/>
                <w:szCs w:val="18"/>
              </w:rPr>
            </w:pPr>
            <w:r>
              <w:rPr>
                <w:rFonts w:hint="eastAsia" w:ascii="宋体" w:hAnsi="宋体" w:eastAsia="宋体" w:cs="宋体"/>
                <w:sz w:val="18"/>
                <w:szCs w:val="18"/>
              </w:rPr>
              <w:t>服务内容</w:t>
            </w:r>
          </w:p>
        </w:tc>
        <w:tc>
          <w:tcPr>
            <w:tcW w:w="482"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sz w:val="18"/>
                <w:szCs w:val="18"/>
              </w:rPr>
            </w:pPr>
            <w:r>
              <w:rPr>
                <w:rFonts w:hint="eastAsia" w:ascii="宋体" w:hAnsi="宋体" w:eastAsia="宋体" w:cs="宋体"/>
                <w:sz w:val="18"/>
                <w:szCs w:val="18"/>
              </w:rPr>
              <w:t>仪器设备送检</w:t>
            </w:r>
          </w:p>
        </w:tc>
        <w:tc>
          <w:tcPr>
            <w:tcW w:w="3354"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left"/>
              <w:textAlignment w:val="auto"/>
              <w:rPr>
                <w:rFonts w:hint="eastAsia" w:ascii="宋体" w:hAnsi="宋体" w:eastAsia="宋体" w:cs="宋体"/>
                <w:sz w:val="18"/>
                <w:szCs w:val="18"/>
              </w:rPr>
            </w:pPr>
            <w:r>
              <w:rPr>
                <w:rFonts w:hint="eastAsia" w:ascii="宋体" w:hAnsi="宋体" w:eastAsia="宋体" w:cs="宋体"/>
                <w:sz w:val="18"/>
                <w:szCs w:val="18"/>
              </w:rPr>
              <w:t>及时核对仪器设备校准/检定有效期，定期做好送检计划，确保仪器设备合理使用，缩短送检周期，超过校准/检定有效期再送检的，每台扣0.5分（6分）；核对校准/检定证书无错漏，错漏一台扣0.5分（4分）。</w:t>
            </w:r>
          </w:p>
        </w:tc>
        <w:tc>
          <w:tcPr>
            <w:tcW w:w="363"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c>
          <w:tcPr>
            <w:tcW w:w="628" w:type="pct"/>
            <w:vAlign w:val="center"/>
          </w:tcPr>
          <w:p>
            <w:pPr>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trPr>
        <w:tc>
          <w:tcPr>
            <w:tcW w:w="171" w:type="pct"/>
            <w:vMerge w:val="continue"/>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482"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sz w:val="18"/>
                <w:szCs w:val="18"/>
              </w:rPr>
            </w:pPr>
            <w:r>
              <w:rPr>
                <w:rFonts w:hint="eastAsia" w:ascii="宋体" w:hAnsi="宋体" w:eastAsia="宋体" w:cs="宋体"/>
                <w:sz w:val="18"/>
                <w:szCs w:val="18"/>
              </w:rPr>
              <w:t>仪器设备管理</w:t>
            </w:r>
          </w:p>
        </w:tc>
        <w:tc>
          <w:tcPr>
            <w:tcW w:w="3354"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left"/>
              <w:textAlignment w:val="auto"/>
              <w:rPr>
                <w:rFonts w:hint="eastAsia" w:ascii="宋体" w:hAnsi="宋体" w:eastAsia="宋体" w:cs="宋体"/>
                <w:sz w:val="18"/>
                <w:szCs w:val="18"/>
              </w:rPr>
            </w:pPr>
            <w:r>
              <w:rPr>
                <w:rFonts w:hint="eastAsia" w:ascii="宋体" w:hAnsi="宋体" w:eastAsia="宋体" w:cs="宋体"/>
                <w:sz w:val="18"/>
                <w:szCs w:val="18"/>
              </w:rPr>
              <w:t>负责仪器设备校准/检定标识的粘贴、保管和发放、台账登记等工作，每缺漏一项扣0.5分（5分）。对于停用且状态正常的仪器，每3个月至少开机运行2次，缺少运行记录每台扣0.5分（2分）。</w:t>
            </w:r>
          </w:p>
        </w:tc>
        <w:tc>
          <w:tcPr>
            <w:tcW w:w="363"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c>
          <w:tcPr>
            <w:tcW w:w="628"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3" w:hRule="atLeast"/>
        </w:trPr>
        <w:tc>
          <w:tcPr>
            <w:tcW w:w="171" w:type="pct"/>
            <w:vMerge w:val="continue"/>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482"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sz w:val="18"/>
                <w:szCs w:val="18"/>
              </w:rPr>
            </w:pPr>
            <w:r>
              <w:rPr>
                <w:rFonts w:hint="eastAsia" w:ascii="宋体" w:hAnsi="宋体" w:eastAsia="宋体" w:cs="宋体"/>
                <w:sz w:val="18"/>
                <w:szCs w:val="18"/>
              </w:rPr>
              <w:t>仪器设备维护</w:t>
            </w:r>
          </w:p>
        </w:tc>
        <w:tc>
          <w:tcPr>
            <w:tcW w:w="3354"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left"/>
              <w:textAlignment w:val="auto"/>
              <w:rPr>
                <w:rFonts w:hint="eastAsia" w:ascii="宋体" w:hAnsi="宋体" w:eastAsia="宋体" w:cs="宋体"/>
                <w:sz w:val="18"/>
                <w:szCs w:val="18"/>
              </w:rPr>
            </w:pPr>
            <w:r>
              <w:rPr>
                <w:rFonts w:hint="eastAsia" w:ascii="宋体" w:hAnsi="宋体" w:eastAsia="宋体" w:cs="宋体"/>
                <w:sz w:val="18"/>
                <w:szCs w:val="18"/>
              </w:rPr>
              <w:t>负责仪器设备维护保养、校准、检查等工作，包括外出现场检修及根据相关标准规范要求的维护内容，如烟气传感器及时更换，大气采样器流量校准，水质流量仪保养、废气类监测仪器定期零点漂移检查等，保障仪器满足使用要求，出现一次因仪器维护不到位影响工作的扣1分（5分），配合仪器负责人开展仪器期间核查，缺漏一台扣0.5分（5分）。</w:t>
            </w:r>
          </w:p>
        </w:tc>
        <w:tc>
          <w:tcPr>
            <w:tcW w:w="363"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c>
          <w:tcPr>
            <w:tcW w:w="628"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6" w:hRule="atLeast"/>
        </w:trPr>
        <w:tc>
          <w:tcPr>
            <w:tcW w:w="171" w:type="pct"/>
            <w:vMerge w:val="continue"/>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482"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sz w:val="18"/>
                <w:szCs w:val="18"/>
              </w:rPr>
            </w:pPr>
            <w:r>
              <w:rPr>
                <w:rFonts w:hint="eastAsia" w:ascii="宋体" w:hAnsi="宋体" w:eastAsia="宋体" w:cs="宋体"/>
                <w:sz w:val="18"/>
                <w:szCs w:val="18"/>
              </w:rPr>
              <w:t>仪器房内务管理</w:t>
            </w:r>
          </w:p>
        </w:tc>
        <w:tc>
          <w:tcPr>
            <w:tcW w:w="3354"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left"/>
              <w:textAlignment w:val="auto"/>
              <w:rPr>
                <w:rFonts w:hint="eastAsia" w:ascii="宋体" w:hAnsi="宋体" w:eastAsia="宋体" w:cs="宋体"/>
                <w:sz w:val="18"/>
                <w:szCs w:val="18"/>
              </w:rPr>
            </w:pPr>
            <w:r>
              <w:rPr>
                <w:rFonts w:hint="eastAsia" w:ascii="宋体" w:hAnsi="宋体" w:eastAsia="宋体" w:cs="宋体"/>
                <w:sz w:val="18"/>
                <w:szCs w:val="18"/>
              </w:rPr>
              <w:t>1.保持工作环境的整洁，及时做好仪器设备的保洁、保养、归位、保证设备整齐，做好地面卫生工作（3分）。</w:t>
            </w:r>
          </w:p>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left"/>
              <w:textAlignment w:val="auto"/>
              <w:rPr>
                <w:rFonts w:hint="eastAsia" w:ascii="宋体" w:hAnsi="宋体" w:eastAsia="宋体" w:cs="宋体"/>
                <w:sz w:val="18"/>
                <w:szCs w:val="18"/>
              </w:rPr>
            </w:pPr>
            <w:r>
              <w:rPr>
                <w:rFonts w:hint="eastAsia" w:ascii="宋体" w:hAnsi="宋体" w:eastAsia="宋体" w:cs="宋体"/>
                <w:sz w:val="18"/>
                <w:szCs w:val="18"/>
              </w:rPr>
              <w:t>2.仪器分类存放，仪器房内物品摆放要有序、整齐、美观、标签醒目、易于查看，配合开展内审、各类外部检查的迎检工作（4分）。</w:t>
            </w:r>
          </w:p>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left"/>
              <w:textAlignment w:val="auto"/>
              <w:rPr>
                <w:rFonts w:hint="eastAsia" w:ascii="宋体" w:hAnsi="宋体" w:eastAsia="宋体" w:cs="宋体"/>
                <w:sz w:val="18"/>
                <w:szCs w:val="18"/>
              </w:rPr>
            </w:pPr>
            <w:r>
              <w:rPr>
                <w:rFonts w:hint="eastAsia" w:ascii="宋体" w:hAnsi="宋体" w:eastAsia="宋体" w:cs="宋体"/>
                <w:sz w:val="18"/>
                <w:szCs w:val="18"/>
              </w:rPr>
              <w:t>3.除污染源与应急监测室人员及运维公司有关工作人员外，其它人员不得擅自进入仪器房。外单位来人参观或学习，必须经科室负责人批准，并由专人陪同，否则每次扣1分（3分）。</w:t>
            </w:r>
          </w:p>
        </w:tc>
        <w:tc>
          <w:tcPr>
            <w:tcW w:w="363"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c>
          <w:tcPr>
            <w:tcW w:w="628" w:type="pct"/>
            <w:vAlign w:val="center"/>
          </w:tcPr>
          <w:p>
            <w:pPr>
              <w:numPr>
                <w:ilvl w:val="0"/>
                <w:numId w:val="0"/>
              </w:numPr>
              <w:adjustRightInd/>
              <w:snapToGrid/>
              <w:spacing w:line="240" w:lineRule="auto"/>
              <w:jc w:val="both"/>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171" w:type="pct"/>
            <w:vMerge w:val="continue"/>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482"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sz w:val="18"/>
                <w:szCs w:val="18"/>
              </w:rPr>
            </w:pPr>
            <w:r>
              <w:rPr>
                <w:rFonts w:hint="eastAsia" w:ascii="宋体" w:hAnsi="宋体" w:eastAsia="宋体" w:cs="宋体"/>
                <w:sz w:val="18"/>
                <w:szCs w:val="18"/>
              </w:rPr>
              <w:t>仪器房安全管理</w:t>
            </w:r>
          </w:p>
        </w:tc>
        <w:tc>
          <w:tcPr>
            <w:tcW w:w="3354"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left"/>
              <w:textAlignment w:val="auto"/>
              <w:rPr>
                <w:rFonts w:hint="eastAsia" w:ascii="宋体" w:hAnsi="宋体" w:eastAsia="宋体" w:cs="宋体"/>
                <w:sz w:val="18"/>
                <w:szCs w:val="18"/>
              </w:rPr>
            </w:pPr>
            <w:r>
              <w:rPr>
                <w:rFonts w:hint="eastAsia" w:ascii="宋体" w:hAnsi="宋体" w:eastAsia="宋体" w:cs="宋体"/>
                <w:sz w:val="18"/>
                <w:szCs w:val="18"/>
              </w:rPr>
              <w:t>每天认真检查水源、电源、气源、及时关闭门窗，甲方日常抽查时，每出现一个未落实的扣1分（5分），标准气体及气罐放在远离易燃易爆物品的安全地方，做好防火防盗防爆措施，每出现一个失误扣2分（4分）。</w:t>
            </w:r>
          </w:p>
        </w:tc>
        <w:tc>
          <w:tcPr>
            <w:tcW w:w="363"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c>
          <w:tcPr>
            <w:tcW w:w="628" w:type="pct"/>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71" w:type="pct"/>
            <w:vMerge w:val="continue"/>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482"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sz w:val="18"/>
                <w:szCs w:val="18"/>
              </w:rPr>
            </w:pPr>
            <w:r>
              <w:rPr>
                <w:rFonts w:hint="eastAsia" w:ascii="宋体" w:hAnsi="宋体" w:eastAsia="宋体" w:cs="宋体"/>
                <w:sz w:val="18"/>
                <w:szCs w:val="18"/>
              </w:rPr>
              <w:t>数据保密</w:t>
            </w:r>
          </w:p>
        </w:tc>
        <w:tc>
          <w:tcPr>
            <w:tcW w:w="3354"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left"/>
              <w:textAlignment w:val="auto"/>
              <w:rPr>
                <w:rFonts w:hint="eastAsia" w:ascii="宋体" w:hAnsi="宋体" w:eastAsia="宋体" w:cs="宋体"/>
                <w:sz w:val="18"/>
                <w:szCs w:val="18"/>
              </w:rPr>
            </w:pPr>
            <w:r>
              <w:rPr>
                <w:rFonts w:hint="eastAsia" w:ascii="宋体" w:hAnsi="宋体" w:eastAsia="宋体" w:cs="宋体"/>
                <w:sz w:val="18"/>
                <w:szCs w:val="18"/>
              </w:rPr>
              <w:t>不论何时，乙方都应承担监测数据的保密责任，均不得以任何方式和渠道向外界传递任何监测数据，每出现一次扣5分（5分）。</w:t>
            </w:r>
          </w:p>
        </w:tc>
        <w:tc>
          <w:tcPr>
            <w:tcW w:w="363"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c>
          <w:tcPr>
            <w:tcW w:w="628" w:type="pct"/>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171" w:type="pct"/>
            <w:vMerge w:val="continue"/>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482"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sz w:val="18"/>
                <w:szCs w:val="18"/>
              </w:rPr>
            </w:pPr>
            <w:r>
              <w:rPr>
                <w:rFonts w:hint="eastAsia" w:ascii="宋体" w:hAnsi="宋体" w:eastAsia="宋体" w:cs="宋体"/>
                <w:sz w:val="18"/>
                <w:szCs w:val="18"/>
              </w:rPr>
              <w:t>记录</w:t>
            </w:r>
          </w:p>
        </w:tc>
        <w:tc>
          <w:tcPr>
            <w:tcW w:w="3354"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left"/>
              <w:textAlignment w:val="auto"/>
              <w:rPr>
                <w:rFonts w:hint="eastAsia" w:ascii="宋体" w:hAnsi="宋体" w:eastAsia="宋体" w:cs="宋体"/>
                <w:sz w:val="18"/>
                <w:szCs w:val="18"/>
              </w:rPr>
            </w:pPr>
            <w:r>
              <w:rPr>
                <w:rFonts w:hint="eastAsia" w:ascii="宋体" w:hAnsi="宋体" w:eastAsia="宋体" w:cs="宋体"/>
                <w:sz w:val="18"/>
                <w:szCs w:val="18"/>
              </w:rPr>
              <w:t>按规范要求做好日常相关记录表格，每月交一次所有记录给甲方审查，每缺一份记录扣1</w:t>
            </w:r>
            <w:r>
              <w:rPr>
                <w:rFonts w:hint="eastAsia" w:ascii="宋体" w:hAnsi="宋体" w:eastAsia="宋体" w:cs="宋体"/>
                <w:sz w:val="18"/>
                <w:szCs w:val="18"/>
                <w:lang w:val="en-US" w:eastAsia="zh-CN"/>
              </w:rPr>
              <w:t>份</w:t>
            </w:r>
            <w:r>
              <w:rPr>
                <w:rFonts w:hint="eastAsia" w:ascii="宋体" w:hAnsi="宋体" w:eastAsia="宋体" w:cs="宋体"/>
                <w:sz w:val="18"/>
                <w:szCs w:val="18"/>
              </w:rPr>
              <w:t>（5分）。甲方可随时抽查记录内容，乙方须及时提供，不得阻挠、拖延、伪造，对内容不全的记录，每份扣0.5分（5分）。</w:t>
            </w:r>
          </w:p>
        </w:tc>
        <w:tc>
          <w:tcPr>
            <w:tcW w:w="363"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c>
          <w:tcPr>
            <w:tcW w:w="628"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trPr>
        <w:tc>
          <w:tcPr>
            <w:tcW w:w="171" w:type="pct"/>
            <w:vMerge w:val="continue"/>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482"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sz w:val="18"/>
                <w:szCs w:val="18"/>
              </w:rPr>
            </w:pPr>
            <w:r>
              <w:rPr>
                <w:rFonts w:hint="eastAsia" w:ascii="宋体" w:hAnsi="宋体" w:eastAsia="宋体" w:cs="宋体"/>
                <w:sz w:val="18"/>
                <w:szCs w:val="18"/>
              </w:rPr>
              <w:t>废弃物与废液处置</w:t>
            </w:r>
          </w:p>
        </w:tc>
        <w:tc>
          <w:tcPr>
            <w:tcW w:w="3354"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left"/>
              <w:textAlignment w:val="auto"/>
              <w:rPr>
                <w:rFonts w:hint="eastAsia" w:ascii="宋体" w:hAnsi="宋体" w:eastAsia="宋体" w:cs="宋体"/>
                <w:sz w:val="18"/>
                <w:szCs w:val="18"/>
              </w:rPr>
            </w:pPr>
            <w:r>
              <w:rPr>
                <w:rFonts w:hint="eastAsia" w:ascii="宋体" w:hAnsi="宋体" w:eastAsia="宋体" w:cs="宋体"/>
                <w:sz w:val="18"/>
                <w:szCs w:val="18"/>
              </w:rPr>
              <w:t>按照国家相关规定对仪器维护保养产生的废弃物和废液进行分类收集、标识和处置，不得超标排放未经处理的废弃物与废液，每出现一次扣1分（5分）。</w:t>
            </w:r>
          </w:p>
        </w:tc>
        <w:tc>
          <w:tcPr>
            <w:tcW w:w="363"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c>
          <w:tcPr>
            <w:tcW w:w="628" w:type="pct"/>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3" w:hRule="atLeast"/>
        </w:trPr>
        <w:tc>
          <w:tcPr>
            <w:tcW w:w="171" w:type="pct"/>
            <w:vMerge w:val="continue"/>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482"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sz w:val="18"/>
                <w:szCs w:val="18"/>
              </w:rPr>
            </w:pPr>
            <w:r>
              <w:rPr>
                <w:rFonts w:hint="eastAsia" w:ascii="宋体" w:hAnsi="宋体" w:eastAsia="宋体" w:cs="宋体"/>
                <w:sz w:val="18"/>
                <w:szCs w:val="18"/>
              </w:rPr>
              <w:t>资产管理维护</w:t>
            </w:r>
          </w:p>
        </w:tc>
        <w:tc>
          <w:tcPr>
            <w:tcW w:w="3354"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left"/>
              <w:textAlignment w:val="auto"/>
              <w:rPr>
                <w:rFonts w:hint="eastAsia" w:ascii="宋体" w:hAnsi="宋体" w:eastAsia="宋体" w:cs="宋体"/>
                <w:sz w:val="18"/>
                <w:szCs w:val="18"/>
              </w:rPr>
            </w:pPr>
            <w:r>
              <w:rPr>
                <w:rFonts w:hint="eastAsia" w:ascii="宋体" w:hAnsi="宋体" w:eastAsia="宋体" w:cs="宋体"/>
                <w:sz w:val="18"/>
                <w:szCs w:val="18"/>
              </w:rPr>
              <w:t>按时、按质、按量协助甲方工作人员做好固定资产的清查、规整、标识等工作，每丢失一台仪器扣5分（5分），同时自费购置同品牌同型号（或最新型号）仪器赔偿给甲方；甲方布置的工作，未按照要求完成，造成严重后果的，追究乙方责任（5分）。</w:t>
            </w:r>
          </w:p>
        </w:tc>
        <w:tc>
          <w:tcPr>
            <w:tcW w:w="363"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c>
          <w:tcPr>
            <w:tcW w:w="628" w:type="pct"/>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171" w:type="pct"/>
            <w:vMerge w:val="restart"/>
            <w:vAlign w:val="center"/>
          </w:tcPr>
          <w:p>
            <w:pPr>
              <w:adjustRightInd/>
              <w:snapToGrid/>
              <w:spacing w:line="240" w:lineRule="auto"/>
              <w:ind w:firstLine="0" w:firstLineChars="0"/>
              <w:jc w:val="center"/>
              <w:rPr>
                <w:rFonts w:hint="eastAsia" w:ascii="宋体" w:hAnsi="宋体" w:eastAsia="宋体" w:cs="宋体"/>
                <w:sz w:val="18"/>
                <w:szCs w:val="18"/>
              </w:rPr>
            </w:pPr>
            <w:r>
              <w:rPr>
                <w:rFonts w:hint="eastAsia" w:ascii="宋体" w:hAnsi="宋体" w:eastAsia="宋体" w:cs="宋体"/>
                <w:sz w:val="18"/>
                <w:szCs w:val="18"/>
              </w:rPr>
              <w:t>服务</w:t>
            </w:r>
          </w:p>
          <w:p>
            <w:pPr>
              <w:adjustRightInd/>
              <w:snapToGrid/>
              <w:spacing w:line="240" w:lineRule="auto"/>
              <w:ind w:firstLine="0" w:firstLineChars="0"/>
              <w:jc w:val="center"/>
              <w:rPr>
                <w:rFonts w:hint="eastAsia" w:ascii="宋体" w:hAnsi="宋体" w:eastAsia="宋体" w:cs="宋体"/>
                <w:sz w:val="18"/>
                <w:szCs w:val="18"/>
              </w:rPr>
            </w:pPr>
            <w:r>
              <w:rPr>
                <w:rFonts w:hint="eastAsia" w:ascii="宋体" w:hAnsi="宋体" w:eastAsia="宋体" w:cs="宋体"/>
                <w:sz w:val="18"/>
                <w:szCs w:val="18"/>
              </w:rPr>
              <w:t>质量</w:t>
            </w:r>
          </w:p>
        </w:tc>
        <w:tc>
          <w:tcPr>
            <w:tcW w:w="482"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sz w:val="18"/>
                <w:szCs w:val="18"/>
              </w:rPr>
            </w:pPr>
            <w:r>
              <w:rPr>
                <w:rFonts w:hint="eastAsia" w:ascii="宋体" w:hAnsi="宋体" w:eastAsia="宋体" w:cs="宋体"/>
                <w:sz w:val="18"/>
                <w:szCs w:val="18"/>
              </w:rPr>
              <w:t>完好率</w:t>
            </w:r>
          </w:p>
        </w:tc>
        <w:tc>
          <w:tcPr>
            <w:tcW w:w="3354"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left"/>
              <w:textAlignment w:val="auto"/>
              <w:rPr>
                <w:rFonts w:hint="eastAsia" w:ascii="宋体" w:hAnsi="宋体" w:eastAsia="宋体" w:cs="宋体"/>
                <w:sz w:val="18"/>
                <w:szCs w:val="18"/>
              </w:rPr>
            </w:pPr>
            <w:r>
              <w:rPr>
                <w:rFonts w:hint="eastAsia" w:ascii="宋体" w:hAnsi="宋体" w:eastAsia="宋体" w:cs="宋体"/>
                <w:sz w:val="18"/>
                <w:szCs w:val="18"/>
              </w:rPr>
              <w:t>所辖设备完好率不低于90％时不扣分；低于90％时，每降低1%扣1分，直至该项分值扣完为止。</w:t>
            </w:r>
          </w:p>
        </w:tc>
        <w:tc>
          <w:tcPr>
            <w:tcW w:w="363"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c>
          <w:tcPr>
            <w:tcW w:w="628" w:type="pct"/>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171" w:type="pct"/>
            <w:vMerge w:val="continue"/>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482"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宋体" w:hAnsi="宋体" w:eastAsia="宋体" w:cs="宋体"/>
                <w:sz w:val="18"/>
                <w:szCs w:val="18"/>
              </w:rPr>
            </w:pPr>
            <w:r>
              <w:rPr>
                <w:rFonts w:hint="eastAsia" w:ascii="宋体" w:hAnsi="宋体" w:eastAsia="宋体" w:cs="宋体"/>
                <w:sz w:val="18"/>
                <w:szCs w:val="18"/>
              </w:rPr>
              <w:t>通过率</w:t>
            </w:r>
          </w:p>
        </w:tc>
        <w:tc>
          <w:tcPr>
            <w:tcW w:w="3354" w:type="pct"/>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left"/>
              <w:textAlignment w:val="auto"/>
              <w:rPr>
                <w:rFonts w:hint="eastAsia" w:ascii="宋体" w:hAnsi="宋体" w:eastAsia="宋体" w:cs="宋体"/>
                <w:sz w:val="18"/>
                <w:szCs w:val="18"/>
              </w:rPr>
            </w:pPr>
            <w:r>
              <w:rPr>
                <w:rFonts w:hint="eastAsia" w:ascii="宋体" w:hAnsi="宋体" w:eastAsia="宋体" w:cs="宋体"/>
                <w:sz w:val="18"/>
                <w:szCs w:val="18"/>
              </w:rPr>
              <w:t>所辖完好设备检定（校准）通过率100%时不扣分，否则每降低1%扣1分，直至该项分值扣完为止。</w:t>
            </w:r>
          </w:p>
        </w:tc>
        <w:tc>
          <w:tcPr>
            <w:tcW w:w="363"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c>
          <w:tcPr>
            <w:tcW w:w="628"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trPr>
        <w:tc>
          <w:tcPr>
            <w:tcW w:w="4007" w:type="pct"/>
            <w:gridSpan w:val="3"/>
            <w:vAlign w:val="center"/>
          </w:tcPr>
          <w:p>
            <w:pPr>
              <w:adjustRightInd/>
              <w:snapToGrid/>
              <w:spacing w:line="240" w:lineRule="auto"/>
              <w:ind w:firstLine="0" w:firstLineChars="0"/>
              <w:jc w:val="center"/>
              <w:rPr>
                <w:rFonts w:hint="eastAsia" w:ascii="宋体" w:hAnsi="宋体" w:eastAsia="宋体" w:cs="宋体"/>
                <w:sz w:val="18"/>
                <w:szCs w:val="18"/>
              </w:rPr>
            </w:pPr>
            <w:r>
              <w:rPr>
                <w:rFonts w:hint="eastAsia" w:ascii="宋体" w:hAnsi="宋体" w:eastAsia="宋体" w:cs="宋体"/>
                <w:sz w:val="18"/>
                <w:szCs w:val="18"/>
              </w:rPr>
              <w:t>合计</w:t>
            </w:r>
          </w:p>
        </w:tc>
        <w:tc>
          <w:tcPr>
            <w:tcW w:w="363" w:type="pct"/>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p>
        </w:tc>
        <w:tc>
          <w:tcPr>
            <w:tcW w:w="628" w:type="pct"/>
            <w:vAlign w:val="center"/>
          </w:tcPr>
          <w:p>
            <w:pPr>
              <w:adjustRightInd/>
              <w:snapToGrid/>
              <w:spacing w:line="240" w:lineRule="auto"/>
              <w:ind w:firstLine="0" w:firstLineChars="0"/>
              <w:jc w:val="center"/>
              <w:rPr>
                <w:rFonts w:hint="eastAsia" w:ascii="宋体" w:hAnsi="宋体" w:eastAsia="宋体" w:cs="宋体"/>
                <w:sz w:val="18"/>
                <w:szCs w:val="18"/>
              </w:rPr>
            </w:pPr>
          </w:p>
        </w:tc>
      </w:tr>
    </w:tbl>
    <w:p>
      <w:pPr>
        <w:pStyle w:val="8"/>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考核时段：                                考核人：</w:t>
      </w:r>
      <w:r>
        <w:rPr>
          <w:rFonts w:hint="eastAsia" w:ascii="宋体" w:hAnsi="宋体" w:cs="宋体"/>
          <w:kern w:val="2"/>
          <w:sz w:val="21"/>
          <w:szCs w:val="21"/>
          <w:lang w:val="en-US" w:eastAsia="zh-CN" w:bidi="ar-SA"/>
        </w:rPr>
        <w:t xml:space="preserve">            </w:t>
      </w:r>
      <w:r>
        <w:rPr>
          <w:rFonts w:hint="eastAsia" w:cs="宋体"/>
          <w:kern w:val="2"/>
          <w:sz w:val="21"/>
          <w:szCs w:val="21"/>
          <w:lang w:val="en-US" w:eastAsia="zh-CN" w:bidi="ar-SA"/>
        </w:rPr>
        <w:t xml:space="preserve">  </w:t>
      </w:r>
      <w:r>
        <w:rPr>
          <w:rFonts w:hint="eastAsia" w:ascii="宋体" w:hAnsi="宋体" w:cs="宋体"/>
          <w:kern w:val="2"/>
          <w:sz w:val="21"/>
          <w:szCs w:val="21"/>
          <w:lang w:val="en-US" w:eastAsia="zh-CN" w:bidi="ar-SA"/>
        </w:rPr>
        <w:t xml:space="preserve">     </w:t>
      </w:r>
      <w:r>
        <w:rPr>
          <w:rFonts w:hint="eastAsia" w:cs="宋体"/>
          <w:kern w:val="2"/>
          <w:sz w:val="21"/>
          <w:szCs w:val="21"/>
          <w:lang w:val="en-US" w:eastAsia="zh-CN" w:bidi="ar-SA"/>
        </w:rPr>
        <w:t xml:space="preserve">  </w:t>
      </w:r>
      <w:r>
        <w:rPr>
          <w:rFonts w:hint="eastAsia" w:ascii="宋体" w:hAnsi="宋体" w:eastAsia="宋体" w:cs="宋体"/>
          <w:kern w:val="2"/>
          <w:sz w:val="21"/>
          <w:szCs w:val="21"/>
          <w:lang w:val="en-US" w:eastAsia="zh-CN" w:bidi="ar-SA"/>
        </w:rPr>
        <w:t>考核时间</w:t>
      </w:r>
      <w:r>
        <w:rPr>
          <w:rFonts w:hint="eastAsia" w:ascii="宋体" w:hAnsi="宋体" w:cs="宋体"/>
          <w:kern w:val="2"/>
          <w:sz w:val="21"/>
          <w:szCs w:val="21"/>
          <w:lang w:val="en-US" w:eastAsia="zh-CN" w:bidi="ar-SA"/>
        </w:rPr>
        <w:t>：</w:t>
      </w:r>
    </w:p>
    <w:p>
      <w:pPr>
        <w:tabs>
          <w:tab w:val="left" w:pos="0"/>
        </w:tabs>
        <w:adjustRightInd/>
        <w:snapToGrid/>
        <w:spacing w:line="600" w:lineRule="exact"/>
        <w:ind w:firstLine="0" w:firstLineChars="0"/>
        <w:jc w:val="left"/>
        <w:rPr>
          <w:rFonts w:hint="eastAsia" w:ascii="宋体" w:hAnsi="宋体" w:eastAsia="宋体" w:cs="宋体"/>
          <w:b w:val="0"/>
          <w:bCs w:val="0"/>
          <w:sz w:val="30"/>
          <w:szCs w:val="30"/>
          <w:lang w:val="en-US" w:eastAsia="zh-CN"/>
        </w:rPr>
      </w:pPr>
      <w:r>
        <w:rPr>
          <w:rFonts w:hint="eastAsia" w:ascii="宋体" w:hAnsi="宋体" w:eastAsia="宋体" w:cs="宋体"/>
          <w:b w:val="0"/>
          <w:bCs w:val="0"/>
          <w:sz w:val="30"/>
          <w:szCs w:val="30"/>
          <w:lang w:val="en-US" w:eastAsia="zh-CN"/>
        </w:rPr>
        <w:t>附件2.</w:t>
      </w:r>
    </w:p>
    <w:p>
      <w:pPr>
        <w:tabs>
          <w:tab w:val="left" w:pos="0"/>
        </w:tabs>
        <w:adjustRightInd/>
        <w:snapToGrid/>
        <w:spacing w:line="600" w:lineRule="exact"/>
        <w:ind w:firstLine="0" w:firstLineChars="0"/>
        <w:jc w:val="center"/>
        <w:rPr>
          <w:rFonts w:hint="eastAsia" w:ascii="宋体" w:hAnsi="宋体" w:eastAsia="宋体" w:cs="宋体"/>
          <w:sz w:val="36"/>
          <w:szCs w:val="36"/>
        </w:rPr>
      </w:pPr>
      <w:r>
        <w:rPr>
          <w:rFonts w:hint="eastAsia" w:ascii="宋体" w:hAnsi="宋体" w:eastAsia="宋体" w:cs="宋体"/>
          <w:sz w:val="36"/>
          <w:szCs w:val="36"/>
          <w:lang w:val="en-US" w:eastAsia="zh-CN"/>
        </w:rPr>
        <w:t>实验室辅助设施维护管理</w:t>
      </w:r>
      <w:r>
        <w:rPr>
          <w:rFonts w:hint="eastAsia" w:ascii="宋体" w:hAnsi="宋体" w:eastAsia="宋体" w:cs="宋体"/>
          <w:sz w:val="36"/>
          <w:szCs w:val="36"/>
        </w:rPr>
        <w:t>服务考核表</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3"/>
        <w:gridCol w:w="726"/>
        <w:gridCol w:w="3848"/>
        <w:gridCol w:w="778"/>
        <w:gridCol w:w="2205"/>
        <w:gridCol w:w="779"/>
        <w:gridCol w:w="1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247" w:type="pct"/>
            <w:noWrap w:val="0"/>
            <w:vAlign w:val="center"/>
          </w:tcPr>
          <w:p>
            <w:pPr>
              <w:adjustRightInd/>
              <w:snapToGrid/>
              <w:spacing w:line="240" w:lineRule="auto"/>
              <w:ind w:firstLine="0" w:firstLineChars="0"/>
              <w:jc w:val="center"/>
              <w:rPr>
                <w:rFonts w:hint="eastAsia" w:ascii="宋体" w:hAnsi="宋体" w:eastAsia="宋体" w:cs="宋体"/>
                <w:b/>
                <w:bCs/>
                <w:sz w:val="18"/>
                <w:szCs w:val="18"/>
              </w:rPr>
            </w:pPr>
            <w:r>
              <w:rPr>
                <w:rFonts w:hint="eastAsia" w:ascii="宋体" w:hAnsi="宋体" w:eastAsia="宋体" w:cs="宋体"/>
                <w:b/>
                <w:bCs/>
                <w:sz w:val="18"/>
                <w:szCs w:val="18"/>
              </w:rPr>
              <w:t>序号</w:t>
            </w:r>
          </w:p>
        </w:tc>
        <w:tc>
          <w:tcPr>
            <w:tcW w:w="364" w:type="pct"/>
            <w:noWrap w:val="0"/>
            <w:vAlign w:val="center"/>
          </w:tcPr>
          <w:p>
            <w:pPr>
              <w:adjustRightInd/>
              <w:snapToGrid/>
              <w:spacing w:line="240" w:lineRule="auto"/>
              <w:ind w:firstLine="0" w:firstLineChars="0"/>
              <w:jc w:val="center"/>
              <w:rPr>
                <w:rFonts w:hint="eastAsia" w:ascii="宋体" w:hAnsi="宋体" w:eastAsia="宋体" w:cs="宋体"/>
                <w:b/>
                <w:bCs/>
                <w:sz w:val="18"/>
                <w:szCs w:val="18"/>
                <w:lang w:eastAsia="zh-CN"/>
              </w:rPr>
            </w:pPr>
            <w:r>
              <w:rPr>
                <w:rFonts w:hint="eastAsia" w:ascii="宋体" w:hAnsi="宋体" w:eastAsia="宋体" w:cs="宋体"/>
                <w:b/>
                <w:bCs/>
                <w:sz w:val="18"/>
                <w:szCs w:val="18"/>
                <w:lang w:val="en-US" w:eastAsia="zh-CN"/>
              </w:rPr>
              <w:t>类别</w:t>
            </w:r>
          </w:p>
        </w:tc>
        <w:tc>
          <w:tcPr>
            <w:tcW w:w="1932" w:type="pct"/>
            <w:noWrap w:val="0"/>
            <w:vAlign w:val="center"/>
          </w:tcPr>
          <w:p>
            <w:pPr>
              <w:adjustRightInd/>
              <w:snapToGrid/>
              <w:spacing w:line="240" w:lineRule="auto"/>
              <w:ind w:firstLine="0" w:firstLineChars="0"/>
              <w:jc w:val="center"/>
              <w:rPr>
                <w:rFonts w:hint="eastAsia" w:ascii="宋体" w:hAnsi="宋体" w:eastAsia="宋体" w:cs="宋体"/>
                <w:b/>
                <w:bCs/>
                <w:sz w:val="18"/>
                <w:szCs w:val="18"/>
              </w:rPr>
            </w:pPr>
            <w:r>
              <w:rPr>
                <w:rFonts w:hint="eastAsia" w:ascii="宋体" w:hAnsi="宋体" w:eastAsia="宋体" w:cs="宋体"/>
                <w:b/>
                <w:bCs/>
                <w:sz w:val="18"/>
                <w:szCs w:val="18"/>
              </w:rPr>
              <w:t>考核内容</w:t>
            </w:r>
          </w:p>
        </w:tc>
        <w:tc>
          <w:tcPr>
            <w:tcW w:w="390" w:type="pct"/>
            <w:noWrap w:val="0"/>
            <w:vAlign w:val="center"/>
          </w:tcPr>
          <w:p>
            <w:pPr>
              <w:adjustRightInd/>
              <w:snapToGrid/>
              <w:spacing w:line="240" w:lineRule="auto"/>
              <w:ind w:firstLine="0" w:firstLineChars="0"/>
              <w:jc w:val="center"/>
              <w:rPr>
                <w:rFonts w:hint="eastAsia" w:ascii="宋体" w:hAnsi="宋体" w:eastAsia="宋体" w:cs="宋体"/>
                <w:b/>
                <w:bCs/>
                <w:sz w:val="18"/>
                <w:szCs w:val="18"/>
              </w:rPr>
            </w:pPr>
            <w:r>
              <w:rPr>
                <w:rFonts w:hint="eastAsia" w:ascii="宋体" w:hAnsi="宋体" w:eastAsia="宋体" w:cs="宋体"/>
                <w:b/>
                <w:bCs/>
                <w:sz w:val="18"/>
                <w:szCs w:val="18"/>
              </w:rPr>
              <w:t>分值（分）</w:t>
            </w:r>
          </w:p>
        </w:tc>
        <w:tc>
          <w:tcPr>
            <w:tcW w:w="1107" w:type="pct"/>
            <w:noWrap w:val="0"/>
            <w:vAlign w:val="center"/>
          </w:tcPr>
          <w:p>
            <w:pPr>
              <w:adjustRightInd/>
              <w:snapToGrid/>
              <w:spacing w:line="240" w:lineRule="auto"/>
              <w:ind w:firstLine="0" w:firstLineChars="0"/>
              <w:jc w:val="center"/>
              <w:rPr>
                <w:rFonts w:hint="eastAsia" w:ascii="宋体" w:hAnsi="宋体" w:eastAsia="宋体" w:cs="宋体"/>
                <w:b/>
                <w:bCs/>
                <w:sz w:val="18"/>
                <w:szCs w:val="18"/>
              </w:rPr>
            </w:pPr>
            <w:r>
              <w:rPr>
                <w:rFonts w:hint="eastAsia" w:ascii="宋体" w:hAnsi="宋体" w:eastAsia="宋体" w:cs="宋体"/>
                <w:b/>
                <w:bCs/>
                <w:sz w:val="18"/>
                <w:szCs w:val="18"/>
              </w:rPr>
              <w:t>评分细则</w:t>
            </w:r>
          </w:p>
        </w:tc>
        <w:tc>
          <w:tcPr>
            <w:tcW w:w="391" w:type="pct"/>
            <w:noWrap w:val="0"/>
            <w:vAlign w:val="center"/>
          </w:tcPr>
          <w:p>
            <w:pPr>
              <w:adjustRightInd/>
              <w:snapToGrid/>
              <w:spacing w:line="240" w:lineRule="auto"/>
              <w:ind w:firstLine="0" w:firstLineChars="0"/>
              <w:jc w:val="center"/>
              <w:rPr>
                <w:rFonts w:hint="eastAsia" w:ascii="宋体" w:hAnsi="宋体" w:eastAsia="宋体" w:cs="宋体"/>
                <w:b/>
                <w:bCs/>
                <w:sz w:val="18"/>
                <w:szCs w:val="18"/>
              </w:rPr>
            </w:pPr>
            <w:r>
              <w:rPr>
                <w:rFonts w:hint="eastAsia" w:ascii="宋体" w:hAnsi="宋体" w:eastAsia="宋体" w:cs="宋体"/>
                <w:b/>
                <w:bCs/>
                <w:sz w:val="18"/>
                <w:szCs w:val="18"/>
              </w:rPr>
              <w:t>得分（分）</w:t>
            </w:r>
          </w:p>
        </w:tc>
        <w:tc>
          <w:tcPr>
            <w:tcW w:w="565" w:type="pct"/>
            <w:noWrap w:val="0"/>
            <w:vAlign w:val="center"/>
          </w:tcPr>
          <w:p>
            <w:pPr>
              <w:adjustRightInd/>
              <w:snapToGrid/>
              <w:spacing w:line="240" w:lineRule="auto"/>
              <w:ind w:firstLine="0" w:firstLineChars="0"/>
              <w:jc w:val="center"/>
              <w:rPr>
                <w:rFonts w:hint="eastAsia" w:ascii="宋体" w:hAnsi="宋体" w:eastAsia="宋体" w:cs="宋体"/>
                <w:b/>
                <w:bCs/>
                <w:sz w:val="18"/>
                <w:szCs w:val="18"/>
              </w:rPr>
            </w:pPr>
            <w:r>
              <w:rPr>
                <w:rFonts w:hint="eastAsia" w:ascii="宋体" w:hAnsi="宋体" w:eastAsia="宋体" w:cs="宋体"/>
                <w:b/>
                <w:bCs/>
                <w:sz w:val="18"/>
                <w:szCs w:val="1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1" w:hRule="atLeast"/>
          <w:jc w:val="center"/>
        </w:trPr>
        <w:tc>
          <w:tcPr>
            <w:tcW w:w="247" w:type="pct"/>
            <w:vMerge w:val="restar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1</w:t>
            </w:r>
          </w:p>
        </w:tc>
        <w:tc>
          <w:tcPr>
            <w:tcW w:w="364" w:type="pct"/>
            <w:vMerge w:val="restar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服务质量</w:t>
            </w:r>
          </w:p>
        </w:tc>
        <w:tc>
          <w:tcPr>
            <w:tcW w:w="1932" w:type="pct"/>
            <w:noWrap w:val="0"/>
            <w:vAlign w:val="center"/>
          </w:tcPr>
          <w:p>
            <w:pPr>
              <w:adjustRightInd/>
              <w:snapToGrid/>
              <w:spacing w:line="240" w:lineRule="auto"/>
              <w:ind w:firstLine="0" w:firstLineChars="0"/>
              <w:jc w:val="left"/>
              <w:rPr>
                <w:rFonts w:hint="eastAsia" w:ascii="宋体" w:hAnsi="宋体" w:eastAsia="宋体" w:cs="宋体"/>
                <w:sz w:val="18"/>
                <w:szCs w:val="18"/>
                <w:lang w:val="en-US" w:eastAsia="zh-CN"/>
              </w:rPr>
            </w:pPr>
            <w:r>
              <w:rPr>
                <w:rFonts w:hint="eastAsia" w:ascii="宋体" w:hAnsi="宋体" w:eastAsia="宋体" w:cs="宋体"/>
                <w:b/>
                <w:bCs/>
                <w:sz w:val="18"/>
                <w:szCs w:val="18"/>
                <w:lang w:val="en-US" w:eastAsia="zh-CN"/>
              </w:rPr>
              <w:t>实验区域：</w:t>
            </w:r>
            <w:r>
              <w:rPr>
                <w:rFonts w:hint="eastAsia" w:ascii="宋体" w:hAnsi="宋体" w:eastAsia="宋体" w:cs="宋体"/>
                <w:kern w:val="2"/>
                <w:sz w:val="18"/>
                <w:szCs w:val="18"/>
                <w:lang w:val="en-US" w:eastAsia="zh-CN" w:bidi="ar-SA"/>
              </w:rPr>
              <w:t>对实验区域内各类实验室器皿进行前后处理，确保器皿清洁，符合实验使用标准；对实验区域内专业设备及其附属设施进行维护保养等专业管理服务，及时清理垃圾，确保区域整体干净整洁、无积尘、无污迹、无杂物、无积水。</w:t>
            </w:r>
          </w:p>
        </w:tc>
        <w:tc>
          <w:tcPr>
            <w:tcW w:w="390" w:type="pct"/>
            <w:noWrap w:val="0"/>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10</w:t>
            </w:r>
          </w:p>
        </w:tc>
        <w:tc>
          <w:tcPr>
            <w:tcW w:w="1107" w:type="pct"/>
            <w:vMerge w:val="restar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若服务区域内存在死角、灰尘、积水、污渍等任一情况，或被反馈垃圾清理不及时等情况，发现一处扣2分，每个区域最高扣10分</w:t>
            </w:r>
          </w:p>
        </w:tc>
        <w:tc>
          <w:tcPr>
            <w:tcW w:w="391"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565"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4" w:hRule="atLeast"/>
          <w:jc w:val="center"/>
        </w:trPr>
        <w:tc>
          <w:tcPr>
            <w:tcW w:w="247" w:type="pct"/>
            <w:vMerge w:val="continue"/>
            <w:noWrap w:val="0"/>
            <w:vAlign w:val="top"/>
          </w:tcPr>
          <w:p>
            <w:pPr>
              <w:adjustRightInd/>
              <w:snapToGrid/>
              <w:spacing w:line="240" w:lineRule="auto"/>
              <w:ind w:firstLine="0" w:firstLineChars="0"/>
              <w:jc w:val="left"/>
              <w:rPr>
                <w:rFonts w:hint="eastAsia" w:ascii="宋体" w:hAnsi="宋体" w:eastAsia="宋体" w:cs="宋体"/>
                <w:sz w:val="18"/>
                <w:szCs w:val="18"/>
              </w:rPr>
            </w:pPr>
          </w:p>
        </w:tc>
        <w:tc>
          <w:tcPr>
            <w:tcW w:w="364" w:type="pct"/>
            <w:vMerge w:val="continue"/>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1932" w:type="pct"/>
            <w:noWrap w:val="0"/>
            <w:vAlign w:val="center"/>
          </w:tcPr>
          <w:p>
            <w:pPr>
              <w:adjustRightInd/>
              <w:snapToGrid/>
              <w:spacing w:line="240" w:lineRule="auto"/>
              <w:ind w:firstLine="0" w:firstLineChars="0"/>
              <w:jc w:val="left"/>
              <w:rPr>
                <w:rFonts w:hint="eastAsia" w:ascii="宋体" w:hAnsi="宋体" w:eastAsia="宋体" w:cs="宋体"/>
                <w:sz w:val="18"/>
                <w:szCs w:val="18"/>
                <w:lang w:val="en-US" w:eastAsia="zh-CN"/>
              </w:rPr>
            </w:pPr>
            <w:r>
              <w:rPr>
                <w:rFonts w:hint="eastAsia" w:ascii="宋体" w:hAnsi="宋体" w:eastAsia="宋体" w:cs="宋体"/>
                <w:b/>
                <w:bCs/>
                <w:kern w:val="2"/>
                <w:sz w:val="18"/>
                <w:szCs w:val="18"/>
                <w:lang w:val="en-US" w:eastAsia="zh-CN" w:bidi="ar-SA"/>
              </w:rPr>
              <w:t>仓储区域：</w:t>
            </w:r>
            <w:r>
              <w:rPr>
                <w:rFonts w:hint="eastAsia" w:ascii="宋体" w:hAnsi="宋体" w:eastAsia="宋体" w:cs="宋体"/>
                <w:kern w:val="2"/>
                <w:sz w:val="18"/>
                <w:szCs w:val="18"/>
                <w:lang w:val="en-US" w:eastAsia="zh-CN" w:bidi="ar-SA"/>
              </w:rPr>
              <w:t>对仓储区域内各类物品、专业设备及其附属设施进行维护保养等专业管理服务，及时清理垃圾，确保区域整体干净整洁、无积尘、无污迹、无杂物、无积水。</w:t>
            </w:r>
          </w:p>
        </w:tc>
        <w:tc>
          <w:tcPr>
            <w:tcW w:w="390" w:type="pct"/>
            <w:noWrap w:val="0"/>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10</w:t>
            </w:r>
          </w:p>
        </w:tc>
        <w:tc>
          <w:tcPr>
            <w:tcW w:w="1107" w:type="pct"/>
            <w:vMerge w:val="continue"/>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p>
        </w:tc>
        <w:tc>
          <w:tcPr>
            <w:tcW w:w="391"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565"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jc w:val="center"/>
        </w:trPr>
        <w:tc>
          <w:tcPr>
            <w:tcW w:w="247" w:type="pct"/>
            <w:vMerge w:val="continue"/>
            <w:noWrap w:val="0"/>
            <w:vAlign w:val="top"/>
          </w:tcPr>
          <w:p>
            <w:pPr>
              <w:adjustRightInd/>
              <w:snapToGrid/>
              <w:spacing w:line="240" w:lineRule="auto"/>
              <w:ind w:firstLine="0" w:firstLineChars="0"/>
              <w:jc w:val="left"/>
              <w:rPr>
                <w:rFonts w:hint="eastAsia" w:ascii="宋体" w:hAnsi="宋体" w:eastAsia="宋体" w:cs="宋体"/>
                <w:sz w:val="18"/>
                <w:szCs w:val="18"/>
              </w:rPr>
            </w:pPr>
          </w:p>
        </w:tc>
        <w:tc>
          <w:tcPr>
            <w:tcW w:w="364" w:type="pct"/>
            <w:vMerge w:val="continue"/>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1932" w:type="pct"/>
            <w:noWrap w:val="0"/>
            <w:vAlign w:val="center"/>
          </w:tcPr>
          <w:p>
            <w:pPr>
              <w:adjustRightInd/>
              <w:snapToGrid/>
              <w:spacing w:line="240" w:lineRule="auto"/>
              <w:ind w:firstLine="0" w:firstLineChars="0"/>
              <w:jc w:val="left"/>
              <w:rPr>
                <w:rFonts w:hint="eastAsia" w:ascii="宋体" w:hAnsi="宋体" w:eastAsia="宋体" w:cs="宋体"/>
                <w:sz w:val="18"/>
                <w:szCs w:val="18"/>
                <w:lang w:val="en-US" w:eastAsia="zh-CN"/>
              </w:rPr>
            </w:pPr>
            <w:r>
              <w:rPr>
                <w:rFonts w:hint="eastAsia" w:ascii="宋体" w:hAnsi="宋体" w:eastAsia="宋体" w:cs="宋体"/>
                <w:b/>
                <w:bCs/>
                <w:sz w:val="18"/>
                <w:szCs w:val="18"/>
                <w:lang w:val="en-US" w:eastAsia="zh-CN"/>
              </w:rPr>
              <w:t>会商区域</w:t>
            </w:r>
            <w:r>
              <w:rPr>
                <w:rFonts w:hint="eastAsia" w:ascii="宋体" w:hAnsi="宋体" w:eastAsia="宋体" w:cs="宋体"/>
                <w:sz w:val="18"/>
                <w:szCs w:val="18"/>
                <w:lang w:val="en-US" w:eastAsia="zh-CN"/>
              </w:rPr>
              <w:t>：</w:t>
            </w:r>
            <w:r>
              <w:rPr>
                <w:rFonts w:hint="eastAsia" w:ascii="宋体" w:hAnsi="宋体" w:eastAsia="宋体" w:cs="宋体"/>
                <w:kern w:val="2"/>
                <w:sz w:val="18"/>
                <w:szCs w:val="18"/>
                <w:lang w:val="en-US" w:eastAsia="zh-CN" w:bidi="ar-SA"/>
              </w:rPr>
              <w:t>对会商区域内各类专用设备及其附属设施进行维护保养等专业管理服务，及时清理垃圾，确保区域整体干净整洁、无积尘、无污迹、无杂物。</w:t>
            </w:r>
          </w:p>
        </w:tc>
        <w:tc>
          <w:tcPr>
            <w:tcW w:w="390" w:type="pct"/>
            <w:noWrap w:val="0"/>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10</w:t>
            </w:r>
          </w:p>
        </w:tc>
        <w:tc>
          <w:tcPr>
            <w:tcW w:w="1107" w:type="pct"/>
            <w:vMerge w:val="continue"/>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p>
        </w:tc>
        <w:tc>
          <w:tcPr>
            <w:tcW w:w="391"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565"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247" w:type="pct"/>
            <w:vMerge w:val="continue"/>
            <w:noWrap w:val="0"/>
            <w:vAlign w:val="top"/>
          </w:tcPr>
          <w:p>
            <w:pPr>
              <w:adjustRightInd/>
              <w:snapToGrid/>
              <w:spacing w:line="240" w:lineRule="auto"/>
              <w:ind w:firstLine="0" w:firstLineChars="0"/>
              <w:jc w:val="left"/>
              <w:rPr>
                <w:rFonts w:hint="eastAsia" w:ascii="宋体" w:hAnsi="宋体" w:eastAsia="宋体" w:cs="宋体"/>
                <w:sz w:val="18"/>
                <w:szCs w:val="18"/>
              </w:rPr>
            </w:pPr>
          </w:p>
        </w:tc>
        <w:tc>
          <w:tcPr>
            <w:tcW w:w="364" w:type="pct"/>
            <w:vMerge w:val="continue"/>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1932"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因维护操作造成的破碎器皿进行及时补充</w:t>
            </w:r>
          </w:p>
        </w:tc>
        <w:tc>
          <w:tcPr>
            <w:tcW w:w="390" w:type="pct"/>
            <w:noWrap w:val="0"/>
            <w:vAlign w:val="center"/>
          </w:tcPr>
          <w:p>
            <w:pPr>
              <w:adjustRightInd/>
              <w:snapToGrid/>
              <w:spacing w:line="240" w:lineRule="auto"/>
              <w:ind w:firstLine="0" w:firstLineChars="0"/>
              <w:jc w:val="center"/>
              <w:rPr>
                <w:rFonts w:hint="eastAsia" w:ascii="宋体" w:hAnsi="宋体" w:eastAsia="宋体" w:cs="宋体"/>
                <w:kern w:val="2"/>
                <w:sz w:val="18"/>
                <w:szCs w:val="18"/>
                <w:lang w:val="en-US" w:eastAsia="zh-CN" w:bidi="ar-SA"/>
              </w:rPr>
            </w:pPr>
            <w:r>
              <w:rPr>
                <w:rFonts w:hint="eastAsia" w:ascii="宋体" w:hAnsi="宋体" w:eastAsia="宋体" w:cs="宋体"/>
                <w:sz w:val="18"/>
                <w:szCs w:val="18"/>
                <w:lang w:val="en-US" w:eastAsia="zh-CN"/>
              </w:rPr>
              <w:t>1</w:t>
            </w:r>
            <w:r>
              <w:rPr>
                <w:rFonts w:hint="eastAsia" w:ascii="宋体" w:hAnsi="宋体" w:eastAsia="宋体" w:cs="宋体"/>
                <w:sz w:val="18"/>
                <w:szCs w:val="18"/>
              </w:rPr>
              <w:t>0</w:t>
            </w:r>
          </w:p>
        </w:tc>
        <w:tc>
          <w:tcPr>
            <w:tcW w:w="1107"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若破碎器皿半个月未补充的，发现一次扣5分，最高扣10分</w:t>
            </w:r>
          </w:p>
        </w:tc>
        <w:tc>
          <w:tcPr>
            <w:tcW w:w="391"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565"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247" w:type="pct"/>
            <w:vMerge w:val="continue"/>
            <w:noWrap w:val="0"/>
            <w:vAlign w:val="top"/>
          </w:tcPr>
          <w:p>
            <w:pPr>
              <w:adjustRightInd/>
              <w:snapToGrid/>
              <w:spacing w:line="240" w:lineRule="auto"/>
              <w:ind w:firstLine="0" w:firstLineChars="0"/>
              <w:jc w:val="left"/>
              <w:rPr>
                <w:rFonts w:hint="eastAsia" w:ascii="宋体" w:hAnsi="宋体" w:eastAsia="宋体" w:cs="宋体"/>
                <w:sz w:val="18"/>
                <w:szCs w:val="18"/>
              </w:rPr>
            </w:pPr>
          </w:p>
        </w:tc>
        <w:tc>
          <w:tcPr>
            <w:tcW w:w="364" w:type="pct"/>
            <w:vMerge w:val="continue"/>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1932"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每月10日前向采购人报送上一个月实验室各系统检修情况表，大型节假日前（如国庆、春节）根据检修情况适当增加检修次数。</w:t>
            </w:r>
          </w:p>
        </w:tc>
        <w:tc>
          <w:tcPr>
            <w:tcW w:w="390" w:type="pct"/>
            <w:noWrap w:val="0"/>
            <w:vAlign w:val="center"/>
          </w:tcPr>
          <w:p>
            <w:pPr>
              <w:adjustRightInd/>
              <w:snapToGrid/>
              <w:spacing w:line="240" w:lineRule="auto"/>
              <w:ind w:firstLine="0" w:firstLineChars="0"/>
              <w:jc w:val="center"/>
              <w:rPr>
                <w:rFonts w:hint="eastAsia" w:ascii="宋体" w:hAnsi="宋体" w:eastAsia="宋体" w:cs="宋体"/>
                <w:kern w:val="2"/>
                <w:sz w:val="18"/>
                <w:szCs w:val="18"/>
                <w:lang w:val="en-US" w:eastAsia="zh-CN" w:bidi="ar-SA"/>
              </w:rPr>
            </w:pPr>
            <w:r>
              <w:rPr>
                <w:rFonts w:hint="eastAsia" w:ascii="宋体" w:hAnsi="宋体" w:eastAsia="宋体" w:cs="宋体"/>
                <w:sz w:val="18"/>
                <w:szCs w:val="18"/>
                <w:lang w:val="en-US" w:eastAsia="zh-CN"/>
              </w:rPr>
              <w:t>10</w:t>
            </w:r>
          </w:p>
        </w:tc>
        <w:tc>
          <w:tcPr>
            <w:tcW w:w="1107"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若未按时检修，一次扣5分，未按时报送，一次扣2分，最高扣10分</w:t>
            </w:r>
          </w:p>
        </w:tc>
        <w:tc>
          <w:tcPr>
            <w:tcW w:w="391"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565"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47" w:type="pct"/>
            <w:vMerge w:val="continue"/>
            <w:noWrap w:val="0"/>
            <w:vAlign w:val="top"/>
          </w:tcPr>
          <w:p>
            <w:pPr>
              <w:adjustRightInd/>
              <w:snapToGrid/>
              <w:spacing w:line="240" w:lineRule="auto"/>
              <w:ind w:firstLine="0" w:firstLineChars="0"/>
              <w:jc w:val="left"/>
              <w:rPr>
                <w:rFonts w:hint="eastAsia" w:ascii="宋体" w:hAnsi="宋体" w:eastAsia="宋体" w:cs="宋体"/>
                <w:sz w:val="18"/>
                <w:szCs w:val="18"/>
              </w:rPr>
            </w:pPr>
          </w:p>
        </w:tc>
        <w:tc>
          <w:tcPr>
            <w:tcW w:w="364" w:type="pct"/>
            <w:vMerge w:val="continue"/>
            <w:noWrap w:val="0"/>
            <w:vAlign w:val="center"/>
          </w:tcPr>
          <w:p>
            <w:pPr>
              <w:adjustRightInd/>
              <w:snapToGrid/>
              <w:spacing w:line="240" w:lineRule="auto"/>
              <w:ind w:firstLine="0" w:firstLineChars="0"/>
              <w:rPr>
                <w:rFonts w:hint="eastAsia" w:ascii="宋体" w:hAnsi="宋体" w:eastAsia="宋体" w:cs="宋体"/>
                <w:sz w:val="18"/>
                <w:szCs w:val="18"/>
              </w:rPr>
            </w:pPr>
          </w:p>
        </w:tc>
        <w:tc>
          <w:tcPr>
            <w:tcW w:w="1932" w:type="pct"/>
            <w:noWrap w:val="0"/>
            <w:vAlign w:val="center"/>
          </w:tcPr>
          <w:p>
            <w:pPr>
              <w:adjustRightInd/>
              <w:snapToGrid/>
              <w:spacing w:line="240" w:lineRule="auto"/>
              <w:ind w:firstLine="0" w:firstLineChars="0"/>
              <w:jc w:val="left"/>
              <w:rPr>
                <w:rFonts w:hint="eastAsia" w:ascii="宋体" w:hAnsi="宋体" w:eastAsia="宋体" w:cs="宋体"/>
                <w:sz w:val="18"/>
                <w:szCs w:val="18"/>
                <w:lang w:val="en-US" w:eastAsia="zh-CN"/>
              </w:rPr>
            </w:pPr>
            <w:r>
              <w:rPr>
                <w:rFonts w:hint="eastAsia" w:ascii="宋体" w:hAnsi="宋体" w:eastAsia="宋体" w:cs="宋体"/>
                <w:kern w:val="2"/>
                <w:sz w:val="18"/>
                <w:szCs w:val="18"/>
                <w:lang w:val="en-US" w:eastAsia="zh-CN" w:bidi="ar-SA"/>
              </w:rPr>
              <w:t>采购需求内规定的其他事项</w:t>
            </w:r>
          </w:p>
        </w:tc>
        <w:tc>
          <w:tcPr>
            <w:tcW w:w="390" w:type="pct"/>
            <w:noWrap w:val="0"/>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10</w:t>
            </w:r>
          </w:p>
        </w:tc>
        <w:tc>
          <w:tcPr>
            <w:tcW w:w="1107"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若出现推诿或另收费者，一次扣5分，最高扣10分</w:t>
            </w:r>
          </w:p>
        </w:tc>
        <w:tc>
          <w:tcPr>
            <w:tcW w:w="391"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565"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247"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2</w:t>
            </w:r>
          </w:p>
        </w:tc>
        <w:tc>
          <w:tcPr>
            <w:tcW w:w="364"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应急响应</w:t>
            </w:r>
          </w:p>
        </w:tc>
        <w:tc>
          <w:tcPr>
            <w:tcW w:w="1932"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按照采购方要求积极响应临时交办的紧急工作任务（40分钟内响应且人员到位）。</w:t>
            </w:r>
          </w:p>
        </w:tc>
        <w:tc>
          <w:tcPr>
            <w:tcW w:w="390" w:type="pct"/>
            <w:noWrap w:val="0"/>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10</w:t>
            </w:r>
          </w:p>
        </w:tc>
        <w:tc>
          <w:tcPr>
            <w:tcW w:w="1107"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上班时间内以不合理的理由推脱1次扣5分，最高扣15分</w:t>
            </w:r>
          </w:p>
        </w:tc>
        <w:tc>
          <w:tcPr>
            <w:tcW w:w="391"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565"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7"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3</w:t>
            </w:r>
          </w:p>
        </w:tc>
        <w:tc>
          <w:tcPr>
            <w:tcW w:w="364"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保密要求</w:t>
            </w:r>
          </w:p>
        </w:tc>
        <w:tc>
          <w:tcPr>
            <w:tcW w:w="1932" w:type="pct"/>
            <w:noWrap w:val="0"/>
            <w:vAlign w:val="center"/>
          </w:tcPr>
          <w:p>
            <w:pPr>
              <w:adjustRightInd/>
              <w:snapToGrid/>
              <w:spacing w:line="240" w:lineRule="auto"/>
              <w:ind w:firstLine="0" w:firstLineChars="0"/>
              <w:jc w:val="left"/>
              <w:rPr>
                <w:rFonts w:hint="eastAsia" w:ascii="宋体" w:hAnsi="宋体" w:eastAsia="宋体" w:cs="宋体"/>
                <w:sz w:val="18"/>
                <w:szCs w:val="18"/>
              </w:rPr>
            </w:pPr>
            <w:r>
              <w:rPr>
                <w:rFonts w:hint="eastAsia" w:ascii="宋体" w:hAnsi="宋体" w:eastAsia="宋体" w:cs="宋体"/>
                <w:kern w:val="2"/>
                <w:sz w:val="18"/>
                <w:szCs w:val="18"/>
                <w:lang w:val="en-US" w:eastAsia="zh-CN" w:bidi="ar-SA"/>
              </w:rPr>
              <w:t>不得私自启动实验区域内的专业设备，不得拷贝实验区域内计算机的任何数据。对于维护过程中接触到的所有资料，</w:t>
            </w:r>
            <w:r>
              <w:rPr>
                <w:rFonts w:hint="eastAsia" w:ascii="宋体" w:hAnsi="宋体" w:eastAsia="宋体" w:cs="宋体"/>
                <w:color w:val="auto"/>
                <w:sz w:val="18"/>
                <w:szCs w:val="18"/>
                <w:highlight w:val="none"/>
              </w:rPr>
              <w:t>未经</w:t>
            </w:r>
            <w:r>
              <w:rPr>
                <w:rFonts w:hint="eastAsia" w:ascii="宋体" w:hAnsi="宋体" w:eastAsia="宋体" w:cs="宋体"/>
                <w:color w:val="auto"/>
                <w:sz w:val="18"/>
                <w:szCs w:val="18"/>
                <w:highlight w:val="none"/>
                <w:lang w:val="en-US" w:eastAsia="zh-CN"/>
              </w:rPr>
              <w:t>采购人</w:t>
            </w:r>
            <w:r>
              <w:rPr>
                <w:rFonts w:hint="eastAsia" w:ascii="宋体" w:hAnsi="宋体" w:eastAsia="宋体" w:cs="宋体"/>
                <w:color w:val="auto"/>
                <w:sz w:val="18"/>
                <w:szCs w:val="18"/>
                <w:highlight w:val="none"/>
              </w:rPr>
              <w:t>的书面同意，不得泄露给任何第三方。</w:t>
            </w:r>
          </w:p>
        </w:tc>
        <w:tc>
          <w:tcPr>
            <w:tcW w:w="390" w:type="pct"/>
            <w:noWrap w:val="0"/>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15</w:t>
            </w:r>
          </w:p>
        </w:tc>
        <w:tc>
          <w:tcPr>
            <w:tcW w:w="1107" w:type="pct"/>
            <w:noWrap w:val="0"/>
            <w:vAlign w:val="center"/>
          </w:tcPr>
          <w:p>
            <w:pPr>
              <w:adjustRightInd/>
              <w:snapToGrid/>
              <w:spacing w:line="240" w:lineRule="auto"/>
              <w:ind w:firstLine="0" w:firstLineChars="0"/>
              <w:rPr>
                <w:rFonts w:hint="eastAsia" w:ascii="宋体" w:hAnsi="宋体" w:eastAsia="宋体" w:cs="宋体"/>
                <w:sz w:val="18"/>
                <w:szCs w:val="18"/>
              </w:rPr>
            </w:pPr>
          </w:p>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检查时若发现一次不符合项扣5分，最高扣15分</w:t>
            </w:r>
          </w:p>
        </w:tc>
        <w:tc>
          <w:tcPr>
            <w:tcW w:w="391"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565"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7"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4</w:t>
            </w:r>
          </w:p>
        </w:tc>
        <w:tc>
          <w:tcPr>
            <w:tcW w:w="364"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安全要求</w:t>
            </w:r>
          </w:p>
        </w:tc>
        <w:tc>
          <w:tcPr>
            <w:tcW w:w="1932"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未经允许，不得接触危险化学物品，不得进入两毒一爆试剂存储间。</w:t>
            </w:r>
          </w:p>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不得在电单车停放点的充电桩充电。</w:t>
            </w:r>
          </w:p>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离开服务区域后，及时关水关电。</w:t>
            </w:r>
          </w:p>
        </w:tc>
        <w:tc>
          <w:tcPr>
            <w:tcW w:w="390" w:type="pct"/>
            <w:noWrap w:val="0"/>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15</w:t>
            </w:r>
          </w:p>
        </w:tc>
        <w:tc>
          <w:tcPr>
            <w:tcW w:w="1107" w:type="pct"/>
            <w:noWrap w:val="0"/>
            <w:vAlign w:val="center"/>
          </w:tcPr>
          <w:p>
            <w:pPr>
              <w:adjustRightInd/>
              <w:snapToGrid/>
              <w:spacing w:line="240" w:lineRule="auto"/>
              <w:ind w:firstLine="0" w:firstLineChars="0"/>
              <w:jc w:val="left"/>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检查时若发现一次不符合项扣5分，最高扣15分</w:t>
            </w:r>
          </w:p>
        </w:tc>
        <w:tc>
          <w:tcPr>
            <w:tcW w:w="391"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565"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2" w:type="pct"/>
            <w:gridSpan w:val="2"/>
            <w:noWrap w:val="0"/>
            <w:vAlign w:val="center"/>
          </w:tcPr>
          <w:p>
            <w:pPr>
              <w:adjustRightInd/>
              <w:snapToGrid/>
              <w:spacing w:line="240" w:lineRule="auto"/>
              <w:ind w:firstLine="0" w:firstLineChars="0"/>
              <w:jc w:val="center"/>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合计</w:t>
            </w:r>
          </w:p>
        </w:tc>
        <w:tc>
          <w:tcPr>
            <w:tcW w:w="1932" w:type="pct"/>
            <w:noWrap w:val="0"/>
            <w:vAlign w:val="center"/>
          </w:tcPr>
          <w:p>
            <w:pPr>
              <w:widowControl w:val="0"/>
              <w:numPr>
                <w:ilvl w:val="0"/>
                <w:numId w:val="0"/>
              </w:numPr>
              <w:adjustRightInd w:val="0"/>
              <w:snapToGrid w:val="0"/>
              <w:spacing w:after="120" w:line="400" w:lineRule="exact"/>
              <w:jc w:val="center"/>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w:t>
            </w:r>
          </w:p>
        </w:tc>
        <w:tc>
          <w:tcPr>
            <w:tcW w:w="390" w:type="pct"/>
            <w:noWrap w:val="0"/>
            <w:vAlign w:val="center"/>
          </w:tcPr>
          <w:p>
            <w:pPr>
              <w:adjustRightInd/>
              <w:snapToGrid/>
              <w:spacing w:line="240" w:lineRule="auto"/>
              <w:ind w:firstLine="0" w:firstLineChars="0"/>
              <w:jc w:val="center"/>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100</w:t>
            </w:r>
          </w:p>
        </w:tc>
        <w:tc>
          <w:tcPr>
            <w:tcW w:w="1107" w:type="pct"/>
            <w:noWrap w:val="0"/>
            <w:vAlign w:val="center"/>
          </w:tcPr>
          <w:p>
            <w:pPr>
              <w:adjustRightInd/>
              <w:snapToGrid/>
              <w:spacing w:line="240" w:lineRule="auto"/>
              <w:ind w:firstLine="0" w:firstLineChars="0"/>
              <w:jc w:val="center"/>
              <w:rPr>
                <w:rFonts w:hint="eastAsia" w:ascii="宋体" w:hAnsi="宋体" w:eastAsia="宋体" w:cs="宋体"/>
                <w:kern w:val="2"/>
                <w:sz w:val="18"/>
                <w:szCs w:val="18"/>
                <w:lang w:val="en-US" w:eastAsia="zh-CN" w:bidi="ar-SA"/>
              </w:rPr>
            </w:pPr>
            <w:r>
              <w:rPr>
                <w:rFonts w:hint="eastAsia" w:ascii="宋体" w:hAnsi="宋体" w:eastAsia="宋体" w:cs="宋体"/>
                <w:kern w:val="2"/>
                <w:sz w:val="18"/>
                <w:szCs w:val="18"/>
                <w:lang w:val="en-US" w:eastAsia="zh-CN" w:bidi="ar-SA"/>
              </w:rPr>
              <w:t>/</w:t>
            </w:r>
          </w:p>
        </w:tc>
        <w:tc>
          <w:tcPr>
            <w:tcW w:w="391"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c>
          <w:tcPr>
            <w:tcW w:w="565" w:type="pct"/>
            <w:noWrap w:val="0"/>
            <w:vAlign w:val="center"/>
          </w:tcPr>
          <w:p>
            <w:pPr>
              <w:adjustRightInd/>
              <w:snapToGrid/>
              <w:spacing w:line="240" w:lineRule="auto"/>
              <w:ind w:firstLine="0" w:firstLineChars="0"/>
              <w:jc w:val="center"/>
              <w:rPr>
                <w:rFonts w:hint="eastAsia" w:ascii="宋体" w:hAnsi="宋体" w:eastAsia="宋体" w:cs="宋体"/>
                <w:sz w:val="18"/>
                <w:szCs w:val="18"/>
              </w:rPr>
            </w:pPr>
          </w:p>
        </w:tc>
      </w:tr>
    </w:tbl>
    <w:p>
      <w:pPr>
        <w:pStyle w:val="8"/>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rPr>
        <w:sectPr>
          <w:pgSz w:w="11906" w:h="16838"/>
          <w:pgMar w:top="1440" w:right="1080" w:bottom="1440" w:left="1080" w:header="851" w:footer="992" w:gutter="0"/>
          <w:cols w:space="720" w:num="1"/>
          <w:docGrid w:type="lines" w:linePitch="312" w:charSpace="0"/>
        </w:sectPr>
      </w:pPr>
      <w:r>
        <w:rPr>
          <w:rFonts w:hint="eastAsia" w:ascii="宋体" w:hAnsi="宋体" w:eastAsia="宋体" w:cs="宋体"/>
          <w:kern w:val="2"/>
          <w:sz w:val="21"/>
          <w:szCs w:val="21"/>
          <w:lang w:val="en-US" w:eastAsia="zh-CN" w:bidi="ar-SA"/>
        </w:rPr>
        <w:t>考核时段：                                 考核人：                   考核时间：</w:t>
      </w:r>
    </w:p>
    <w:p>
      <w:pPr>
        <w:tabs>
          <w:tab w:val="left" w:pos="0"/>
        </w:tabs>
        <w:adjustRightInd/>
        <w:snapToGrid/>
        <w:spacing w:line="600" w:lineRule="exact"/>
        <w:ind w:firstLine="0" w:firstLineChars="0"/>
        <w:jc w:val="left"/>
        <w:rPr>
          <w:rFonts w:hint="eastAsia" w:ascii="宋体" w:hAnsi="宋体" w:eastAsia="宋体" w:cs="宋体"/>
          <w:b w:val="0"/>
          <w:bCs w:val="0"/>
          <w:sz w:val="30"/>
          <w:szCs w:val="30"/>
          <w:lang w:val="en-US" w:eastAsia="zh-CN"/>
        </w:rPr>
      </w:pPr>
      <w:r>
        <w:rPr>
          <w:rFonts w:hint="eastAsia" w:ascii="宋体" w:hAnsi="宋体" w:eastAsia="宋体" w:cs="宋体"/>
          <w:b w:val="0"/>
          <w:bCs w:val="0"/>
          <w:sz w:val="30"/>
          <w:szCs w:val="30"/>
          <w:lang w:val="en-US" w:eastAsia="zh-CN"/>
        </w:rPr>
        <w:t>附件3.</w:t>
      </w:r>
    </w:p>
    <w:p>
      <w:pPr>
        <w:tabs>
          <w:tab w:val="left" w:pos="0"/>
        </w:tabs>
        <w:spacing w:line="600" w:lineRule="exact"/>
        <w:jc w:val="center"/>
        <w:rPr>
          <w:rFonts w:hint="eastAsia" w:ascii="宋体" w:hAnsi="宋体" w:eastAsia="宋体" w:cs="宋体"/>
          <w:color w:val="auto"/>
          <w:sz w:val="30"/>
          <w:szCs w:val="30"/>
          <w:lang w:eastAsia="zh-CN"/>
        </w:rPr>
      </w:pPr>
      <w:r>
        <w:rPr>
          <w:rFonts w:hint="eastAsia" w:ascii="宋体" w:hAnsi="宋体" w:eastAsia="宋体" w:cs="宋体"/>
          <w:color w:val="auto"/>
          <w:sz w:val="30"/>
          <w:szCs w:val="30"/>
          <w:lang w:val="en-US" w:eastAsia="zh-CN"/>
        </w:rPr>
        <w:t>实验室各系统检</w:t>
      </w:r>
      <w:r>
        <w:rPr>
          <w:rFonts w:hint="eastAsia" w:ascii="宋体" w:hAnsi="宋体" w:eastAsia="宋体" w:cs="宋体"/>
          <w:color w:val="auto"/>
          <w:sz w:val="30"/>
          <w:szCs w:val="30"/>
        </w:rPr>
        <w:t>修</w:t>
      </w:r>
      <w:r>
        <w:rPr>
          <w:rFonts w:hint="eastAsia" w:ascii="宋体" w:hAnsi="宋体" w:eastAsia="宋体" w:cs="宋体"/>
          <w:color w:val="auto"/>
          <w:sz w:val="30"/>
          <w:szCs w:val="30"/>
          <w:lang w:val="en-US" w:eastAsia="zh-CN"/>
        </w:rPr>
        <w:t>情况表</w:t>
      </w:r>
    </w:p>
    <w:tbl>
      <w:tblPr>
        <w:tblStyle w:val="30"/>
        <w:tblW w:w="97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6"/>
        <w:gridCol w:w="696"/>
        <w:gridCol w:w="2916"/>
        <w:gridCol w:w="592"/>
        <w:gridCol w:w="870"/>
        <w:gridCol w:w="2433"/>
        <w:gridCol w:w="13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936" w:type="dxa"/>
          </w:tcPr>
          <w:p>
            <w:pPr>
              <w:jc w:val="center"/>
              <w:rPr>
                <w:rFonts w:hint="eastAsia" w:ascii="宋体" w:hAnsi="宋体" w:eastAsia="宋体" w:cs="宋体"/>
                <w:color w:val="auto"/>
                <w:sz w:val="18"/>
                <w:szCs w:val="18"/>
              </w:rPr>
            </w:pPr>
            <w:r>
              <w:rPr>
                <w:rFonts w:hint="eastAsia" w:ascii="宋体" w:hAnsi="宋体" w:eastAsia="宋体" w:cs="宋体"/>
                <w:color w:val="auto"/>
                <w:sz w:val="18"/>
                <w:szCs w:val="18"/>
              </w:rPr>
              <w:t>用户单位</w:t>
            </w:r>
          </w:p>
        </w:tc>
        <w:tc>
          <w:tcPr>
            <w:tcW w:w="3612" w:type="dxa"/>
            <w:gridSpan w:val="2"/>
          </w:tcPr>
          <w:p>
            <w:pPr>
              <w:jc w:val="center"/>
              <w:rPr>
                <w:rFonts w:hint="eastAsia" w:ascii="宋体" w:hAnsi="宋体" w:eastAsia="宋体" w:cs="宋体"/>
                <w:color w:val="auto"/>
                <w:sz w:val="18"/>
                <w:szCs w:val="18"/>
              </w:rPr>
            </w:pPr>
            <w:r>
              <w:rPr>
                <w:rFonts w:hint="eastAsia" w:ascii="宋体" w:hAnsi="宋体" w:eastAsia="宋体" w:cs="宋体"/>
                <w:color w:val="auto"/>
                <w:sz w:val="18"/>
                <w:szCs w:val="18"/>
              </w:rPr>
              <w:t>广西壮族自治区生态环境监测中心</w:t>
            </w:r>
          </w:p>
        </w:tc>
        <w:tc>
          <w:tcPr>
            <w:tcW w:w="1462" w:type="dxa"/>
            <w:gridSpan w:val="2"/>
          </w:tcPr>
          <w:p>
            <w:pPr>
              <w:jc w:val="center"/>
              <w:rPr>
                <w:rFonts w:hint="eastAsia" w:ascii="宋体" w:hAnsi="宋体" w:eastAsia="宋体" w:cs="宋体"/>
                <w:color w:val="auto"/>
                <w:sz w:val="18"/>
                <w:szCs w:val="18"/>
              </w:rPr>
            </w:pPr>
            <w:r>
              <w:rPr>
                <w:rFonts w:hint="eastAsia" w:ascii="宋体" w:hAnsi="宋体" w:eastAsia="宋体" w:cs="宋体"/>
                <w:color w:val="auto"/>
                <w:sz w:val="18"/>
                <w:szCs w:val="18"/>
              </w:rPr>
              <w:t>联系人及电话</w:t>
            </w:r>
          </w:p>
        </w:tc>
        <w:tc>
          <w:tcPr>
            <w:tcW w:w="3758" w:type="dxa"/>
            <w:gridSpan w:val="2"/>
          </w:tcPr>
          <w:p>
            <w:pPr>
              <w:jc w:val="center"/>
              <w:rPr>
                <w:rFonts w:hint="eastAsia" w:ascii="宋体" w:hAnsi="宋体" w:eastAsia="宋体" w:cs="宋体"/>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936" w:type="dxa"/>
          </w:tcPr>
          <w:p>
            <w:pPr>
              <w:jc w:val="center"/>
              <w:rPr>
                <w:rFonts w:hint="eastAsia" w:ascii="宋体" w:hAnsi="宋体" w:eastAsia="宋体" w:cs="宋体"/>
                <w:color w:val="auto"/>
                <w:sz w:val="18"/>
                <w:szCs w:val="18"/>
              </w:rPr>
            </w:pPr>
            <w:r>
              <w:rPr>
                <w:rFonts w:hint="eastAsia" w:ascii="宋体" w:hAnsi="宋体" w:eastAsia="宋体" w:cs="宋体"/>
                <w:color w:val="auto"/>
                <w:sz w:val="18"/>
                <w:szCs w:val="18"/>
              </w:rPr>
              <w:t>维修单位</w:t>
            </w:r>
          </w:p>
        </w:tc>
        <w:tc>
          <w:tcPr>
            <w:tcW w:w="3612" w:type="dxa"/>
            <w:gridSpan w:val="2"/>
          </w:tcPr>
          <w:p>
            <w:pPr>
              <w:jc w:val="center"/>
              <w:rPr>
                <w:rFonts w:hint="eastAsia" w:ascii="宋体" w:hAnsi="宋体" w:eastAsia="宋体" w:cs="宋体"/>
                <w:color w:val="auto"/>
                <w:sz w:val="18"/>
                <w:szCs w:val="18"/>
              </w:rPr>
            </w:pPr>
          </w:p>
        </w:tc>
        <w:tc>
          <w:tcPr>
            <w:tcW w:w="1462" w:type="dxa"/>
            <w:gridSpan w:val="2"/>
          </w:tcPr>
          <w:p>
            <w:pPr>
              <w:jc w:val="center"/>
              <w:rPr>
                <w:rFonts w:hint="eastAsia" w:ascii="宋体" w:hAnsi="宋体" w:eastAsia="宋体" w:cs="宋体"/>
                <w:color w:val="auto"/>
                <w:sz w:val="18"/>
                <w:szCs w:val="18"/>
              </w:rPr>
            </w:pPr>
            <w:r>
              <w:rPr>
                <w:rFonts w:hint="eastAsia" w:ascii="宋体" w:hAnsi="宋体" w:eastAsia="宋体" w:cs="宋体"/>
                <w:color w:val="auto"/>
                <w:sz w:val="18"/>
                <w:szCs w:val="18"/>
              </w:rPr>
              <w:t>联系人及电话</w:t>
            </w:r>
          </w:p>
        </w:tc>
        <w:tc>
          <w:tcPr>
            <w:tcW w:w="3758" w:type="dxa"/>
            <w:gridSpan w:val="2"/>
          </w:tcPr>
          <w:p>
            <w:pPr>
              <w:jc w:val="center"/>
              <w:rPr>
                <w:rFonts w:hint="eastAsia" w:ascii="宋体" w:hAnsi="宋体" w:eastAsia="宋体" w:cs="宋体"/>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936" w:type="dxa"/>
          </w:tcPr>
          <w:p>
            <w:pPr>
              <w:jc w:val="center"/>
              <w:rPr>
                <w:rFonts w:hint="eastAsia" w:ascii="宋体" w:hAnsi="宋体" w:eastAsia="宋体" w:cs="宋体"/>
                <w:color w:val="auto"/>
                <w:sz w:val="18"/>
                <w:szCs w:val="18"/>
              </w:rPr>
            </w:pPr>
            <w:r>
              <w:rPr>
                <w:rFonts w:hint="eastAsia" w:ascii="宋体" w:hAnsi="宋体" w:eastAsia="宋体" w:cs="宋体"/>
                <w:color w:val="auto"/>
                <w:sz w:val="18"/>
                <w:szCs w:val="18"/>
              </w:rPr>
              <w:t>维</w:t>
            </w:r>
            <w:r>
              <w:rPr>
                <w:rFonts w:hint="eastAsia" w:ascii="宋体" w:hAnsi="宋体" w:eastAsia="宋体" w:cs="宋体"/>
                <w:color w:val="auto"/>
                <w:sz w:val="18"/>
                <w:szCs w:val="18"/>
                <w:lang w:val="en-US" w:eastAsia="zh-CN"/>
              </w:rPr>
              <w:t>/</w:t>
            </w:r>
            <w:r>
              <w:rPr>
                <w:rFonts w:hint="eastAsia" w:ascii="宋体" w:hAnsi="宋体" w:eastAsia="宋体" w:cs="宋体"/>
                <w:color w:val="auto"/>
                <w:sz w:val="18"/>
                <w:szCs w:val="18"/>
              </w:rPr>
              <w:t>检修</w:t>
            </w:r>
          </w:p>
        </w:tc>
        <w:tc>
          <w:tcPr>
            <w:tcW w:w="3612" w:type="dxa"/>
            <w:gridSpan w:val="2"/>
          </w:tcPr>
          <w:p>
            <w:pPr>
              <w:jc w:val="center"/>
              <w:rPr>
                <w:rFonts w:hint="eastAsia" w:ascii="宋体" w:hAnsi="宋体" w:eastAsia="宋体" w:cs="宋体"/>
                <w:color w:val="auto"/>
                <w:sz w:val="18"/>
                <w:szCs w:val="18"/>
              </w:rPr>
            </w:pPr>
            <w:r>
              <w:rPr>
                <w:rFonts w:hint="eastAsia" w:ascii="宋体" w:hAnsi="宋体" w:eastAsia="宋体" w:cs="宋体"/>
                <w:color w:val="auto"/>
                <w:sz w:val="18"/>
                <w:szCs w:val="18"/>
              </w:rPr>
              <w:t>维修口         检修口</w:t>
            </w:r>
          </w:p>
        </w:tc>
        <w:tc>
          <w:tcPr>
            <w:tcW w:w="1462" w:type="dxa"/>
            <w:gridSpan w:val="2"/>
          </w:tcPr>
          <w:p>
            <w:pPr>
              <w:jc w:val="center"/>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 xml:space="preserve">检 修 </w:t>
            </w:r>
            <w:r>
              <w:rPr>
                <w:rFonts w:hint="eastAsia" w:ascii="宋体" w:hAnsi="宋体" w:eastAsia="宋体" w:cs="宋体"/>
                <w:color w:val="auto"/>
                <w:sz w:val="18"/>
                <w:szCs w:val="18"/>
              </w:rPr>
              <w:t>日 期</w:t>
            </w:r>
          </w:p>
        </w:tc>
        <w:tc>
          <w:tcPr>
            <w:tcW w:w="3758" w:type="dxa"/>
            <w:gridSpan w:val="2"/>
          </w:tcPr>
          <w:p>
            <w:pPr>
              <w:jc w:val="center"/>
              <w:rPr>
                <w:rFonts w:hint="eastAsia" w:ascii="宋体" w:hAnsi="宋体" w:eastAsia="宋体" w:cs="宋体"/>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936" w:type="dxa"/>
            <w:vAlign w:val="center"/>
          </w:tcPr>
          <w:p>
            <w:pPr>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序号</w:t>
            </w:r>
          </w:p>
        </w:tc>
        <w:tc>
          <w:tcPr>
            <w:tcW w:w="696" w:type="dxa"/>
            <w:vAlign w:val="center"/>
          </w:tcPr>
          <w:p>
            <w:pPr>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检修项目</w:t>
            </w:r>
          </w:p>
        </w:tc>
        <w:tc>
          <w:tcPr>
            <w:tcW w:w="3508" w:type="dxa"/>
            <w:gridSpan w:val="2"/>
            <w:vAlign w:val="center"/>
          </w:tcPr>
          <w:p>
            <w:pPr>
              <w:tabs>
                <w:tab w:val="left" w:pos="607"/>
              </w:tabs>
              <w:ind w:firstLine="1084" w:firstLineChars="600"/>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合同检修内容</w:t>
            </w:r>
          </w:p>
        </w:tc>
        <w:tc>
          <w:tcPr>
            <w:tcW w:w="3303" w:type="dxa"/>
            <w:gridSpan w:val="2"/>
            <w:vAlign w:val="center"/>
          </w:tcPr>
          <w:p>
            <w:pPr>
              <w:tabs>
                <w:tab w:val="left" w:pos="607"/>
              </w:tabs>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实际检修内容</w:t>
            </w:r>
          </w:p>
        </w:tc>
        <w:tc>
          <w:tcPr>
            <w:tcW w:w="1325" w:type="dxa"/>
            <w:vAlign w:val="center"/>
          </w:tcPr>
          <w:p>
            <w:pPr>
              <w:jc w:val="center"/>
              <w:rPr>
                <w:rFonts w:hint="eastAsia" w:ascii="宋体" w:hAnsi="宋体" w:eastAsia="宋体" w:cs="宋体"/>
                <w:b/>
                <w:bCs/>
                <w:color w:val="auto"/>
                <w:sz w:val="18"/>
                <w:szCs w:val="18"/>
              </w:rPr>
            </w:pPr>
            <w:r>
              <w:rPr>
                <w:rFonts w:hint="eastAsia" w:ascii="宋体" w:hAnsi="宋体" w:eastAsia="宋体" w:cs="宋体"/>
                <w:b/>
                <w:bCs/>
                <w:color w:val="auto"/>
                <w:sz w:val="18"/>
                <w:szCs w:val="18"/>
              </w:rPr>
              <w:t>检修结论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jc w:val="center"/>
        </w:trPr>
        <w:tc>
          <w:tcPr>
            <w:tcW w:w="936" w:type="dxa"/>
          </w:tcPr>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r>
              <w:rPr>
                <w:rFonts w:hint="eastAsia" w:ascii="宋体" w:hAnsi="宋体" w:eastAsia="宋体" w:cs="宋体"/>
                <w:color w:val="auto"/>
                <w:sz w:val="18"/>
                <w:szCs w:val="18"/>
              </w:rPr>
              <w:t>1</w:t>
            </w:r>
          </w:p>
        </w:tc>
        <w:tc>
          <w:tcPr>
            <w:tcW w:w="696" w:type="dxa"/>
          </w:tcPr>
          <w:p>
            <w:pPr>
              <w:widowControl/>
              <w:jc w:val="left"/>
              <w:rPr>
                <w:rFonts w:hint="eastAsia" w:ascii="宋体" w:hAnsi="宋体" w:eastAsia="宋体" w:cs="宋体"/>
                <w:color w:val="auto"/>
                <w:kern w:val="0"/>
                <w:sz w:val="18"/>
                <w:szCs w:val="18"/>
                <w:lang w:bidi="ar"/>
              </w:rPr>
            </w:pP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洁净</w:t>
            </w:r>
            <w:r>
              <w:rPr>
                <w:rFonts w:hint="eastAsia" w:ascii="宋体" w:hAnsi="宋体" w:eastAsia="宋体" w:cs="宋体"/>
                <w:color w:val="auto"/>
                <w:kern w:val="0"/>
                <w:sz w:val="18"/>
                <w:szCs w:val="18"/>
                <w:lang w:val="en-US" w:eastAsia="zh-CN" w:bidi="ar"/>
              </w:rPr>
              <w:t>系统</w:t>
            </w:r>
            <w:r>
              <w:rPr>
                <w:rFonts w:hint="eastAsia" w:ascii="宋体" w:hAnsi="宋体" w:eastAsia="宋体" w:cs="宋体"/>
                <w:color w:val="auto"/>
                <w:kern w:val="0"/>
                <w:sz w:val="18"/>
                <w:szCs w:val="18"/>
                <w:lang w:bidi="ar"/>
              </w:rPr>
              <w:t xml:space="preserve"> </w:t>
            </w:r>
            <w:r>
              <w:rPr>
                <w:rFonts w:hint="eastAsia" w:ascii="宋体" w:hAnsi="宋体" w:eastAsia="宋体" w:cs="宋体"/>
                <w:color w:val="auto"/>
                <w:kern w:val="0"/>
                <w:sz w:val="18"/>
                <w:szCs w:val="18"/>
                <w:lang w:val="en-US" w:eastAsia="zh-CN" w:bidi="ar"/>
              </w:rPr>
              <w:t>维护</w:t>
            </w:r>
            <w:r>
              <w:rPr>
                <w:rFonts w:hint="eastAsia" w:ascii="宋体" w:hAnsi="宋体" w:eastAsia="宋体" w:cs="宋体"/>
                <w:color w:val="auto"/>
                <w:kern w:val="0"/>
                <w:sz w:val="18"/>
                <w:szCs w:val="18"/>
                <w:lang w:bidi="ar"/>
              </w:rPr>
              <w:t xml:space="preserve">维修 </w:t>
            </w:r>
          </w:p>
          <w:p>
            <w:pPr>
              <w:rPr>
                <w:rFonts w:hint="eastAsia" w:ascii="宋体" w:hAnsi="宋体" w:eastAsia="宋体" w:cs="宋体"/>
                <w:color w:val="auto"/>
                <w:sz w:val="18"/>
                <w:szCs w:val="18"/>
              </w:rPr>
            </w:pPr>
          </w:p>
        </w:tc>
        <w:tc>
          <w:tcPr>
            <w:tcW w:w="3508" w:type="dxa"/>
            <w:gridSpan w:val="2"/>
          </w:tcPr>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检修内容包括但不限于：保障</w:t>
            </w:r>
            <w:r>
              <w:rPr>
                <w:rFonts w:hint="eastAsia" w:ascii="宋体" w:hAnsi="宋体" w:eastAsia="宋体" w:cs="宋体"/>
                <w:color w:val="auto"/>
                <w:kern w:val="0"/>
                <w:sz w:val="18"/>
                <w:szCs w:val="18"/>
                <w:lang w:val="en-US" w:eastAsia="zh-CN" w:bidi="ar"/>
              </w:rPr>
              <w:t>实验室</w:t>
            </w:r>
            <w:r>
              <w:rPr>
                <w:rFonts w:hint="eastAsia" w:ascii="宋体" w:hAnsi="宋体" w:eastAsia="宋体" w:cs="宋体"/>
                <w:color w:val="auto"/>
                <w:kern w:val="0"/>
                <w:sz w:val="18"/>
                <w:szCs w:val="18"/>
                <w:lang w:bidi="ar"/>
              </w:rPr>
              <w:t>初、中、高效过滤器</w:t>
            </w:r>
            <w:r>
              <w:rPr>
                <w:rFonts w:hint="eastAsia" w:ascii="宋体" w:hAnsi="宋体" w:eastAsia="宋体" w:cs="宋体"/>
                <w:color w:val="auto"/>
                <w:kern w:val="0"/>
                <w:sz w:val="18"/>
                <w:szCs w:val="18"/>
                <w:lang w:val="en-US" w:eastAsia="zh-CN" w:bidi="ar"/>
              </w:rPr>
              <w:t>正常运转</w:t>
            </w:r>
            <w:r>
              <w:rPr>
                <w:rFonts w:hint="eastAsia" w:ascii="宋体" w:hAnsi="宋体" w:eastAsia="宋体" w:cs="宋体"/>
                <w:color w:val="auto"/>
                <w:kern w:val="0"/>
                <w:sz w:val="18"/>
                <w:szCs w:val="18"/>
                <w:lang w:bidi="ar"/>
              </w:rPr>
              <w:t>，液晶显示控制面板，甲醛熏蒸（霉菌消除），紫外线灯，压力梯度（压差表），净化机组，PVC地板等正常运转；</w:t>
            </w:r>
          </w:p>
        </w:tc>
        <w:tc>
          <w:tcPr>
            <w:tcW w:w="3303" w:type="dxa"/>
            <w:gridSpan w:val="2"/>
          </w:tcPr>
          <w:p>
            <w:pPr>
              <w:rPr>
                <w:rFonts w:hint="eastAsia" w:ascii="宋体" w:hAnsi="宋体" w:eastAsia="宋体" w:cs="宋体"/>
                <w:color w:val="auto"/>
                <w:sz w:val="18"/>
                <w:szCs w:val="18"/>
                <w:lang w:eastAsia="zh-CN"/>
              </w:rPr>
            </w:pPr>
            <w:r>
              <w:rPr>
                <w:rFonts w:hint="eastAsia" w:ascii="宋体" w:hAnsi="宋体" w:eastAsia="宋体" w:cs="宋体"/>
                <w:color w:val="auto"/>
                <w:sz w:val="18"/>
                <w:szCs w:val="18"/>
              </w:rPr>
              <w:t>1</w:t>
            </w:r>
            <w:r>
              <w:rPr>
                <w:rFonts w:hint="eastAsia" w:ascii="宋体" w:hAnsi="宋体" w:eastAsia="宋体" w:cs="宋体"/>
                <w:color w:val="auto"/>
                <w:sz w:val="18"/>
                <w:szCs w:val="18"/>
                <w:lang w:val="en-US" w:eastAsia="zh-CN"/>
              </w:rPr>
              <w:t>.</w:t>
            </w:r>
            <w:r>
              <w:rPr>
                <w:rFonts w:hint="eastAsia" w:ascii="宋体" w:hAnsi="宋体" w:eastAsia="宋体" w:cs="宋体"/>
                <w:color w:val="auto"/>
                <w:sz w:val="18"/>
                <w:szCs w:val="18"/>
              </w:rPr>
              <w:t>查看初、中、高效过滤器：空气过滤器有无堵塞，液晶显示控制面板显示数字</w:t>
            </w:r>
            <w:r>
              <w:rPr>
                <w:rFonts w:hint="eastAsia" w:ascii="宋体" w:hAnsi="宋体" w:eastAsia="宋体" w:cs="宋体"/>
                <w:color w:val="auto"/>
                <w:sz w:val="18"/>
                <w:szCs w:val="18"/>
                <w:lang w:eastAsia="zh-CN"/>
              </w:rPr>
              <w:t>。</w:t>
            </w:r>
          </w:p>
          <w:p>
            <w:pPr>
              <w:rPr>
                <w:rFonts w:hint="eastAsia" w:ascii="宋体" w:hAnsi="宋体" w:eastAsia="宋体" w:cs="宋体"/>
                <w:color w:val="auto"/>
                <w:sz w:val="18"/>
                <w:szCs w:val="18"/>
              </w:rPr>
            </w:pPr>
            <w:r>
              <w:rPr>
                <w:rFonts w:hint="eastAsia" w:ascii="宋体" w:hAnsi="宋体" w:eastAsia="宋体" w:cs="宋体"/>
                <w:color w:val="auto"/>
                <w:sz w:val="18"/>
                <w:szCs w:val="18"/>
              </w:rPr>
              <w:t>2</w:t>
            </w:r>
            <w:r>
              <w:rPr>
                <w:rFonts w:hint="eastAsia" w:ascii="宋体" w:hAnsi="宋体" w:eastAsia="宋体" w:cs="宋体"/>
                <w:color w:val="auto"/>
                <w:sz w:val="18"/>
                <w:szCs w:val="18"/>
                <w:lang w:val="en-US" w:eastAsia="zh-CN"/>
              </w:rPr>
              <w:t>.</w:t>
            </w:r>
            <w:r>
              <w:rPr>
                <w:rFonts w:hint="eastAsia" w:ascii="宋体" w:hAnsi="宋体" w:eastAsia="宋体" w:cs="宋体"/>
                <w:color w:val="auto"/>
                <w:sz w:val="18"/>
                <w:szCs w:val="18"/>
              </w:rPr>
              <w:t>净化灯、紫外灯是否可以正常开启，</w:t>
            </w:r>
          </w:p>
          <w:p>
            <w:pPr>
              <w:rPr>
                <w:rFonts w:hint="eastAsia" w:ascii="宋体" w:hAnsi="宋体" w:eastAsia="宋体" w:cs="宋体"/>
                <w:color w:val="auto"/>
                <w:sz w:val="18"/>
                <w:szCs w:val="18"/>
              </w:rPr>
            </w:pPr>
            <w:r>
              <w:rPr>
                <w:rFonts w:hint="eastAsia" w:ascii="宋体" w:hAnsi="宋体" w:eastAsia="宋体" w:cs="宋体"/>
                <w:color w:val="auto"/>
                <w:sz w:val="18"/>
                <w:szCs w:val="18"/>
              </w:rPr>
              <w:t>3</w:t>
            </w:r>
            <w:r>
              <w:rPr>
                <w:rFonts w:hint="eastAsia" w:ascii="宋体" w:hAnsi="宋体" w:eastAsia="宋体" w:cs="宋体"/>
                <w:color w:val="auto"/>
                <w:sz w:val="18"/>
                <w:szCs w:val="18"/>
                <w:lang w:val="en-US" w:eastAsia="zh-CN"/>
              </w:rPr>
              <w:t>.</w:t>
            </w:r>
            <w:r>
              <w:rPr>
                <w:rFonts w:hint="eastAsia" w:ascii="宋体" w:hAnsi="宋体" w:eastAsia="宋体" w:cs="宋体"/>
                <w:color w:val="auto"/>
                <w:sz w:val="18"/>
                <w:szCs w:val="18"/>
              </w:rPr>
              <w:t>洁净室围护结构材料（如天花、墙、地面、门、窗及其龙骨接缝等）是否完好，有无变形、锈蚀、破损等情况。</w:t>
            </w:r>
          </w:p>
        </w:tc>
        <w:tc>
          <w:tcPr>
            <w:tcW w:w="1325" w:type="dxa"/>
          </w:tcPr>
          <w:p>
            <w:pPr>
              <w:rPr>
                <w:rFonts w:hint="eastAsia" w:ascii="宋体" w:hAnsi="宋体" w:eastAsia="宋体" w:cs="宋体"/>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jc w:val="center"/>
        </w:trPr>
        <w:tc>
          <w:tcPr>
            <w:tcW w:w="936" w:type="dxa"/>
            <w:vAlign w:val="center"/>
          </w:tcPr>
          <w:p>
            <w:pPr>
              <w:jc w:val="center"/>
              <w:rPr>
                <w:rFonts w:hint="eastAsia" w:ascii="宋体" w:hAnsi="宋体" w:eastAsia="宋体" w:cs="宋体"/>
                <w:color w:val="auto"/>
                <w:sz w:val="18"/>
                <w:szCs w:val="18"/>
                <w:lang w:val="en-US" w:eastAsia="zh-CN"/>
              </w:rPr>
            </w:pPr>
            <w:r>
              <w:rPr>
                <w:rFonts w:hint="eastAsia" w:ascii="宋体" w:hAnsi="宋体" w:eastAsia="宋体" w:cs="宋体"/>
                <w:color w:val="auto"/>
                <w:sz w:val="18"/>
                <w:szCs w:val="18"/>
                <w:lang w:val="en-US" w:eastAsia="zh-CN"/>
              </w:rPr>
              <w:t>2</w:t>
            </w:r>
          </w:p>
        </w:tc>
        <w:tc>
          <w:tcPr>
            <w:tcW w:w="696" w:type="dxa"/>
            <w:vAlign w:val="center"/>
          </w:tcPr>
          <w:p>
            <w:pPr>
              <w:widowControl/>
              <w:jc w:val="both"/>
              <w:rPr>
                <w:rFonts w:hint="eastAsia" w:ascii="宋体" w:hAnsi="宋体" w:eastAsia="宋体" w:cs="宋体"/>
                <w:color w:val="auto"/>
                <w:kern w:val="0"/>
                <w:sz w:val="18"/>
                <w:szCs w:val="18"/>
                <w:lang w:bidi="ar"/>
              </w:rPr>
            </w:pPr>
            <w:r>
              <w:rPr>
                <w:rFonts w:hint="eastAsia" w:ascii="宋体" w:hAnsi="宋体" w:eastAsia="宋体" w:cs="宋体"/>
                <w:color w:val="auto"/>
                <w:kern w:val="0"/>
                <w:sz w:val="18"/>
                <w:szCs w:val="18"/>
                <w:lang w:val="en-US" w:eastAsia="zh-CN" w:bidi="ar"/>
              </w:rPr>
              <w:t>供气系统</w:t>
            </w:r>
            <w:r>
              <w:rPr>
                <w:rFonts w:hint="eastAsia" w:ascii="宋体" w:hAnsi="宋体" w:eastAsia="宋体" w:cs="宋体"/>
                <w:color w:val="auto"/>
                <w:kern w:val="0"/>
                <w:sz w:val="18"/>
                <w:szCs w:val="18"/>
                <w:lang w:bidi="ar"/>
              </w:rPr>
              <w:t xml:space="preserve"> </w:t>
            </w:r>
            <w:r>
              <w:rPr>
                <w:rFonts w:hint="eastAsia" w:ascii="宋体" w:hAnsi="宋体" w:eastAsia="宋体" w:cs="宋体"/>
                <w:color w:val="auto"/>
                <w:kern w:val="0"/>
                <w:sz w:val="18"/>
                <w:szCs w:val="18"/>
                <w:lang w:val="en-US" w:eastAsia="zh-CN" w:bidi="ar"/>
              </w:rPr>
              <w:t>维护</w:t>
            </w:r>
            <w:r>
              <w:rPr>
                <w:rFonts w:hint="eastAsia" w:ascii="宋体" w:hAnsi="宋体" w:eastAsia="宋体" w:cs="宋体"/>
                <w:color w:val="auto"/>
                <w:kern w:val="0"/>
                <w:sz w:val="18"/>
                <w:szCs w:val="18"/>
                <w:lang w:bidi="ar"/>
              </w:rPr>
              <w:t>维修</w:t>
            </w:r>
          </w:p>
        </w:tc>
        <w:tc>
          <w:tcPr>
            <w:tcW w:w="3508" w:type="dxa"/>
            <w:gridSpan w:val="2"/>
            <w:vAlign w:val="center"/>
          </w:tcPr>
          <w:p>
            <w:pPr>
              <w:widowControl/>
              <w:jc w:val="both"/>
              <w:rPr>
                <w:rFonts w:hint="eastAsia" w:ascii="宋体" w:hAnsi="宋体" w:eastAsia="宋体" w:cs="宋体"/>
                <w:color w:val="auto"/>
                <w:kern w:val="0"/>
                <w:sz w:val="18"/>
                <w:szCs w:val="18"/>
                <w:lang w:bidi="ar"/>
              </w:rPr>
            </w:pPr>
            <w:r>
              <w:rPr>
                <w:rFonts w:hint="eastAsia" w:ascii="宋体" w:hAnsi="宋体" w:eastAsia="宋体" w:cs="宋体"/>
                <w:color w:val="auto"/>
                <w:kern w:val="0"/>
                <w:sz w:val="18"/>
                <w:szCs w:val="18"/>
                <w:lang w:bidi="ar"/>
              </w:rPr>
              <w:t>检修内容包括但不限于：</w:t>
            </w:r>
            <w:r>
              <w:rPr>
                <w:rFonts w:hint="eastAsia" w:ascii="宋体" w:hAnsi="宋体" w:eastAsia="宋体" w:cs="宋体"/>
                <w:color w:val="auto"/>
                <w:kern w:val="0"/>
                <w:sz w:val="18"/>
                <w:szCs w:val="18"/>
                <w:lang w:val="en-US" w:eastAsia="zh-CN" w:bidi="ar"/>
              </w:rPr>
              <w:t>保障实验室各供气系统无泄漏、无破损，正常运转，气源室C605气路安全、无泄漏。</w:t>
            </w:r>
          </w:p>
        </w:tc>
        <w:tc>
          <w:tcPr>
            <w:tcW w:w="3303" w:type="dxa"/>
            <w:gridSpan w:val="2"/>
            <w:vAlign w:val="center"/>
          </w:tcPr>
          <w:p>
            <w:pPr>
              <w:pStyle w:val="107"/>
              <w:widowControl/>
              <w:numPr>
                <w:ilvl w:val="0"/>
                <w:numId w:val="0"/>
              </w:numPr>
              <w:ind w:leftChars="0"/>
              <w:jc w:val="both"/>
              <w:rPr>
                <w:rFonts w:hint="eastAsia" w:ascii="宋体" w:hAnsi="宋体" w:eastAsia="宋体" w:cs="宋体"/>
                <w:color w:val="auto"/>
                <w:sz w:val="18"/>
                <w:szCs w:val="18"/>
                <w:lang w:val="en-US" w:eastAsia="zh-CN"/>
              </w:rPr>
            </w:pPr>
            <w:r>
              <w:rPr>
                <w:rFonts w:hint="eastAsia" w:ascii="宋体" w:hAnsi="宋体" w:eastAsia="宋体" w:cs="宋体"/>
                <w:color w:val="auto"/>
                <w:sz w:val="18"/>
                <w:szCs w:val="18"/>
                <w:lang w:val="en-US" w:eastAsia="zh-CN"/>
              </w:rPr>
              <w:t>1.检测气路表皮有无损坏，接线头处有无漏气现象，气路是否老化、外观有无破损，元器件功能有无损坏。</w:t>
            </w:r>
          </w:p>
          <w:p>
            <w:pPr>
              <w:pStyle w:val="107"/>
              <w:widowControl/>
              <w:numPr>
                <w:ilvl w:val="0"/>
                <w:numId w:val="0"/>
              </w:numPr>
              <w:ind w:leftChars="0"/>
              <w:jc w:val="both"/>
              <w:rPr>
                <w:rFonts w:hint="eastAsia" w:ascii="宋体" w:hAnsi="宋体" w:eastAsia="宋体" w:cs="宋体"/>
                <w:lang w:val="en-US" w:eastAsia="zh-CN"/>
              </w:rPr>
            </w:pPr>
            <w:r>
              <w:rPr>
                <w:rFonts w:hint="eastAsia" w:ascii="宋体" w:hAnsi="宋体" w:eastAsia="宋体" w:cs="宋体"/>
                <w:color w:val="auto"/>
                <w:sz w:val="18"/>
                <w:szCs w:val="18"/>
                <w:lang w:val="en-US" w:eastAsia="zh-CN"/>
              </w:rPr>
              <w:t>2.检查气源室的钢气瓶是否有漏气、破损现象，气压阀是否完好、气压是否正常稳定等情况。</w:t>
            </w:r>
          </w:p>
        </w:tc>
        <w:tc>
          <w:tcPr>
            <w:tcW w:w="1325" w:type="dxa"/>
            <w:vAlign w:val="center"/>
          </w:tcPr>
          <w:p>
            <w:pPr>
              <w:jc w:val="both"/>
              <w:rPr>
                <w:rFonts w:hint="eastAsia" w:ascii="宋体" w:hAnsi="宋体" w:eastAsia="宋体" w:cs="宋体"/>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2" w:hRule="atLeast"/>
          <w:jc w:val="center"/>
        </w:trPr>
        <w:tc>
          <w:tcPr>
            <w:tcW w:w="936" w:type="dxa"/>
          </w:tcPr>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lang w:eastAsia="zh-CN"/>
              </w:rPr>
            </w:pPr>
            <w:r>
              <w:rPr>
                <w:rFonts w:hint="eastAsia" w:ascii="宋体" w:hAnsi="宋体" w:eastAsia="宋体" w:cs="宋体"/>
                <w:color w:val="auto"/>
                <w:sz w:val="18"/>
                <w:szCs w:val="18"/>
                <w:lang w:val="en-US" w:eastAsia="zh-CN"/>
              </w:rPr>
              <w:t>3</w:t>
            </w:r>
          </w:p>
        </w:tc>
        <w:tc>
          <w:tcPr>
            <w:tcW w:w="696" w:type="dxa"/>
          </w:tcPr>
          <w:p>
            <w:pPr>
              <w:widowControl/>
              <w:jc w:val="left"/>
              <w:rPr>
                <w:rFonts w:hint="eastAsia" w:ascii="宋体" w:hAnsi="宋体" w:eastAsia="宋体" w:cs="宋体"/>
                <w:color w:val="auto"/>
                <w:kern w:val="0"/>
                <w:sz w:val="18"/>
                <w:szCs w:val="18"/>
                <w:lang w:bidi="ar"/>
              </w:rPr>
            </w:pPr>
          </w:p>
          <w:p>
            <w:pPr>
              <w:widowControl/>
              <w:jc w:val="left"/>
              <w:rPr>
                <w:rFonts w:hint="eastAsia" w:ascii="宋体" w:hAnsi="宋体" w:eastAsia="宋体" w:cs="宋体"/>
                <w:color w:val="auto"/>
                <w:kern w:val="0"/>
                <w:sz w:val="18"/>
                <w:szCs w:val="18"/>
                <w:lang w:bidi="ar"/>
              </w:rPr>
            </w:pPr>
          </w:p>
          <w:p>
            <w:pPr>
              <w:widowControl/>
              <w:jc w:val="left"/>
              <w:rPr>
                <w:rFonts w:hint="eastAsia" w:ascii="宋体" w:hAnsi="宋体" w:eastAsia="宋体" w:cs="宋体"/>
                <w:color w:val="auto"/>
                <w:kern w:val="0"/>
                <w:sz w:val="18"/>
                <w:szCs w:val="18"/>
                <w:lang w:bidi="ar"/>
              </w:rPr>
            </w:pP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通风系统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维护维修</w:t>
            </w:r>
          </w:p>
          <w:p>
            <w:pPr>
              <w:rPr>
                <w:rFonts w:hint="eastAsia" w:ascii="宋体" w:hAnsi="宋体" w:eastAsia="宋体" w:cs="宋体"/>
                <w:color w:val="auto"/>
                <w:sz w:val="18"/>
                <w:szCs w:val="18"/>
              </w:rPr>
            </w:pPr>
          </w:p>
        </w:tc>
        <w:tc>
          <w:tcPr>
            <w:tcW w:w="3508" w:type="dxa"/>
            <w:gridSpan w:val="2"/>
          </w:tcPr>
          <w:p>
            <w:pPr>
              <w:widowControl/>
              <w:jc w:val="left"/>
              <w:rPr>
                <w:rFonts w:hint="eastAsia" w:ascii="宋体" w:hAnsi="宋体" w:eastAsia="宋体" w:cs="宋体"/>
                <w:color w:val="auto"/>
                <w:kern w:val="0"/>
                <w:sz w:val="18"/>
                <w:szCs w:val="18"/>
                <w:lang w:bidi="ar"/>
              </w:rPr>
            </w:pPr>
            <w:r>
              <w:rPr>
                <w:rFonts w:hint="eastAsia" w:ascii="宋体" w:hAnsi="宋体" w:eastAsia="宋体" w:cs="宋体"/>
                <w:color w:val="auto"/>
                <w:kern w:val="0"/>
                <w:sz w:val="18"/>
                <w:szCs w:val="18"/>
                <w:lang w:bidi="ar"/>
              </w:rPr>
              <w:t>内容包括：保障万向排气罩，原子吸收罩，通风柜，变频系统，风机，噪音消除，风量控制，酸雾净化塔，活性炭吸附塔（装置）等正常运转；</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细则：定期查看实验室通风系统，涉及的设备，确保风机使用正常，无老化现象，风管正常，无漏风现象。若出现这些状况，应及时处理。实验室局部通风涉及的设备，如通风柜、万向抽气罩等，其风管也要定期排查，设备定期检查，保障实验室实验环境的安全。</w:t>
            </w:r>
          </w:p>
        </w:tc>
        <w:tc>
          <w:tcPr>
            <w:tcW w:w="3303" w:type="dxa"/>
            <w:gridSpan w:val="2"/>
          </w:tcPr>
          <w:p>
            <w:pPr>
              <w:pStyle w:val="107"/>
              <w:widowControl/>
              <w:numPr>
                <w:ilvl w:val="0"/>
                <w:numId w:val="0"/>
              </w:numPr>
              <w:ind w:leftChars="0"/>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1.</w:t>
            </w:r>
            <w:r>
              <w:rPr>
                <w:rFonts w:hint="eastAsia" w:ascii="宋体" w:hAnsi="宋体" w:eastAsia="宋体" w:cs="宋体"/>
                <w:color w:val="auto"/>
                <w:sz w:val="18"/>
                <w:szCs w:val="18"/>
              </w:rPr>
              <w:t>检查万向排气罩、原子吸收罩、通风柜有无损坏，风量大小是否正常；</w:t>
            </w:r>
          </w:p>
          <w:p>
            <w:pPr>
              <w:pStyle w:val="107"/>
              <w:widowControl/>
              <w:numPr>
                <w:ilvl w:val="0"/>
                <w:numId w:val="0"/>
              </w:numPr>
              <w:ind w:leftChars="0"/>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2.</w:t>
            </w:r>
            <w:r>
              <w:rPr>
                <w:rFonts w:hint="eastAsia" w:ascii="宋体" w:hAnsi="宋体" w:eastAsia="宋体" w:cs="宋体"/>
                <w:color w:val="auto"/>
                <w:sz w:val="18"/>
                <w:szCs w:val="18"/>
              </w:rPr>
              <w:t>检测风机配套系列外观有无破损、腐蚀的情况，风机减震垫有无移动；查看变频系统运行显示；</w:t>
            </w:r>
          </w:p>
          <w:p>
            <w:pPr>
              <w:pStyle w:val="107"/>
              <w:widowControl/>
              <w:numPr>
                <w:ilvl w:val="0"/>
                <w:numId w:val="0"/>
              </w:numPr>
              <w:ind w:leftChars="0"/>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3.</w:t>
            </w:r>
            <w:r>
              <w:rPr>
                <w:rFonts w:hint="eastAsia" w:ascii="宋体" w:hAnsi="宋体" w:eastAsia="宋体" w:cs="宋体"/>
                <w:color w:val="auto"/>
                <w:sz w:val="18"/>
                <w:szCs w:val="18"/>
              </w:rPr>
              <w:t>检查酸雾净化塔，活性炭吸附塔（装置）的水泵电机轴承、水泵电机线圈、水泵头（入水口），水泵散热风扇电机；</w:t>
            </w:r>
          </w:p>
          <w:p>
            <w:pPr>
              <w:pStyle w:val="107"/>
              <w:widowControl/>
              <w:numPr>
                <w:ilvl w:val="0"/>
                <w:numId w:val="0"/>
              </w:numPr>
              <w:ind w:leftChars="0"/>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4.</w:t>
            </w:r>
            <w:r>
              <w:rPr>
                <w:rFonts w:hint="eastAsia" w:ascii="宋体" w:hAnsi="宋体" w:eastAsia="宋体" w:cs="宋体"/>
                <w:color w:val="auto"/>
                <w:sz w:val="18"/>
                <w:szCs w:val="18"/>
              </w:rPr>
              <w:t>重点检查屋面通风管道配套系列外观有无破损、腐蚀的情况，PVC管道是否存在漏风情况。</w:t>
            </w:r>
          </w:p>
        </w:tc>
        <w:tc>
          <w:tcPr>
            <w:tcW w:w="1325" w:type="dxa"/>
          </w:tcPr>
          <w:p>
            <w:pPr>
              <w:rPr>
                <w:rFonts w:hint="eastAsia" w:ascii="宋体" w:hAnsi="宋体" w:eastAsia="宋体" w:cs="宋体"/>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8" w:hRule="atLeast"/>
          <w:jc w:val="center"/>
        </w:trPr>
        <w:tc>
          <w:tcPr>
            <w:tcW w:w="936" w:type="dxa"/>
          </w:tcPr>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lang w:eastAsia="zh-CN"/>
              </w:rPr>
            </w:pPr>
            <w:r>
              <w:rPr>
                <w:rFonts w:hint="eastAsia" w:ascii="宋体" w:hAnsi="宋体" w:eastAsia="宋体" w:cs="宋体"/>
                <w:color w:val="auto"/>
                <w:sz w:val="18"/>
                <w:szCs w:val="18"/>
                <w:lang w:val="en-US" w:eastAsia="zh-CN"/>
              </w:rPr>
              <w:t>4</w:t>
            </w:r>
          </w:p>
        </w:tc>
        <w:tc>
          <w:tcPr>
            <w:tcW w:w="696" w:type="dxa"/>
          </w:tcPr>
          <w:p>
            <w:pPr>
              <w:widowControl/>
              <w:jc w:val="left"/>
              <w:rPr>
                <w:rFonts w:hint="eastAsia" w:ascii="宋体" w:hAnsi="宋体" w:eastAsia="宋体" w:cs="宋体"/>
                <w:color w:val="auto"/>
                <w:kern w:val="0"/>
                <w:sz w:val="18"/>
                <w:szCs w:val="18"/>
                <w:lang w:bidi="ar"/>
              </w:rPr>
            </w:pPr>
          </w:p>
          <w:p>
            <w:pPr>
              <w:widowControl/>
              <w:jc w:val="left"/>
              <w:rPr>
                <w:rFonts w:hint="eastAsia" w:ascii="宋体" w:hAnsi="宋体" w:eastAsia="宋体" w:cs="宋体"/>
                <w:color w:val="auto"/>
                <w:kern w:val="0"/>
                <w:sz w:val="18"/>
                <w:szCs w:val="18"/>
                <w:lang w:bidi="ar"/>
              </w:rPr>
            </w:pPr>
          </w:p>
          <w:p>
            <w:pPr>
              <w:widowControl/>
              <w:jc w:val="left"/>
              <w:rPr>
                <w:rFonts w:hint="eastAsia" w:ascii="宋体" w:hAnsi="宋体" w:eastAsia="宋体" w:cs="宋体"/>
                <w:color w:val="auto"/>
                <w:kern w:val="0"/>
                <w:sz w:val="18"/>
                <w:szCs w:val="18"/>
                <w:lang w:bidi="ar"/>
              </w:rPr>
            </w:pPr>
          </w:p>
          <w:p>
            <w:pPr>
              <w:widowControl/>
              <w:jc w:val="left"/>
              <w:rPr>
                <w:rFonts w:hint="eastAsia" w:ascii="宋体" w:hAnsi="宋体" w:eastAsia="宋体" w:cs="宋体"/>
                <w:color w:val="auto"/>
                <w:kern w:val="0"/>
                <w:sz w:val="18"/>
                <w:szCs w:val="18"/>
                <w:lang w:bidi="ar"/>
              </w:rPr>
            </w:pPr>
          </w:p>
          <w:p>
            <w:pPr>
              <w:widowControl/>
              <w:jc w:val="left"/>
              <w:rPr>
                <w:rFonts w:hint="eastAsia" w:ascii="宋体" w:hAnsi="宋体" w:eastAsia="宋体" w:cs="宋体"/>
                <w:color w:val="auto"/>
                <w:kern w:val="0"/>
                <w:sz w:val="18"/>
                <w:szCs w:val="18"/>
                <w:lang w:bidi="ar"/>
              </w:rPr>
            </w:pPr>
          </w:p>
          <w:p>
            <w:pPr>
              <w:widowControl/>
              <w:jc w:val="left"/>
              <w:rPr>
                <w:rFonts w:hint="eastAsia" w:ascii="宋体" w:hAnsi="宋体" w:eastAsia="宋体" w:cs="宋体"/>
                <w:color w:val="auto"/>
                <w:kern w:val="0"/>
                <w:sz w:val="18"/>
                <w:szCs w:val="18"/>
                <w:lang w:bidi="ar"/>
              </w:rPr>
            </w:pPr>
          </w:p>
          <w:p>
            <w:pPr>
              <w:widowControl/>
              <w:jc w:val="left"/>
              <w:rPr>
                <w:rFonts w:hint="eastAsia" w:ascii="宋体" w:hAnsi="宋体" w:eastAsia="宋体" w:cs="宋体"/>
                <w:color w:val="auto"/>
                <w:kern w:val="0"/>
                <w:sz w:val="18"/>
                <w:szCs w:val="18"/>
                <w:lang w:bidi="ar"/>
              </w:rPr>
            </w:pPr>
          </w:p>
          <w:p>
            <w:pPr>
              <w:widowControl/>
              <w:jc w:val="left"/>
              <w:rPr>
                <w:rFonts w:hint="eastAsia" w:ascii="宋体" w:hAnsi="宋体" w:eastAsia="宋体" w:cs="宋体"/>
                <w:color w:val="auto"/>
                <w:kern w:val="0"/>
                <w:sz w:val="18"/>
                <w:szCs w:val="18"/>
                <w:lang w:bidi="ar"/>
              </w:rPr>
            </w:pPr>
          </w:p>
          <w:p>
            <w:pPr>
              <w:widowControl/>
              <w:jc w:val="left"/>
              <w:rPr>
                <w:rFonts w:hint="eastAsia" w:ascii="宋体" w:hAnsi="宋体" w:eastAsia="宋体" w:cs="宋体"/>
                <w:color w:val="auto"/>
                <w:kern w:val="0"/>
                <w:sz w:val="18"/>
                <w:szCs w:val="18"/>
                <w:lang w:bidi="ar"/>
              </w:rPr>
            </w:pP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水电系统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维护维修</w:t>
            </w:r>
          </w:p>
          <w:p>
            <w:pPr>
              <w:rPr>
                <w:rFonts w:hint="eastAsia" w:ascii="宋体" w:hAnsi="宋体" w:eastAsia="宋体" w:cs="宋体"/>
                <w:color w:val="auto"/>
                <w:sz w:val="18"/>
                <w:szCs w:val="18"/>
              </w:rPr>
            </w:pPr>
          </w:p>
        </w:tc>
        <w:tc>
          <w:tcPr>
            <w:tcW w:w="3508" w:type="dxa"/>
            <w:gridSpan w:val="2"/>
          </w:tcPr>
          <w:p>
            <w:pPr>
              <w:widowControl/>
              <w:rPr>
                <w:rFonts w:hint="eastAsia" w:ascii="宋体" w:hAnsi="宋体" w:eastAsia="宋体" w:cs="宋体"/>
                <w:color w:val="auto"/>
                <w:sz w:val="18"/>
                <w:szCs w:val="18"/>
              </w:rPr>
            </w:pPr>
            <w:r>
              <w:rPr>
                <w:rFonts w:hint="eastAsia" w:ascii="宋体" w:hAnsi="宋体" w:eastAsia="宋体" w:cs="宋体"/>
                <w:color w:val="auto"/>
                <w:sz w:val="18"/>
                <w:szCs w:val="18"/>
              </w:rPr>
              <w:t>(1)上下水位</w:t>
            </w:r>
          </w:p>
          <w:p>
            <w:pPr>
              <w:widowControl/>
              <w:rPr>
                <w:rFonts w:hint="eastAsia" w:ascii="宋体" w:hAnsi="宋体" w:eastAsia="宋体" w:cs="宋体"/>
                <w:color w:val="auto"/>
                <w:sz w:val="18"/>
                <w:szCs w:val="18"/>
              </w:rPr>
            </w:pPr>
            <w:r>
              <w:rPr>
                <w:rFonts w:hint="eastAsia" w:ascii="宋体" w:hAnsi="宋体" w:eastAsia="宋体" w:cs="宋体"/>
                <w:color w:val="auto"/>
                <w:sz w:val="18"/>
                <w:szCs w:val="18"/>
              </w:rPr>
              <w:t>为确保实验室给排水系统正常运转，对各实验室上下水位、地漏管路、水槽、水龙头、洗眼器、紧急喷淋一个月进行检查一次，一年检查共计十二次；日常出现问题，要求</w:t>
            </w:r>
            <w:r>
              <w:rPr>
                <w:rFonts w:hint="eastAsia" w:ascii="宋体" w:hAnsi="宋体" w:eastAsia="宋体" w:cs="宋体"/>
                <w:color w:val="auto"/>
                <w:sz w:val="18"/>
                <w:szCs w:val="18"/>
                <w:lang w:val="en-US" w:eastAsia="zh-CN"/>
              </w:rPr>
              <w:t>2</w:t>
            </w:r>
            <w:r>
              <w:rPr>
                <w:rFonts w:hint="eastAsia" w:ascii="宋体" w:hAnsi="宋体" w:eastAsia="宋体" w:cs="宋体"/>
                <w:color w:val="auto"/>
                <w:sz w:val="18"/>
                <w:szCs w:val="18"/>
              </w:rPr>
              <w:t>小时内到达现场并解决问题。上水位管路为PP-R材质，下水为PVC材质，检测管路有无漏水情况，有无腐蚀情况，检测各实验室水盆、水龙头、滴水架、洗眼器、紧急喷淋检测实验室家具外表有无损坏，水龙头、洗眼器有无水、水流较小、漏水的情况，上述物品外观、功能出现问题，一律更换全新产品。</w:t>
            </w:r>
          </w:p>
          <w:p>
            <w:pPr>
              <w:widowControl/>
              <w:rPr>
                <w:rFonts w:hint="eastAsia" w:ascii="宋体" w:hAnsi="宋体" w:eastAsia="宋体" w:cs="宋体"/>
                <w:color w:val="auto"/>
                <w:sz w:val="18"/>
                <w:szCs w:val="18"/>
              </w:rPr>
            </w:pPr>
            <w:r>
              <w:rPr>
                <w:rFonts w:hint="eastAsia" w:ascii="宋体" w:hAnsi="宋体" w:eastAsia="宋体" w:cs="宋体"/>
                <w:color w:val="auto"/>
                <w:sz w:val="18"/>
                <w:szCs w:val="18"/>
              </w:rPr>
              <w:t>(2)电路点位</w:t>
            </w:r>
          </w:p>
          <w:p>
            <w:pPr>
              <w:widowControl/>
              <w:rPr>
                <w:rFonts w:hint="eastAsia" w:ascii="宋体" w:hAnsi="宋体" w:eastAsia="宋体" w:cs="宋体"/>
                <w:color w:val="auto"/>
                <w:sz w:val="18"/>
                <w:szCs w:val="18"/>
              </w:rPr>
            </w:pPr>
            <w:r>
              <w:rPr>
                <w:rFonts w:hint="eastAsia" w:ascii="宋体" w:hAnsi="宋体" w:eastAsia="宋体" w:cs="宋体"/>
                <w:color w:val="auto"/>
                <w:sz w:val="18"/>
                <w:szCs w:val="18"/>
              </w:rPr>
              <w:t>为确保实验室电路系统正常运转，对各科室电路点位、配电柜元器件一个月进行巡检一次，一年巡检共计十二次；日常出现问题，要求</w:t>
            </w:r>
            <w:r>
              <w:rPr>
                <w:rFonts w:hint="eastAsia" w:ascii="宋体" w:hAnsi="宋体" w:eastAsia="宋体" w:cs="宋体"/>
                <w:color w:val="auto"/>
                <w:sz w:val="18"/>
                <w:szCs w:val="18"/>
                <w:lang w:val="en-US" w:eastAsia="zh-CN"/>
              </w:rPr>
              <w:t>2</w:t>
            </w:r>
            <w:r>
              <w:rPr>
                <w:rFonts w:hint="eastAsia" w:ascii="宋体" w:hAnsi="宋体" w:eastAsia="宋体" w:cs="宋体"/>
                <w:color w:val="auto"/>
                <w:sz w:val="18"/>
                <w:szCs w:val="18"/>
              </w:rPr>
              <w:t>小时内到达现场并解决问题。检测线路表皮有无损坏，接线头处有无漏铜现象，电源处是否存在短路或断路情况，电源插座盒外表有无损坏，插座盒与台面固定是否牢固，电线是否老化，配电柜元器件外观有无破损，元器件功能有无损坏，上述物品外观、功能出现问题，一律更换全新产品。</w:t>
            </w:r>
          </w:p>
        </w:tc>
        <w:tc>
          <w:tcPr>
            <w:tcW w:w="3303" w:type="dxa"/>
            <w:gridSpan w:val="2"/>
          </w:tcPr>
          <w:p>
            <w:pPr>
              <w:pStyle w:val="107"/>
              <w:widowControl/>
              <w:numPr>
                <w:ilvl w:val="0"/>
                <w:numId w:val="0"/>
              </w:numPr>
              <w:ind w:leftChars="0"/>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1.</w:t>
            </w:r>
            <w:r>
              <w:rPr>
                <w:rFonts w:hint="eastAsia" w:ascii="宋体" w:hAnsi="宋体" w:eastAsia="宋体" w:cs="宋体"/>
                <w:color w:val="auto"/>
                <w:sz w:val="18"/>
                <w:szCs w:val="18"/>
              </w:rPr>
              <w:t>查看各实验室上下水位、地漏管路、水槽、水龙头、洗眼器、紧急喷淋有无漏水情况，有无腐蚀情况。</w:t>
            </w:r>
          </w:p>
          <w:p>
            <w:pPr>
              <w:pStyle w:val="107"/>
              <w:widowControl/>
              <w:numPr>
                <w:ilvl w:val="0"/>
                <w:numId w:val="0"/>
              </w:numPr>
              <w:ind w:leftChars="0"/>
              <w:rPr>
                <w:rFonts w:hint="eastAsia" w:ascii="宋体" w:hAnsi="宋体" w:eastAsia="宋体" w:cs="宋体"/>
                <w:color w:val="auto"/>
                <w:sz w:val="18"/>
                <w:szCs w:val="18"/>
              </w:rPr>
            </w:pPr>
            <w:r>
              <w:rPr>
                <w:rFonts w:hint="eastAsia" w:ascii="宋体" w:hAnsi="宋体" w:eastAsia="宋体" w:cs="宋体"/>
                <w:color w:val="auto"/>
                <w:sz w:val="18"/>
                <w:szCs w:val="18"/>
                <w:lang w:val="en-US" w:eastAsia="zh-CN"/>
              </w:rPr>
              <w:t>2.</w:t>
            </w:r>
            <w:r>
              <w:rPr>
                <w:rFonts w:hint="eastAsia" w:ascii="宋体" w:hAnsi="宋体" w:eastAsia="宋体" w:cs="宋体"/>
                <w:color w:val="auto"/>
                <w:sz w:val="18"/>
                <w:szCs w:val="18"/>
              </w:rPr>
              <w:t>检测线路表皮有无损坏，接线头处有无漏铜现象，电源处是否存在短路或断路情况，电源插座盒外表有无损坏，插座盒与台面固定是否牢固，电线是否老化，配电柜元器件外观有无破损，元器件功能有无损坏。</w:t>
            </w:r>
          </w:p>
        </w:tc>
        <w:tc>
          <w:tcPr>
            <w:tcW w:w="1325" w:type="dxa"/>
          </w:tcPr>
          <w:p>
            <w:pPr>
              <w:rPr>
                <w:rFonts w:hint="eastAsia" w:ascii="宋体" w:hAnsi="宋体" w:eastAsia="宋体" w:cs="宋体"/>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0" w:hRule="atLeast"/>
          <w:jc w:val="center"/>
        </w:trPr>
        <w:tc>
          <w:tcPr>
            <w:tcW w:w="936" w:type="dxa"/>
          </w:tcPr>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rPr>
            </w:pPr>
          </w:p>
          <w:p>
            <w:pPr>
              <w:jc w:val="center"/>
              <w:rPr>
                <w:rFonts w:hint="eastAsia" w:ascii="宋体" w:hAnsi="宋体" w:eastAsia="宋体" w:cs="宋体"/>
                <w:color w:val="auto"/>
                <w:sz w:val="18"/>
                <w:szCs w:val="18"/>
                <w:lang w:eastAsia="zh-CN"/>
              </w:rPr>
            </w:pPr>
            <w:r>
              <w:rPr>
                <w:rFonts w:hint="eastAsia" w:ascii="宋体" w:hAnsi="宋体" w:eastAsia="宋体" w:cs="宋体"/>
                <w:color w:val="auto"/>
                <w:sz w:val="18"/>
                <w:szCs w:val="18"/>
                <w:lang w:val="en-US" w:eastAsia="zh-CN"/>
              </w:rPr>
              <w:t>5</w:t>
            </w:r>
          </w:p>
        </w:tc>
        <w:tc>
          <w:tcPr>
            <w:tcW w:w="696" w:type="dxa"/>
          </w:tcPr>
          <w:p>
            <w:pPr>
              <w:widowControl/>
              <w:jc w:val="center"/>
              <w:rPr>
                <w:rFonts w:hint="eastAsia" w:ascii="宋体" w:hAnsi="宋体" w:eastAsia="宋体" w:cs="宋体"/>
                <w:color w:val="auto"/>
                <w:kern w:val="0"/>
                <w:sz w:val="18"/>
                <w:szCs w:val="18"/>
                <w:lang w:bidi="ar"/>
              </w:rPr>
            </w:pPr>
          </w:p>
          <w:p>
            <w:pPr>
              <w:widowControl/>
              <w:jc w:val="center"/>
              <w:rPr>
                <w:rFonts w:hint="eastAsia" w:ascii="宋体" w:hAnsi="宋体" w:eastAsia="宋体" w:cs="宋体"/>
                <w:color w:val="auto"/>
                <w:kern w:val="0"/>
                <w:sz w:val="18"/>
                <w:szCs w:val="18"/>
                <w:lang w:bidi="ar"/>
              </w:rPr>
            </w:pPr>
          </w:p>
          <w:p>
            <w:pPr>
              <w:widowControl/>
              <w:jc w:val="center"/>
              <w:rPr>
                <w:rFonts w:hint="eastAsia" w:ascii="宋体" w:hAnsi="宋体" w:eastAsia="宋体" w:cs="宋体"/>
                <w:color w:val="auto"/>
                <w:kern w:val="0"/>
                <w:sz w:val="18"/>
                <w:szCs w:val="18"/>
                <w:lang w:bidi="ar"/>
              </w:rPr>
            </w:pPr>
          </w:p>
          <w:p>
            <w:pPr>
              <w:widowControl/>
              <w:jc w:val="center"/>
              <w:rPr>
                <w:rFonts w:hint="eastAsia" w:ascii="宋体" w:hAnsi="宋体" w:eastAsia="宋体" w:cs="宋体"/>
                <w:color w:val="auto"/>
                <w:kern w:val="0"/>
                <w:sz w:val="18"/>
                <w:szCs w:val="18"/>
                <w:lang w:bidi="ar"/>
              </w:rPr>
            </w:pPr>
          </w:p>
          <w:p>
            <w:pPr>
              <w:widowControl/>
              <w:jc w:val="center"/>
              <w:rPr>
                <w:rFonts w:hint="eastAsia" w:ascii="宋体" w:hAnsi="宋体" w:eastAsia="宋体" w:cs="宋体"/>
                <w:color w:val="auto"/>
                <w:kern w:val="0"/>
                <w:sz w:val="18"/>
                <w:szCs w:val="18"/>
                <w:lang w:bidi="ar"/>
              </w:rPr>
            </w:pPr>
          </w:p>
          <w:p>
            <w:pPr>
              <w:widowControl/>
              <w:jc w:val="center"/>
              <w:rPr>
                <w:rFonts w:hint="eastAsia" w:ascii="宋体" w:hAnsi="宋体" w:eastAsia="宋体" w:cs="宋体"/>
                <w:color w:val="auto"/>
                <w:kern w:val="0"/>
                <w:sz w:val="18"/>
                <w:szCs w:val="18"/>
                <w:lang w:bidi="ar"/>
              </w:rPr>
            </w:pPr>
          </w:p>
          <w:p>
            <w:pPr>
              <w:widowControl/>
              <w:jc w:val="center"/>
              <w:rPr>
                <w:rFonts w:hint="eastAsia" w:ascii="宋体" w:hAnsi="宋体" w:eastAsia="宋体" w:cs="宋体"/>
                <w:color w:val="auto"/>
                <w:kern w:val="0"/>
                <w:sz w:val="18"/>
                <w:szCs w:val="18"/>
                <w:lang w:bidi="ar"/>
              </w:rPr>
            </w:pPr>
          </w:p>
          <w:p>
            <w:pPr>
              <w:widowControl/>
              <w:jc w:val="center"/>
              <w:rPr>
                <w:rFonts w:hint="eastAsia" w:ascii="宋体" w:hAnsi="宋体" w:eastAsia="宋体" w:cs="宋体"/>
                <w:color w:val="auto"/>
                <w:kern w:val="0"/>
                <w:sz w:val="18"/>
                <w:szCs w:val="18"/>
                <w:lang w:bidi="ar"/>
              </w:rPr>
            </w:pPr>
          </w:p>
          <w:p>
            <w:pPr>
              <w:widowControl/>
              <w:jc w:val="center"/>
              <w:rPr>
                <w:rFonts w:hint="eastAsia" w:ascii="宋体" w:hAnsi="宋体" w:eastAsia="宋体" w:cs="宋体"/>
                <w:color w:val="auto"/>
                <w:kern w:val="0"/>
                <w:sz w:val="18"/>
                <w:szCs w:val="18"/>
                <w:lang w:bidi="ar"/>
              </w:rPr>
            </w:pPr>
          </w:p>
          <w:p>
            <w:pPr>
              <w:widowControl/>
              <w:jc w:val="center"/>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污水处</w:t>
            </w:r>
          </w:p>
          <w:p>
            <w:pPr>
              <w:widowControl/>
              <w:jc w:val="center"/>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理系统</w:t>
            </w:r>
          </w:p>
          <w:p>
            <w:pPr>
              <w:rPr>
                <w:rFonts w:hint="eastAsia" w:ascii="宋体" w:hAnsi="宋体" w:eastAsia="宋体" w:cs="宋体"/>
                <w:color w:val="auto"/>
                <w:sz w:val="18"/>
                <w:szCs w:val="18"/>
              </w:rPr>
            </w:pPr>
          </w:p>
        </w:tc>
        <w:tc>
          <w:tcPr>
            <w:tcW w:w="3508" w:type="dxa"/>
            <w:gridSpan w:val="2"/>
          </w:tcPr>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A. 污水处理房设施操作及管理工作。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B. 污水处理房设备日常检查及调试工作。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日常检查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1）巡查污水处理房所有的设备是否处于正常待机状态，检查各池液位，确认哪些需要开机处理。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2）检查配药槽及药泵是否正常，药剂是否充足等。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3）检查各仪表（流量计）的设定范围是否合理。 </w:t>
            </w:r>
          </w:p>
          <w:p>
            <w:pPr>
              <w:widowControl/>
              <w:jc w:val="left"/>
              <w:rPr>
                <w:rFonts w:hint="eastAsia" w:ascii="宋体" w:hAnsi="宋体" w:eastAsia="宋体" w:cs="宋体"/>
                <w:color w:val="auto"/>
                <w:kern w:val="0"/>
                <w:sz w:val="18"/>
                <w:szCs w:val="18"/>
                <w:lang w:bidi="ar"/>
              </w:rPr>
            </w:pPr>
            <w:r>
              <w:rPr>
                <w:rFonts w:hint="eastAsia" w:ascii="宋体" w:hAnsi="宋体" w:eastAsia="宋体" w:cs="宋体"/>
                <w:color w:val="auto"/>
                <w:kern w:val="0"/>
                <w:sz w:val="18"/>
                <w:szCs w:val="18"/>
                <w:lang w:bidi="ar"/>
              </w:rPr>
              <w:t xml:space="preserve">4）检查栏杆、扶手、盖板是否安装齐全、牢固可靠，人易接触 到的转动设备是否带有防护罩、防护网。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5）检查设备、电线、管道及阀门开通情况，保证管路畅通。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6）检查设备类型、编号、就位状况与记录情况一致。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7）检查动力电源供应情况。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8）检查设备是否加足了润滑剂等。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9）检查主要人行通道是否畅通，对横跨主要通道的管道是否做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 xml:space="preserve">了保护措施。 </w:t>
            </w:r>
          </w:p>
          <w:p>
            <w:pPr>
              <w:widowControl/>
              <w:jc w:val="left"/>
              <w:rPr>
                <w:rFonts w:hint="eastAsia" w:ascii="宋体" w:hAnsi="宋体" w:eastAsia="宋体" w:cs="宋体"/>
                <w:color w:val="auto"/>
                <w:sz w:val="18"/>
                <w:szCs w:val="18"/>
              </w:rPr>
            </w:pPr>
            <w:r>
              <w:rPr>
                <w:rFonts w:hint="eastAsia" w:ascii="宋体" w:hAnsi="宋体" w:eastAsia="宋体" w:cs="宋体"/>
                <w:color w:val="auto"/>
                <w:kern w:val="0"/>
                <w:sz w:val="18"/>
                <w:szCs w:val="18"/>
                <w:lang w:bidi="ar"/>
              </w:rPr>
              <w:t>10）检查过程中产生的垃圾是否被清除。</w:t>
            </w:r>
          </w:p>
        </w:tc>
        <w:tc>
          <w:tcPr>
            <w:tcW w:w="3303" w:type="dxa"/>
            <w:gridSpan w:val="2"/>
          </w:tcPr>
          <w:p>
            <w:pPr>
              <w:widowControl/>
              <w:rPr>
                <w:rFonts w:hint="eastAsia" w:ascii="宋体" w:hAnsi="宋体" w:eastAsia="宋体" w:cs="宋体"/>
                <w:color w:val="auto"/>
                <w:sz w:val="18"/>
                <w:szCs w:val="18"/>
              </w:rPr>
            </w:pPr>
            <w:r>
              <w:rPr>
                <w:rFonts w:hint="eastAsia" w:ascii="宋体" w:hAnsi="宋体" w:eastAsia="宋体" w:cs="宋体"/>
                <w:color w:val="auto"/>
                <w:sz w:val="18"/>
                <w:szCs w:val="18"/>
              </w:rPr>
              <w:t>具体见日常检查1-10项工作内容</w:t>
            </w:r>
          </w:p>
        </w:tc>
        <w:tc>
          <w:tcPr>
            <w:tcW w:w="1325" w:type="dxa"/>
          </w:tcPr>
          <w:p>
            <w:pPr>
              <w:rPr>
                <w:rFonts w:hint="eastAsia" w:ascii="宋体" w:hAnsi="宋体" w:eastAsia="宋体" w:cs="宋体"/>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1632" w:type="dxa"/>
            <w:gridSpan w:val="2"/>
          </w:tcPr>
          <w:p>
            <w:pPr>
              <w:ind w:firstLine="360" w:firstLineChars="200"/>
              <w:rPr>
                <w:rFonts w:hint="eastAsia" w:ascii="宋体" w:hAnsi="宋体" w:eastAsia="宋体" w:cs="宋体"/>
                <w:color w:val="auto"/>
                <w:sz w:val="18"/>
                <w:szCs w:val="18"/>
              </w:rPr>
            </w:pPr>
          </w:p>
          <w:p>
            <w:pPr>
              <w:rPr>
                <w:rFonts w:hint="eastAsia" w:ascii="宋体" w:hAnsi="宋体" w:eastAsia="宋体" w:cs="宋体"/>
                <w:color w:val="auto"/>
                <w:sz w:val="18"/>
                <w:szCs w:val="18"/>
              </w:rPr>
            </w:pPr>
            <w:r>
              <w:rPr>
                <w:rFonts w:hint="eastAsia" w:ascii="宋体" w:hAnsi="宋体" w:eastAsia="宋体" w:cs="宋体"/>
                <w:color w:val="auto"/>
                <w:sz w:val="18"/>
                <w:szCs w:val="18"/>
              </w:rPr>
              <w:t>更换配件清单</w:t>
            </w:r>
          </w:p>
        </w:tc>
        <w:tc>
          <w:tcPr>
            <w:tcW w:w="8136" w:type="dxa"/>
            <w:gridSpan w:val="5"/>
          </w:tcPr>
          <w:p>
            <w:pPr>
              <w:rPr>
                <w:rFonts w:hint="eastAsia" w:ascii="宋体" w:hAnsi="宋体" w:eastAsia="宋体" w:cs="宋体"/>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768" w:type="dxa"/>
            <w:gridSpan w:val="7"/>
          </w:tcPr>
          <w:p>
            <w:pPr>
              <w:rPr>
                <w:rFonts w:hint="eastAsia" w:ascii="宋体" w:hAnsi="宋体" w:eastAsia="宋体" w:cs="宋体"/>
                <w:color w:val="auto"/>
                <w:sz w:val="18"/>
                <w:szCs w:val="18"/>
              </w:rPr>
            </w:pPr>
            <w:r>
              <w:rPr>
                <w:rFonts w:hint="eastAsia" w:ascii="宋体" w:hAnsi="宋体" w:eastAsia="宋体" w:cs="宋体"/>
                <w:color w:val="auto"/>
                <w:sz w:val="18"/>
                <w:szCs w:val="18"/>
              </w:rPr>
              <w:t>用户意见：   满意口       基本满意口      不满意口</w:t>
            </w:r>
          </w:p>
          <w:p>
            <w:pPr>
              <w:rPr>
                <w:rFonts w:hint="eastAsia" w:ascii="宋体" w:hAnsi="宋体" w:eastAsia="宋体" w:cs="宋体"/>
                <w:color w:val="auto"/>
                <w:sz w:val="18"/>
                <w:szCs w:val="18"/>
              </w:rPr>
            </w:pPr>
          </w:p>
          <w:p>
            <w:pPr>
              <w:rPr>
                <w:rFonts w:hint="eastAsia" w:ascii="宋体" w:hAnsi="宋体" w:eastAsia="宋体" w:cs="宋体"/>
                <w:color w:val="auto"/>
                <w:sz w:val="18"/>
                <w:szCs w:val="18"/>
              </w:rPr>
            </w:pPr>
            <w:r>
              <w:rPr>
                <w:rFonts w:hint="eastAsia" w:ascii="宋体" w:hAnsi="宋体" w:eastAsia="宋体" w:cs="宋体"/>
                <w:color w:val="auto"/>
                <w:sz w:val="18"/>
                <w:szCs w:val="18"/>
              </w:rPr>
              <w:t xml:space="preserve">用户签字：                  </w:t>
            </w:r>
            <w:r>
              <w:rPr>
                <w:rFonts w:hint="eastAsia" w:ascii="宋体" w:hAnsi="宋体" w:eastAsia="宋体" w:cs="宋体"/>
                <w:color w:val="auto"/>
                <w:sz w:val="18"/>
                <w:szCs w:val="18"/>
                <w:lang w:val="en-US" w:eastAsia="zh-CN"/>
              </w:rPr>
              <w:t xml:space="preserve">          </w:t>
            </w:r>
            <w:r>
              <w:rPr>
                <w:rFonts w:hint="eastAsia" w:ascii="宋体" w:hAnsi="宋体" w:eastAsia="宋体" w:cs="宋体"/>
                <w:color w:val="auto"/>
                <w:sz w:val="18"/>
                <w:szCs w:val="18"/>
              </w:rPr>
              <w:t xml:space="preserve">        年     月     日</w:t>
            </w:r>
          </w:p>
        </w:tc>
      </w:tr>
    </w:tbl>
    <w:p>
      <w:pPr>
        <w:pStyle w:val="27"/>
        <w:spacing w:line="360" w:lineRule="auto"/>
        <w:rPr>
          <w:rFonts w:hint="eastAsia" w:ascii="宋体" w:hAnsi="宋体" w:eastAsia="宋体" w:cs="宋体"/>
        </w:rPr>
      </w:pPr>
    </w:p>
    <w:p>
      <w:pPr>
        <w:pStyle w:val="27"/>
        <w:spacing w:line="360" w:lineRule="auto"/>
        <w:rPr>
          <w:rFonts w:hint="eastAsia" w:ascii="宋体" w:hAnsi="宋体" w:eastAsia="宋体" w:cs="宋体"/>
        </w:rPr>
      </w:pPr>
    </w:p>
    <w:p>
      <w:pPr>
        <w:pStyle w:val="27"/>
        <w:spacing w:line="360" w:lineRule="auto"/>
        <w:rPr>
          <w:rFonts w:hint="eastAsia" w:ascii="宋体" w:hAnsi="宋体" w:eastAsia="宋体" w:cs="宋体"/>
        </w:rPr>
      </w:pPr>
    </w:p>
    <w:p>
      <w:pPr>
        <w:pStyle w:val="27"/>
        <w:spacing w:line="360" w:lineRule="auto"/>
        <w:rPr>
          <w:rFonts w:hint="eastAsia" w:ascii="宋体" w:hAnsi="宋体" w:eastAsia="宋体" w:cs="宋体"/>
        </w:rPr>
      </w:pPr>
    </w:p>
    <w:p>
      <w:pPr>
        <w:pStyle w:val="27"/>
        <w:spacing w:line="360" w:lineRule="auto"/>
        <w:rPr>
          <w:rFonts w:hint="eastAsia" w:ascii="宋体" w:hAnsi="宋体" w:eastAsia="宋体" w:cs="宋体"/>
        </w:rPr>
      </w:pPr>
    </w:p>
    <w:p>
      <w:pPr>
        <w:pStyle w:val="27"/>
        <w:spacing w:line="360" w:lineRule="auto"/>
        <w:rPr>
          <w:rFonts w:hint="eastAsia" w:ascii="宋体" w:hAnsi="宋体" w:eastAsia="宋体" w:cs="宋体"/>
        </w:rPr>
      </w:pPr>
    </w:p>
    <w:p>
      <w:pPr>
        <w:pStyle w:val="27"/>
        <w:spacing w:line="360" w:lineRule="auto"/>
        <w:rPr>
          <w:rFonts w:hint="eastAsia" w:ascii="宋体" w:hAnsi="宋体" w:eastAsia="宋体" w:cs="宋体"/>
        </w:rPr>
      </w:pPr>
    </w:p>
    <w:p>
      <w:pPr>
        <w:pStyle w:val="27"/>
        <w:spacing w:line="360" w:lineRule="auto"/>
        <w:rPr>
          <w:rFonts w:hint="eastAsia" w:ascii="宋体" w:hAnsi="宋体" w:eastAsia="宋体" w:cs="宋体"/>
        </w:rPr>
      </w:pPr>
    </w:p>
    <w:p>
      <w:pPr>
        <w:pStyle w:val="27"/>
        <w:spacing w:line="360" w:lineRule="auto"/>
        <w:rPr>
          <w:rFonts w:hint="eastAsia" w:ascii="宋体" w:hAnsi="宋体" w:cs="宋体"/>
        </w:rPr>
      </w:pPr>
    </w:p>
    <w:p>
      <w:pPr>
        <w:pStyle w:val="27"/>
        <w:spacing w:line="360" w:lineRule="auto"/>
        <w:rPr>
          <w:rFonts w:hint="eastAsia" w:ascii="宋体" w:hAnsi="宋体" w:cs="宋体"/>
        </w:rPr>
      </w:pPr>
    </w:p>
    <w:p>
      <w:pPr>
        <w:pStyle w:val="27"/>
        <w:spacing w:line="360" w:lineRule="auto"/>
        <w:rPr>
          <w:rFonts w:hint="eastAsia" w:ascii="宋体" w:hAnsi="宋体" w:cs="宋体"/>
        </w:rPr>
      </w:pPr>
    </w:p>
    <w:p>
      <w:pPr>
        <w:pStyle w:val="27"/>
        <w:spacing w:line="360" w:lineRule="auto"/>
        <w:rPr>
          <w:rFonts w:hint="eastAsia" w:ascii="宋体" w:hAnsi="宋体" w:cs="宋体"/>
        </w:rPr>
      </w:pPr>
    </w:p>
    <w:p>
      <w:pPr>
        <w:pStyle w:val="27"/>
        <w:spacing w:line="360" w:lineRule="auto"/>
        <w:rPr>
          <w:rFonts w:hint="eastAsia" w:ascii="宋体" w:hAnsi="宋体" w:cs="宋体"/>
        </w:rPr>
      </w:pPr>
    </w:p>
    <w:p>
      <w:pPr>
        <w:pStyle w:val="27"/>
        <w:spacing w:line="360" w:lineRule="auto"/>
        <w:rPr>
          <w:rFonts w:ascii="宋体" w:hAnsi="宋体" w:cs="宋体"/>
        </w:rPr>
      </w:pPr>
      <w:r>
        <w:rPr>
          <w:rFonts w:hint="eastAsia" w:ascii="宋体" w:hAnsi="宋体" w:cs="宋体"/>
        </w:rPr>
        <w:t>第四章  响应文件格式</w:t>
      </w:r>
      <w:bookmarkEnd w:id="109"/>
      <w:bookmarkEnd w:id="110"/>
    </w:p>
    <w:p>
      <w:pPr>
        <w:pStyle w:val="15"/>
        <w:spacing w:line="360" w:lineRule="auto"/>
        <w:rPr>
          <w:rFonts w:hAnsi="宋体" w:cs="宋体"/>
          <w:b/>
        </w:rPr>
      </w:pPr>
      <w:r>
        <w:rPr>
          <w:rFonts w:hint="eastAsia" w:hAnsi="宋体" w:cs="宋体"/>
          <w:b/>
        </w:rPr>
        <w:t>格式1：</w:t>
      </w:r>
    </w:p>
    <w:p>
      <w:pPr>
        <w:pStyle w:val="15"/>
        <w:spacing w:line="360" w:lineRule="auto"/>
        <w:jc w:val="center"/>
        <w:rPr>
          <w:rFonts w:hAnsi="宋体" w:cs="宋体"/>
          <w:sz w:val="32"/>
        </w:rPr>
      </w:pPr>
      <w:r>
        <w:rPr>
          <w:rFonts w:hint="eastAsia" w:hAnsi="宋体" w:cs="宋体"/>
          <w:b/>
          <w:bCs/>
          <w:sz w:val="30"/>
          <w:szCs w:val="30"/>
        </w:rPr>
        <w:t>响应函（格式）</w:t>
      </w:r>
    </w:p>
    <w:p>
      <w:pPr>
        <w:pStyle w:val="15"/>
        <w:spacing w:line="360" w:lineRule="auto"/>
        <w:ind w:firstLine="420" w:firstLineChars="200"/>
        <w:rPr>
          <w:rFonts w:hAnsi="宋体" w:cs="宋体"/>
          <w:szCs w:val="21"/>
        </w:rPr>
      </w:pPr>
      <w:r>
        <w:rPr>
          <w:rFonts w:hint="eastAsia" w:hAnsi="宋体" w:cs="宋体"/>
          <w:szCs w:val="21"/>
        </w:rPr>
        <w:t>致：</w:t>
      </w:r>
      <w:r>
        <w:rPr>
          <w:rFonts w:hint="eastAsia" w:hAnsi="宋体" w:cs="宋体"/>
          <w:szCs w:val="21"/>
          <w:u w:val="single"/>
        </w:rPr>
        <w:t xml:space="preserve">                      </w:t>
      </w:r>
      <w:r>
        <w:rPr>
          <w:rFonts w:hint="eastAsia" w:hAnsi="宋体" w:cs="宋体"/>
          <w:szCs w:val="21"/>
        </w:rPr>
        <w:t>（采购代理机构名称）</w:t>
      </w:r>
    </w:p>
    <w:p>
      <w:pPr>
        <w:pStyle w:val="15"/>
        <w:spacing w:line="360" w:lineRule="auto"/>
        <w:ind w:firstLine="420" w:firstLineChars="200"/>
        <w:rPr>
          <w:rFonts w:hAnsi="宋体" w:cs="宋体"/>
          <w:szCs w:val="21"/>
        </w:rPr>
      </w:pPr>
      <w:r>
        <w:rPr>
          <w:rFonts w:hint="eastAsia" w:hAnsi="宋体" w:cs="宋体"/>
          <w:szCs w:val="21"/>
        </w:rPr>
        <w:t>我方已仔细阅读了贵方组织的项目</w:t>
      </w:r>
      <w:r>
        <w:rPr>
          <w:rFonts w:hint="eastAsia" w:hAnsi="宋体" w:cs="宋体"/>
          <w:szCs w:val="21"/>
          <w:u w:val="single"/>
        </w:rPr>
        <w:t xml:space="preserve">                </w:t>
      </w:r>
      <w:r>
        <w:rPr>
          <w:rFonts w:hint="eastAsia" w:hAnsi="宋体" w:cs="宋体"/>
          <w:szCs w:val="21"/>
        </w:rPr>
        <w:t>（项目编号：</w:t>
      </w:r>
      <w:r>
        <w:rPr>
          <w:rFonts w:hint="eastAsia" w:hAnsi="宋体" w:cs="宋体"/>
          <w:szCs w:val="21"/>
          <w:u w:val="single"/>
        </w:rPr>
        <w:t xml:space="preserve">         </w:t>
      </w:r>
      <w:r>
        <w:rPr>
          <w:rFonts w:hint="eastAsia" w:hAnsi="宋体" w:cs="宋体"/>
          <w:szCs w:val="21"/>
        </w:rPr>
        <w:t xml:space="preserve">）的竞争性磋商文件的全部内容，现正式提交下述响应文件参加贵方组织的本次活动： </w:t>
      </w:r>
    </w:p>
    <w:p>
      <w:pPr>
        <w:pStyle w:val="15"/>
        <w:spacing w:line="360" w:lineRule="auto"/>
        <w:ind w:firstLine="420" w:firstLineChars="200"/>
        <w:rPr>
          <w:rFonts w:hAnsi="宋体" w:cs="宋体"/>
          <w:szCs w:val="21"/>
        </w:rPr>
      </w:pPr>
      <w:r>
        <w:rPr>
          <w:rFonts w:hint="eastAsia" w:hAnsi="宋体" w:cs="宋体"/>
          <w:szCs w:val="21"/>
        </w:rPr>
        <w:t>一、首次报价文件正本一份，副本</w:t>
      </w:r>
      <w:r>
        <w:rPr>
          <w:rFonts w:hint="eastAsia" w:hAnsi="宋体" w:cs="宋体"/>
          <w:szCs w:val="21"/>
          <w:u w:val="single"/>
        </w:rPr>
        <w:t xml:space="preserve">   </w:t>
      </w:r>
      <w:r>
        <w:rPr>
          <w:rFonts w:hint="eastAsia" w:hAnsi="宋体" w:cs="宋体"/>
          <w:szCs w:val="21"/>
        </w:rPr>
        <w:t>份（包含按磋商供应商须知第10.1.1项要求提交的全部文件）；</w:t>
      </w:r>
    </w:p>
    <w:p>
      <w:pPr>
        <w:pStyle w:val="15"/>
        <w:spacing w:line="360" w:lineRule="auto"/>
        <w:ind w:firstLine="420" w:firstLineChars="200"/>
        <w:rPr>
          <w:rFonts w:hAnsi="宋体" w:cs="宋体"/>
          <w:szCs w:val="21"/>
        </w:rPr>
      </w:pPr>
      <w:r>
        <w:rPr>
          <w:rFonts w:hint="eastAsia" w:hAnsi="宋体" w:cs="宋体"/>
          <w:szCs w:val="21"/>
        </w:rPr>
        <w:t>二、技术文件正本一份，副本</w:t>
      </w:r>
      <w:r>
        <w:rPr>
          <w:rFonts w:hint="eastAsia" w:hAnsi="宋体" w:cs="宋体"/>
          <w:szCs w:val="21"/>
          <w:u w:val="single"/>
        </w:rPr>
        <w:t xml:space="preserve">   </w:t>
      </w:r>
      <w:r>
        <w:rPr>
          <w:rFonts w:hint="eastAsia" w:hAnsi="宋体" w:cs="宋体"/>
          <w:szCs w:val="21"/>
        </w:rPr>
        <w:t>份（包含按磋商供应商须知第10.1.2项要求提交的全部文件）；</w:t>
      </w:r>
    </w:p>
    <w:p>
      <w:pPr>
        <w:pStyle w:val="15"/>
        <w:spacing w:line="360" w:lineRule="auto"/>
        <w:ind w:firstLine="420" w:firstLineChars="200"/>
        <w:rPr>
          <w:rFonts w:hAnsi="宋体" w:cs="宋体"/>
          <w:szCs w:val="21"/>
        </w:rPr>
      </w:pPr>
      <w:r>
        <w:rPr>
          <w:rFonts w:hint="eastAsia" w:hAnsi="宋体" w:cs="宋体"/>
          <w:szCs w:val="21"/>
        </w:rPr>
        <w:t>三、商务文件正本一份，副本</w:t>
      </w:r>
      <w:r>
        <w:rPr>
          <w:rFonts w:hint="eastAsia" w:hAnsi="宋体" w:cs="宋体"/>
          <w:szCs w:val="21"/>
          <w:u w:val="single"/>
        </w:rPr>
        <w:t xml:space="preserve">   </w:t>
      </w:r>
      <w:r>
        <w:rPr>
          <w:rFonts w:hint="eastAsia" w:hAnsi="宋体" w:cs="宋体"/>
          <w:szCs w:val="21"/>
        </w:rPr>
        <w:t>份（包含按磋商供应商须知第10.1.3项要求提交的全部文件）。</w:t>
      </w:r>
    </w:p>
    <w:p>
      <w:pPr>
        <w:pStyle w:val="15"/>
        <w:spacing w:line="360" w:lineRule="auto"/>
        <w:ind w:firstLine="482"/>
        <w:rPr>
          <w:rFonts w:hAnsi="宋体" w:cs="宋体"/>
          <w:szCs w:val="21"/>
        </w:rPr>
      </w:pPr>
      <w:r>
        <w:rPr>
          <w:rFonts w:hint="eastAsia" w:hAnsi="宋体" w:cs="宋体"/>
          <w:szCs w:val="21"/>
        </w:rPr>
        <w:t>据此函，签字人兹宣布：</w:t>
      </w:r>
    </w:p>
    <w:p>
      <w:pPr>
        <w:pStyle w:val="15"/>
        <w:numPr>
          <w:ilvl w:val="0"/>
          <w:numId w:val="4"/>
        </w:numPr>
        <w:spacing w:line="360" w:lineRule="auto"/>
        <w:ind w:firstLine="482"/>
        <w:rPr>
          <w:rFonts w:hint="eastAsia" w:hAnsi="宋体" w:cs="宋体"/>
          <w:szCs w:val="21"/>
        </w:rPr>
      </w:pPr>
      <w:r>
        <w:rPr>
          <w:rFonts w:hint="eastAsia" w:hAnsi="宋体" w:cs="宋体"/>
          <w:szCs w:val="21"/>
          <w:lang w:eastAsia="zh-CN"/>
        </w:rPr>
        <w:t>分包一：</w:t>
      </w:r>
      <w:r>
        <w:rPr>
          <w:rFonts w:hint="eastAsia" w:hAnsi="宋体" w:cs="宋体"/>
          <w:szCs w:val="21"/>
        </w:rPr>
        <w:t>我方愿意以</w:t>
      </w:r>
      <w:r>
        <w:rPr>
          <w:rFonts w:hint="eastAsia" w:ascii="宋体" w:hAnsi="宋体" w:eastAsia="宋体" w:cs="宋体"/>
          <w:color w:val="auto"/>
          <w:sz w:val="21"/>
          <w:szCs w:val="21"/>
          <w:highlight w:val="none"/>
        </w:rPr>
        <w:t>（大写）人民币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元)的竞标总报价，服务</w:t>
      </w:r>
      <w:r>
        <w:rPr>
          <w:rFonts w:hint="eastAsia" w:hAnsi="宋体" w:cs="宋体"/>
          <w:color w:val="auto"/>
          <w:sz w:val="21"/>
          <w:szCs w:val="21"/>
          <w:highlight w:val="none"/>
          <w:lang w:eastAsia="zh-CN"/>
        </w:rPr>
        <w:t>时间</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hAnsi="宋体" w:cs="宋体"/>
          <w:color w:val="auto"/>
          <w:sz w:val="21"/>
          <w:szCs w:val="21"/>
          <w:highlight w:val="none"/>
          <w:lang w:eastAsia="zh-CN"/>
        </w:rPr>
        <w:t>；</w:t>
      </w:r>
      <w:r>
        <w:rPr>
          <w:rFonts w:hint="eastAsia" w:ascii="宋体" w:hAnsi="宋体" w:eastAsia="宋体" w:cs="宋体"/>
          <w:szCs w:val="21"/>
          <w:lang w:eastAsia="zh-CN"/>
        </w:rPr>
        <w:t>分包二：</w:t>
      </w:r>
      <w:r>
        <w:rPr>
          <w:rFonts w:hint="eastAsia" w:ascii="宋体" w:hAnsi="宋体" w:eastAsia="宋体" w:cs="宋体"/>
          <w:szCs w:val="21"/>
        </w:rPr>
        <w:t xml:space="preserve">我方愿意以（大写）人民币 </w:t>
      </w:r>
      <w:r>
        <w:rPr>
          <w:rFonts w:hint="eastAsia" w:ascii="宋体" w:hAnsi="宋体" w:eastAsia="宋体" w:cs="宋体"/>
          <w:szCs w:val="21"/>
          <w:u w:val="single"/>
        </w:rPr>
        <w:t xml:space="preserve">            </w:t>
      </w:r>
      <w:r>
        <w:rPr>
          <w:rFonts w:hint="eastAsia" w:ascii="宋体" w:hAnsi="宋体" w:eastAsia="宋体" w:cs="宋体"/>
          <w:szCs w:val="21"/>
        </w:rPr>
        <w:t xml:space="preserve"> （￥</w:t>
      </w:r>
      <w:r>
        <w:rPr>
          <w:rFonts w:hint="eastAsia" w:ascii="宋体" w:hAnsi="宋体" w:eastAsia="宋体" w:cs="宋体"/>
          <w:szCs w:val="21"/>
          <w:u w:val="single"/>
        </w:rPr>
        <w:t xml:space="preserve">          </w:t>
      </w:r>
      <w:r>
        <w:rPr>
          <w:rFonts w:hint="eastAsia" w:ascii="宋体" w:hAnsi="宋体" w:eastAsia="宋体" w:cs="宋体"/>
          <w:szCs w:val="21"/>
        </w:rPr>
        <w:t>元)的竞标总报价，服</w:t>
      </w:r>
      <w:r>
        <w:rPr>
          <w:rFonts w:hint="eastAsia" w:ascii="宋体" w:hAnsi="宋体" w:eastAsia="宋体" w:cs="宋体"/>
          <w:color w:val="auto"/>
          <w:sz w:val="21"/>
          <w:szCs w:val="21"/>
          <w:highlight w:val="none"/>
        </w:rPr>
        <w:t>务</w:t>
      </w:r>
      <w:r>
        <w:rPr>
          <w:rFonts w:hint="eastAsia" w:hAnsi="宋体" w:cs="宋体"/>
          <w:color w:val="auto"/>
          <w:sz w:val="21"/>
          <w:szCs w:val="21"/>
          <w:highlight w:val="none"/>
          <w:lang w:eastAsia="zh-CN"/>
        </w:rPr>
        <w:t>时间</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none"/>
        </w:rPr>
        <w:t xml:space="preserve"> </w:t>
      </w:r>
      <w:r>
        <w:rPr>
          <w:rFonts w:hint="eastAsia" w:ascii="宋体" w:hAnsi="宋体" w:eastAsia="宋体" w:cs="宋体"/>
          <w:color w:val="auto"/>
          <w:sz w:val="21"/>
          <w:szCs w:val="21"/>
          <w:highlight w:val="none"/>
          <w:u w:val="none"/>
          <w:lang w:eastAsia="zh-CN"/>
        </w:rPr>
        <w:t>；</w:t>
      </w:r>
      <w:r>
        <w:rPr>
          <w:rFonts w:hint="eastAsia" w:hAnsi="宋体" w:cs="宋体"/>
          <w:szCs w:val="21"/>
        </w:rPr>
        <w:t>提供本项目竞争性磋商文件第三章 “服务需求一览表”中相应的采购内容。</w:t>
      </w:r>
    </w:p>
    <w:p>
      <w:pPr>
        <w:pStyle w:val="15"/>
        <w:spacing w:line="360" w:lineRule="auto"/>
        <w:ind w:firstLine="482"/>
        <w:rPr>
          <w:rFonts w:hAnsi="宋体" w:cs="宋体"/>
          <w:szCs w:val="21"/>
        </w:rPr>
      </w:pPr>
      <w:r>
        <w:rPr>
          <w:rFonts w:hint="eastAsia" w:hAnsi="宋体" w:cs="宋体"/>
          <w:szCs w:val="21"/>
        </w:rPr>
        <w:t>2、我方同意自本项目竞争性磋商文件“磋商供应商须知”第15.1项规定的提交响应文件截止时间起遵循本响应函，并承诺在“磋商供应商须知”第12.1项规定的响应有效期内不修改、撤销响应文件。</w:t>
      </w:r>
    </w:p>
    <w:p>
      <w:pPr>
        <w:pStyle w:val="15"/>
        <w:spacing w:line="360" w:lineRule="auto"/>
        <w:ind w:firstLine="482"/>
        <w:rPr>
          <w:rFonts w:hAnsi="宋体" w:cs="宋体"/>
          <w:szCs w:val="21"/>
        </w:rPr>
      </w:pPr>
      <w:r>
        <w:rPr>
          <w:rFonts w:hint="eastAsia" w:hAnsi="宋体" w:cs="宋体"/>
          <w:szCs w:val="21"/>
        </w:rPr>
        <w:t>3、我方在此声明，所提交的响应文件及有关资料内容完整、真实和准确。</w:t>
      </w:r>
    </w:p>
    <w:p>
      <w:pPr>
        <w:pStyle w:val="15"/>
        <w:spacing w:line="360" w:lineRule="auto"/>
        <w:ind w:firstLine="482"/>
        <w:rPr>
          <w:rFonts w:hAnsi="宋体" w:cs="宋体"/>
          <w:szCs w:val="21"/>
        </w:rPr>
      </w:pPr>
      <w:r>
        <w:rPr>
          <w:rFonts w:hint="eastAsia" w:hAnsi="宋体" w:cs="宋体"/>
          <w:szCs w:val="21"/>
        </w:rPr>
        <w:t>4、我方承诺已经具备《中华人民共和国政府采购法》中规定的参加采购活动的供应商应当具备的条件：</w:t>
      </w:r>
    </w:p>
    <w:p>
      <w:pPr>
        <w:pStyle w:val="15"/>
        <w:numPr>
          <w:ilvl w:val="0"/>
          <w:numId w:val="5"/>
        </w:numPr>
        <w:spacing w:line="360" w:lineRule="auto"/>
        <w:rPr>
          <w:rFonts w:hAnsi="宋体" w:cs="宋体"/>
          <w:szCs w:val="21"/>
        </w:rPr>
      </w:pPr>
      <w:r>
        <w:rPr>
          <w:rFonts w:hint="eastAsia" w:hAnsi="宋体" w:cs="宋体"/>
          <w:szCs w:val="21"/>
        </w:rPr>
        <w:t>具有独立承担民事责任的能力；</w:t>
      </w:r>
    </w:p>
    <w:p>
      <w:pPr>
        <w:pStyle w:val="15"/>
        <w:numPr>
          <w:ilvl w:val="0"/>
          <w:numId w:val="5"/>
        </w:numPr>
        <w:spacing w:line="360" w:lineRule="auto"/>
        <w:rPr>
          <w:rFonts w:hAnsi="宋体" w:cs="宋体"/>
          <w:szCs w:val="21"/>
        </w:rPr>
      </w:pPr>
      <w:r>
        <w:rPr>
          <w:rFonts w:hint="eastAsia" w:hAnsi="宋体" w:cs="宋体"/>
          <w:szCs w:val="21"/>
        </w:rPr>
        <w:t>具有良好的商业信誉和健全的财务会计制度；</w:t>
      </w:r>
    </w:p>
    <w:p>
      <w:pPr>
        <w:pStyle w:val="15"/>
        <w:numPr>
          <w:ilvl w:val="0"/>
          <w:numId w:val="5"/>
        </w:numPr>
        <w:spacing w:line="360" w:lineRule="auto"/>
        <w:rPr>
          <w:rFonts w:hAnsi="宋体" w:cs="宋体"/>
          <w:szCs w:val="21"/>
        </w:rPr>
      </w:pPr>
      <w:r>
        <w:rPr>
          <w:rFonts w:hint="eastAsia" w:hAnsi="宋体" w:cs="宋体"/>
          <w:szCs w:val="21"/>
        </w:rPr>
        <w:t>具有履行合同所必需的设备和专业技术能力；</w:t>
      </w:r>
    </w:p>
    <w:p>
      <w:pPr>
        <w:pStyle w:val="15"/>
        <w:numPr>
          <w:ilvl w:val="0"/>
          <w:numId w:val="5"/>
        </w:numPr>
        <w:spacing w:line="360" w:lineRule="auto"/>
        <w:rPr>
          <w:rFonts w:hAnsi="宋体" w:cs="宋体"/>
          <w:szCs w:val="21"/>
        </w:rPr>
      </w:pPr>
      <w:r>
        <w:rPr>
          <w:rFonts w:hint="eastAsia" w:hAnsi="宋体" w:cs="宋体"/>
          <w:szCs w:val="21"/>
        </w:rPr>
        <w:t>有依法缴纳税收和社会保障资金的良好记录；</w:t>
      </w:r>
    </w:p>
    <w:p>
      <w:pPr>
        <w:pStyle w:val="15"/>
        <w:numPr>
          <w:ilvl w:val="0"/>
          <w:numId w:val="5"/>
        </w:numPr>
        <w:spacing w:line="360" w:lineRule="auto"/>
        <w:rPr>
          <w:rFonts w:hAnsi="宋体" w:cs="宋体"/>
          <w:szCs w:val="21"/>
        </w:rPr>
      </w:pPr>
      <w:r>
        <w:rPr>
          <w:rFonts w:hint="eastAsia" w:hAnsi="宋体" w:cs="宋体"/>
          <w:szCs w:val="21"/>
        </w:rPr>
        <w:t>参加活动前三年内，在经营活动中没有重大违法记录；</w:t>
      </w:r>
    </w:p>
    <w:p>
      <w:pPr>
        <w:pStyle w:val="15"/>
        <w:numPr>
          <w:ilvl w:val="0"/>
          <w:numId w:val="5"/>
        </w:numPr>
        <w:spacing w:line="360" w:lineRule="auto"/>
        <w:rPr>
          <w:rFonts w:hAnsi="宋体" w:cs="宋体"/>
          <w:szCs w:val="21"/>
        </w:rPr>
      </w:pPr>
      <w:r>
        <w:rPr>
          <w:rFonts w:hint="eastAsia" w:hAnsi="宋体" w:cs="宋体"/>
          <w:szCs w:val="21"/>
        </w:rPr>
        <w:t>法律、行政法规规定的其他条件。</w:t>
      </w:r>
    </w:p>
    <w:p>
      <w:pPr>
        <w:pStyle w:val="15"/>
        <w:spacing w:line="360" w:lineRule="auto"/>
        <w:ind w:firstLine="482"/>
        <w:rPr>
          <w:rFonts w:hAnsi="宋体" w:cs="宋体"/>
          <w:szCs w:val="21"/>
        </w:rPr>
      </w:pPr>
      <w:r>
        <w:rPr>
          <w:rFonts w:hint="eastAsia" w:hAnsi="宋体" w:cs="宋体"/>
          <w:szCs w:val="21"/>
        </w:rPr>
        <w:t>5、如我方成交，我方承诺在收到成交通知书后，在成交通知书规定的期限内，根据竞争性磋商采购文件、我方的响应文件及有关澄清承诺书的要求按第五章“合同条款及格式”与采购人订立书面合同，并按照合同约定承担完成合同的责任和义务。</w:t>
      </w:r>
    </w:p>
    <w:p>
      <w:pPr>
        <w:pStyle w:val="15"/>
        <w:spacing w:line="360" w:lineRule="auto"/>
        <w:ind w:firstLine="482"/>
        <w:rPr>
          <w:rFonts w:hAnsi="宋体" w:cs="宋体"/>
          <w:szCs w:val="21"/>
        </w:rPr>
      </w:pPr>
      <w:r>
        <w:rPr>
          <w:rFonts w:hint="eastAsia" w:hAnsi="宋体" w:cs="宋体"/>
          <w:szCs w:val="21"/>
        </w:rPr>
        <w:t>6、我方已详细审核竞争性磋商文件，我方知道必须放弃提出含糊不清或误解问题的权利。</w:t>
      </w:r>
    </w:p>
    <w:p>
      <w:pPr>
        <w:pStyle w:val="15"/>
        <w:spacing w:line="360" w:lineRule="auto"/>
        <w:ind w:firstLine="482"/>
        <w:rPr>
          <w:rFonts w:hAnsi="宋体" w:cs="宋体"/>
          <w:szCs w:val="21"/>
        </w:rPr>
      </w:pPr>
      <w:r>
        <w:rPr>
          <w:rFonts w:hint="eastAsia" w:hAnsi="宋体" w:cs="宋体"/>
          <w:szCs w:val="21"/>
        </w:rPr>
        <w:t>7、我方承诺满足竞争性磋商文件第</w:t>
      </w:r>
      <w:r>
        <w:rPr>
          <w:rFonts w:hint="eastAsia" w:hAnsi="宋体" w:cs="宋体"/>
          <w:szCs w:val="21"/>
          <w:lang w:eastAsia="zh-CN"/>
        </w:rPr>
        <w:t>五</w:t>
      </w:r>
      <w:r>
        <w:rPr>
          <w:rFonts w:hint="eastAsia" w:hAnsi="宋体" w:cs="宋体"/>
          <w:szCs w:val="21"/>
        </w:rPr>
        <w:t>章《合同格式》中的条款，承担完成合同的责任和义务。</w:t>
      </w:r>
    </w:p>
    <w:p>
      <w:pPr>
        <w:pStyle w:val="15"/>
        <w:spacing w:line="360" w:lineRule="auto"/>
        <w:ind w:firstLine="482"/>
        <w:rPr>
          <w:rFonts w:hAnsi="宋体" w:cs="宋体"/>
          <w:szCs w:val="21"/>
        </w:rPr>
      </w:pPr>
      <w:r>
        <w:rPr>
          <w:rFonts w:hint="eastAsia" w:hAnsi="宋体" w:cs="宋体"/>
          <w:szCs w:val="21"/>
        </w:rPr>
        <w:t>8、我方同意应贵方要求提供与本磋商有关的任何数据或资料。若贵方需要，我方愿意提供我方作出的一切承诺的证明材料。</w:t>
      </w:r>
    </w:p>
    <w:p>
      <w:pPr>
        <w:pStyle w:val="15"/>
        <w:spacing w:line="360" w:lineRule="auto"/>
        <w:ind w:firstLine="482"/>
        <w:rPr>
          <w:rFonts w:hAnsi="宋体" w:cs="宋体"/>
          <w:szCs w:val="21"/>
        </w:rPr>
      </w:pPr>
      <w:r>
        <w:rPr>
          <w:rFonts w:hint="eastAsia" w:hAnsi="宋体" w:cs="宋体"/>
          <w:szCs w:val="21"/>
        </w:rPr>
        <w:t>9、我方完全理解贵方不一定接受响应报价最低的磋商供应商为成交供应商的行为。</w:t>
      </w:r>
    </w:p>
    <w:p>
      <w:pPr>
        <w:pStyle w:val="15"/>
        <w:spacing w:line="360" w:lineRule="auto"/>
        <w:ind w:firstLine="482"/>
        <w:rPr>
          <w:rFonts w:hAnsi="宋体" w:cs="宋体"/>
          <w:szCs w:val="21"/>
        </w:rPr>
      </w:pPr>
      <w:r>
        <w:rPr>
          <w:rFonts w:hint="eastAsia" w:hAnsi="宋体" w:cs="宋体"/>
          <w:szCs w:val="21"/>
        </w:rPr>
        <w:t>10、我方将严格遵守《中华人民共和国政府采购法》第七十七条的规定，即供应商有下列情形之一的，处以采购金额千分之五以上千分之十以下的罚款，列入不良行为记录名单，在一至三年内禁止参加采购活动，有违法所得的，并处没收违法所得，情节严重的，由工商行政管理机关吊销营业执照；构成犯罪的，依法追究刑事责任：</w:t>
      </w:r>
    </w:p>
    <w:p>
      <w:pPr>
        <w:pStyle w:val="15"/>
        <w:numPr>
          <w:ilvl w:val="0"/>
          <w:numId w:val="6"/>
        </w:numPr>
        <w:spacing w:line="360" w:lineRule="auto"/>
        <w:rPr>
          <w:rFonts w:hAnsi="宋体" w:cs="宋体"/>
          <w:szCs w:val="21"/>
        </w:rPr>
      </w:pPr>
      <w:r>
        <w:rPr>
          <w:rFonts w:hint="eastAsia" w:hAnsi="宋体" w:cs="宋体"/>
          <w:szCs w:val="21"/>
        </w:rPr>
        <w:t>提供虚假材料谋取成交、成交的；</w:t>
      </w:r>
    </w:p>
    <w:p>
      <w:pPr>
        <w:pStyle w:val="15"/>
        <w:numPr>
          <w:ilvl w:val="0"/>
          <w:numId w:val="6"/>
        </w:numPr>
        <w:spacing w:line="360" w:lineRule="auto"/>
        <w:rPr>
          <w:rFonts w:hAnsi="宋体" w:cs="宋体"/>
          <w:szCs w:val="21"/>
        </w:rPr>
      </w:pPr>
      <w:r>
        <w:rPr>
          <w:rFonts w:hint="eastAsia" w:hAnsi="宋体" w:cs="宋体"/>
          <w:szCs w:val="21"/>
        </w:rPr>
        <w:t>采取不正当手段诋毁、排挤其他供应商的；</w:t>
      </w:r>
    </w:p>
    <w:p>
      <w:pPr>
        <w:pStyle w:val="15"/>
        <w:numPr>
          <w:ilvl w:val="0"/>
          <w:numId w:val="6"/>
        </w:numPr>
        <w:spacing w:line="360" w:lineRule="auto"/>
        <w:rPr>
          <w:rFonts w:hAnsi="宋体" w:cs="宋体"/>
          <w:szCs w:val="21"/>
        </w:rPr>
      </w:pPr>
      <w:r>
        <w:rPr>
          <w:rFonts w:hint="eastAsia" w:hAnsi="宋体" w:cs="宋体"/>
          <w:szCs w:val="21"/>
        </w:rPr>
        <w:t>与采购人、其他供应商或者采购代理机构恶意串通的；</w:t>
      </w:r>
    </w:p>
    <w:p>
      <w:pPr>
        <w:pStyle w:val="15"/>
        <w:numPr>
          <w:ilvl w:val="0"/>
          <w:numId w:val="6"/>
        </w:numPr>
        <w:spacing w:line="360" w:lineRule="auto"/>
        <w:rPr>
          <w:rFonts w:hAnsi="宋体" w:cs="宋体"/>
          <w:szCs w:val="21"/>
        </w:rPr>
      </w:pPr>
      <w:r>
        <w:rPr>
          <w:rFonts w:hint="eastAsia" w:hAnsi="宋体" w:cs="宋体"/>
          <w:szCs w:val="21"/>
        </w:rPr>
        <w:t>向采购人、采购代理机构行贿或者提供其他不正当利益的；</w:t>
      </w:r>
    </w:p>
    <w:p>
      <w:pPr>
        <w:pStyle w:val="15"/>
        <w:numPr>
          <w:ilvl w:val="0"/>
          <w:numId w:val="6"/>
        </w:numPr>
        <w:spacing w:line="360" w:lineRule="auto"/>
        <w:rPr>
          <w:rFonts w:hAnsi="宋体" w:cs="宋体"/>
          <w:szCs w:val="21"/>
        </w:rPr>
      </w:pPr>
      <w:r>
        <w:rPr>
          <w:rFonts w:hint="eastAsia" w:hAnsi="宋体" w:cs="宋体"/>
          <w:szCs w:val="21"/>
        </w:rPr>
        <w:t>在采购过程中与采购人进行协商磋商的；</w:t>
      </w:r>
    </w:p>
    <w:p>
      <w:pPr>
        <w:pStyle w:val="15"/>
        <w:numPr>
          <w:ilvl w:val="0"/>
          <w:numId w:val="6"/>
        </w:numPr>
        <w:spacing w:line="360" w:lineRule="auto"/>
        <w:rPr>
          <w:rFonts w:hAnsi="宋体" w:cs="宋体"/>
          <w:szCs w:val="21"/>
        </w:rPr>
      </w:pPr>
      <w:r>
        <w:rPr>
          <w:rFonts w:hint="eastAsia" w:hAnsi="宋体" w:cs="宋体"/>
          <w:szCs w:val="21"/>
        </w:rPr>
        <w:t>拒绝有关部门监督检查或提供虚假情况的。</w:t>
      </w:r>
    </w:p>
    <w:p>
      <w:pPr>
        <w:pStyle w:val="15"/>
        <w:spacing w:line="360" w:lineRule="auto"/>
        <w:ind w:firstLine="420"/>
        <w:rPr>
          <w:rFonts w:hAnsi="宋体" w:cs="宋体"/>
          <w:szCs w:val="21"/>
          <w:u w:val="single"/>
        </w:rPr>
      </w:pPr>
      <w:r>
        <w:rPr>
          <w:rFonts w:hint="eastAsia" w:hAnsi="宋体" w:cs="宋体"/>
          <w:szCs w:val="21"/>
        </w:rPr>
        <w:t>磋商供应商：（盖单位公章）</w:t>
      </w:r>
      <w:r>
        <w:rPr>
          <w:rFonts w:hint="eastAsia" w:hAnsi="宋体" w:cs="宋体"/>
          <w:szCs w:val="21"/>
          <w:u w:val="single"/>
        </w:rPr>
        <w:t xml:space="preserve">                                    </w:t>
      </w:r>
    </w:p>
    <w:p>
      <w:pPr>
        <w:pStyle w:val="15"/>
        <w:spacing w:line="360" w:lineRule="auto"/>
        <w:ind w:firstLine="420"/>
        <w:rPr>
          <w:rFonts w:hAnsi="宋体" w:cs="宋体"/>
          <w:szCs w:val="21"/>
          <w:u w:val="single"/>
        </w:rPr>
      </w:pPr>
      <w:r>
        <w:rPr>
          <w:rFonts w:hint="eastAsia" w:hAnsi="宋体" w:cs="宋体"/>
          <w:szCs w:val="21"/>
        </w:rPr>
        <w:t>法定代表人或其委托代理人：（签字或盖章）</w:t>
      </w:r>
      <w:r>
        <w:rPr>
          <w:rFonts w:hint="eastAsia" w:hAnsi="宋体" w:cs="宋体"/>
          <w:szCs w:val="21"/>
          <w:u w:val="single"/>
        </w:rPr>
        <w:t xml:space="preserve">                      </w:t>
      </w:r>
    </w:p>
    <w:p>
      <w:pPr>
        <w:pStyle w:val="15"/>
        <w:spacing w:line="360" w:lineRule="auto"/>
        <w:ind w:firstLine="420"/>
        <w:rPr>
          <w:rFonts w:hAnsi="宋体" w:cs="宋体"/>
          <w:szCs w:val="21"/>
          <w:u w:val="single"/>
        </w:rPr>
      </w:pPr>
      <w:r>
        <w:rPr>
          <w:rFonts w:hint="eastAsia" w:hAnsi="宋体" w:cs="宋体"/>
          <w:szCs w:val="21"/>
        </w:rPr>
        <w:t>地址：</w:t>
      </w:r>
      <w:r>
        <w:rPr>
          <w:rFonts w:hint="eastAsia" w:hAnsi="宋体" w:cs="宋体"/>
          <w:szCs w:val="21"/>
          <w:u w:val="single"/>
        </w:rPr>
        <w:t xml:space="preserve">                                                         </w:t>
      </w:r>
    </w:p>
    <w:p>
      <w:pPr>
        <w:pStyle w:val="15"/>
        <w:spacing w:line="360" w:lineRule="auto"/>
        <w:ind w:firstLine="420"/>
        <w:rPr>
          <w:rFonts w:hAnsi="宋体" w:cs="宋体"/>
          <w:szCs w:val="21"/>
          <w:u w:val="single"/>
        </w:rPr>
      </w:pPr>
      <w:r>
        <w:rPr>
          <w:rFonts w:hint="eastAsia" w:hAnsi="宋体" w:cs="宋体"/>
          <w:szCs w:val="21"/>
        </w:rPr>
        <w:t>电话：</w:t>
      </w:r>
      <w:r>
        <w:rPr>
          <w:rFonts w:hint="eastAsia" w:hAnsi="宋体" w:cs="宋体"/>
          <w:szCs w:val="21"/>
          <w:u w:val="single"/>
        </w:rPr>
        <w:t xml:space="preserve">   （座机、手机号码）                         　　　　　　</w:t>
      </w:r>
    </w:p>
    <w:p>
      <w:pPr>
        <w:pStyle w:val="15"/>
        <w:spacing w:line="360" w:lineRule="auto"/>
        <w:ind w:firstLine="420"/>
        <w:rPr>
          <w:rFonts w:hAnsi="宋体" w:cs="宋体"/>
          <w:szCs w:val="21"/>
        </w:rPr>
      </w:pPr>
      <w:r>
        <w:rPr>
          <w:rFonts w:hint="eastAsia" w:hAnsi="宋体" w:cs="宋体"/>
          <w:szCs w:val="21"/>
        </w:rPr>
        <w:t>传真：</w:t>
      </w:r>
      <w:r>
        <w:rPr>
          <w:rFonts w:hint="eastAsia" w:hAnsi="宋体" w:cs="宋体"/>
          <w:szCs w:val="21"/>
          <w:u w:val="single"/>
        </w:rPr>
        <w:t>　　　　　　　　　　　　　　　　　　　　　　　　　　　　</w:t>
      </w:r>
    </w:p>
    <w:p>
      <w:pPr>
        <w:pStyle w:val="15"/>
        <w:spacing w:line="360" w:lineRule="auto"/>
        <w:ind w:firstLine="420"/>
        <w:rPr>
          <w:rFonts w:hAnsi="宋体" w:cs="宋体"/>
          <w:szCs w:val="21"/>
          <w:u w:val="single"/>
        </w:rPr>
      </w:pPr>
      <w:r>
        <w:rPr>
          <w:rFonts w:hint="eastAsia" w:hAnsi="宋体" w:cs="宋体"/>
          <w:szCs w:val="21"/>
        </w:rPr>
        <w:t xml:space="preserve">邮政编码： </w:t>
      </w:r>
      <w:r>
        <w:rPr>
          <w:rFonts w:hint="eastAsia" w:hAnsi="宋体" w:cs="宋体"/>
          <w:szCs w:val="21"/>
          <w:u w:val="single"/>
        </w:rPr>
        <w:t xml:space="preserve">                                                    </w:t>
      </w:r>
    </w:p>
    <w:p>
      <w:pPr>
        <w:pStyle w:val="15"/>
        <w:spacing w:line="360" w:lineRule="auto"/>
        <w:ind w:firstLine="420"/>
        <w:rPr>
          <w:rFonts w:hAnsi="宋体" w:cs="宋体"/>
          <w:szCs w:val="21"/>
          <w:u w:val="single"/>
        </w:rPr>
      </w:pPr>
      <w:r>
        <w:rPr>
          <w:rFonts w:hint="eastAsia" w:hAnsi="宋体" w:cs="宋体"/>
          <w:szCs w:val="21"/>
        </w:rPr>
        <w:t>开户名称：</w:t>
      </w:r>
      <w:r>
        <w:rPr>
          <w:rFonts w:hint="eastAsia" w:hAnsi="宋体" w:cs="宋体"/>
          <w:szCs w:val="21"/>
          <w:u w:val="single"/>
        </w:rPr>
        <w:t xml:space="preserve">                                                     </w:t>
      </w:r>
    </w:p>
    <w:p>
      <w:pPr>
        <w:pStyle w:val="15"/>
        <w:spacing w:line="360" w:lineRule="auto"/>
        <w:ind w:firstLine="420"/>
        <w:rPr>
          <w:rFonts w:hAnsi="宋体" w:cs="宋体"/>
          <w:szCs w:val="21"/>
          <w:u w:val="single"/>
        </w:rPr>
      </w:pPr>
      <w:r>
        <w:rPr>
          <w:rFonts w:hint="eastAsia" w:hAnsi="宋体" w:cs="宋体"/>
          <w:szCs w:val="21"/>
        </w:rPr>
        <w:t>开户银行：</w:t>
      </w:r>
      <w:r>
        <w:rPr>
          <w:rFonts w:hint="eastAsia" w:hAnsi="宋体" w:cs="宋体"/>
          <w:szCs w:val="21"/>
          <w:u w:val="single"/>
        </w:rPr>
        <w:t xml:space="preserve">                                                      </w:t>
      </w:r>
    </w:p>
    <w:p>
      <w:pPr>
        <w:pStyle w:val="15"/>
        <w:spacing w:line="360" w:lineRule="auto"/>
        <w:ind w:firstLine="420"/>
        <w:rPr>
          <w:rFonts w:hAnsi="宋体" w:cs="宋体"/>
          <w:szCs w:val="21"/>
          <w:u w:val="single"/>
        </w:rPr>
      </w:pPr>
      <w:r>
        <w:rPr>
          <w:rFonts w:hint="eastAsia" w:hAnsi="宋体" w:cs="宋体"/>
          <w:szCs w:val="21"/>
        </w:rPr>
        <w:t>银行账号：</w:t>
      </w:r>
      <w:r>
        <w:rPr>
          <w:rFonts w:hint="eastAsia" w:hAnsi="宋体" w:cs="宋体"/>
          <w:szCs w:val="21"/>
          <w:u w:val="single"/>
        </w:rPr>
        <w:t xml:space="preserve">                                                     </w:t>
      </w:r>
    </w:p>
    <w:p>
      <w:pPr>
        <w:pStyle w:val="15"/>
        <w:spacing w:line="360" w:lineRule="auto"/>
        <w:ind w:firstLine="5670" w:firstLineChars="2700"/>
        <w:rPr>
          <w:rFonts w:hAnsi="宋体" w:cs="宋体"/>
          <w:bCs/>
          <w:szCs w:val="21"/>
        </w:rPr>
      </w:pPr>
      <w:r>
        <w:rPr>
          <w:rFonts w:hint="eastAsia" w:hAnsi="宋体" w:cs="宋体"/>
          <w:bCs/>
          <w:szCs w:val="21"/>
        </w:rPr>
        <w:t xml:space="preserve">  年  月    日</w:t>
      </w:r>
    </w:p>
    <w:p>
      <w:pPr>
        <w:pStyle w:val="15"/>
        <w:spacing w:line="360" w:lineRule="auto"/>
        <w:rPr>
          <w:rFonts w:hAnsi="宋体" w:cs="宋体"/>
          <w:u w:val="single"/>
        </w:rPr>
      </w:pPr>
      <w:r>
        <w:rPr>
          <w:rFonts w:hint="eastAsia" w:hAnsi="宋体" w:cs="宋体"/>
          <w:b/>
        </w:rPr>
        <w:br w:type="page"/>
      </w:r>
      <w:bookmarkStart w:id="111" w:name="_Toc30657"/>
      <w:bookmarkStart w:id="112" w:name="_Toc460253712"/>
      <w:bookmarkStart w:id="113" w:name="_Toc28795"/>
      <w:bookmarkStart w:id="114" w:name="_Toc30023"/>
      <w:r>
        <w:rPr>
          <w:rFonts w:hint="eastAsia" w:hAnsi="宋体" w:cs="宋体"/>
          <w:b/>
        </w:rPr>
        <w:t>格式2：</w:t>
      </w:r>
      <w:bookmarkEnd w:id="111"/>
      <w:bookmarkEnd w:id="112"/>
      <w:bookmarkEnd w:id="113"/>
      <w:bookmarkEnd w:id="114"/>
    </w:p>
    <w:p>
      <w:pPr>
        <w:pStyle w:val="15"/>
        <w:spacing w:line="360" w:lineRule="auto"/>
        <w:jc w:val="center"/>
        <w:rPr>
          <w:rFonts w:hAnsi="宋体" w:cs="宋体"/>
          <w:b/>
          <w:sz w:val="32"/>
        </w:rPr>
      </w:pPr>
      <w:r>
        <w:rPr>
          <w:rFonts w:hint="eastAsia" w:hAnsi="宋体" w:cs="宋体"/>
          <w:b/>
          <w:sz w:val="32"/>
        </w:rPr>
        <w:t>响应报价表（格式）</w:t>
      </w:r>
    </w:p>
    <w:p>
      <w:pPr>
        <w:spacing w:line="400" w:lineRule="exact"/>
        <w:ind w:firstLine="211" w:firstLineChars="100"/>
        <w:rPr>
          <w:rFonts w:ascii="宋体" w:hAnsi="宋体"/>
          <w:b/>
          <w:color w:val="auto"/>
          <w:szCs w:val="21"/>
          <w:highlight w:val="none"/>
          <w:u w:val="single"/>
        </w:rPr>
      </w:pPr>
      <w:r>
        <w:rPr>
          <w:rFonts w:hint="eastAsia" w:ascii="宋体" w:hAnsi="宋体"/>
          <w:b/>
          <w:color w:val="auto"/>
          <w:szCs w:val="21"/>
          <w:highlight w:val="none"/>
        </w:rPr>
        <w:t>项目编号：</w:t>
      </w:r>
      <w:r>
        <w:rPr>
          <w:rFonts w:hint="eastAsia" w:ascii="宋体" w:hAnsi="宋体"/>
          <w:b/>
          <w:color w:val="auto"/>
          <w:szCs w:val="21"/>
          <w:highlight w:val="none"/>
          <w:u w:val="single"/>
        </w:rPr>
        <w:t xml:space="preserve">                 </w:t>
      </w:r>
    </w:p>
    <w:p>
      <w:pPr>
        <w:pStyle w:val="15"/>
        <w:spacing w:line="360" w:lineRule="auto"/>
        <w:ind w:firstLine="211" w:firstLineChars="100"/>
        <w:rPr>
          <w:rFonts w:hint="eastAsia" w:hAnsi="宋体"/>
          <w:b/>
          <w:color w:val="auto"/>
          <w:szCs w:val="21"/>
          <w:highlight w:val="none"/>
          <w:u w:val="single"/>
          <w:lang w:val="en-US" w:eastAsia="zh-CN"/>
        </w:rPr>
      </w:pPr>
      <w:r>
        <w:rPr>
          <w:rFonts w:hint="eastAsia" w:ascii="宋体" w:hAnsi="宋体"/>
          <w:b/>
          <w:color w:val="auto"/>
          <w:szCs w:val="21"/>
          <w:highlight w:val="none"/>
        </w:rPr>
        <w:t>项目名称：</w:t>
      </w:r>
      <w:r>
        <w:rPr>
          <w:rFonts w:hint="eastAsia" w:ascii="宋体" w:hAnsi="宋体"/>
          <w:b/>
          <w:color w:val="auto"/>
          <w:szCs w:val="21"/>
          <w:highlight w:val="none"/>
          <w:u w:val="single"/>
        </w:rPr>
        <w:t xml:space="preserve"> </w:t>
      </w:r>
      <w:r>
        <w:rPr>
          <w:rFonts w:hint="eastAsia" w:hAnsi="宋体"/>
          <w:b/>
          <w:color w:val="auto"/>
          <w:szCs w:val="21"/>
          <w:highlight w:val="none"/>
          <w:u w:val="single"/>
          <w:lang w:val="en-US" w:eastAsia="zh-CN"/>
        </w:rPr>
        <w:t xml:space="preserve">                </w:t>
      </w:r>
    </w:p>
    <w:p>
      <w:pPr>
        <w:spacing w:line="400" w:lineRule="exact"/>
        <w:ind w:firstLine="211" w:firstLineChars="100"/>
        <w:rPr>
          <w:rFonts w:hAnsi="宋体" w:cs="宋体"/>
          <w:b/>
          <w:sz w:val="24"/>
          <w:szCs w:val="24"/>
        </w:rPr>
      </w:pPr>
      <w:r>
        <w:rPr>
          <w:rFonts w:hint="eastAsia" w:ascii="宋体" w:hAnsi="宋体" w:eastAsia="宋体" w:cs="Times New Roman"/>
          <w:b/>
          <w:color w:val="auto"/>
          <w:szCs w:val="21"/>
          <w:highlight w:val="none"/>
          <w:lang w:val="en-US" w:eastAsia="zh-CN"/>
        </w:rPr>
        <w:t>分包号：</w:t>
      </w:r>
      <w:r>
        <w:rPr>
          <w:rFonts w:hint="eastAsia" w:ascii="宋体" w:hAnsi="宋体" w:eastAsia="宋体" w:cs="Times New Roman"/>
          <w:b/>
          <w:color w:val="auto"/>
          <w:szCs w:val="21"/>
          <w:highlight w:val="none"/>
          <w:u w:val="single"/>
          <w:lang w:val="en-US" w:eastAsia="zh-CN"/>
        </w:rPr>
        <w:t xml:space="preserve">                   </w:t>
      </w:r>
    </w:p>
    <w:tbl>
      <w:tblPr>
        <w:tblStyle w:val="29"/>
        <w:tblW w:w="989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4"/>
        <w:gridCol w:w="2145"/>
        <w:gridCol w:w="2542"/>
        <w:gridCol w:w="1011"/>
        <w:gridCol w:w="1271"/>
        <w:gridCol w:w="1635"/>
        <w:gridCol w:w="7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6" w:hRule="atLeast"/>
        </w:trPr>
        <w:tc>
          <w:tcPr>
            <w:tcW w:w="554" w:type="dxa"/>
            <w:vAlign w:val="center"/>
          </w:tcPr>
          <w:p>
            <w:pPr>
              <w:pStyle w:val="15"/>
              <w:spacing w:line="480" w:lineRule="auto"/>
              <w:jc w:val="center"/>
              <w:rPr>
                <w:rFonts w:hAnsi="宋体" w:cs="宋体"/>
                <w:b/>
                <w:bCs/>
                <w:spacing w:val="-20"/>
                <w:szCs w:val="21"/>
              </w:rPr>
            </w:pPr>
            <w:r>
              <w:rPr>
                <w:rFonts w:hint="eastAsia" w:hAnsi="宋体" w:cs="宋体"/>
                <w:b/>
                <w:bCs/>
                <w:spacing w:val="-20"/>
                <w:szCs w:val="21"/>
              </w:rPr>
              <w:t>项号</w:t>
            </w:r>
          </w:p>
        </w:tc>
        <w:tc>
          <w:tcPr>
            <w:tcW w:w="2145" w:type="dxa"/>
            <w:vAlign w:val="center"/>
          </w:tcPr>
          <w:p>
            <w:pPr>
              <w:pStyle w:val="15"/>
              <w:spacing w:line="480" w:lineRule="auto"/>
              <w:jc w:val="center"/>
              <w:rPr>
                <w:rFonts w:hAnsi="宋体" w:cs="宋体"/>
                <w:b/>
                <w:bCs/>
                <w:spacing w:val="-20"/>
                <w:szCs w:val="21"/>
              </w:rPr>
            </w:pPr>
            <w:r>
              <w:rPr>
                <w:rFonts w:hint="eastAsia" w:ascii="宋体" w:hAnsi="Times New Roman" w:eastAsia="宋体" w:cs="Times New Roman"/>
                <w:b/>
                <w:bCs/>
                <w:color w:val="auto"/>
                <w:kern w:val="0"/>
                <w:sz w:val="21"/>
                <w:szCs w:val="20"/>
                <w:highlight w:val="none"/>
                <w:lang w:val="en-US" w:eastAsia="zh-CN" w:bidi="ar-SA"/>
              </w:rPr>
              <w:t>标的名称</w:t>
            </w:r>
          </w:p>
        </w:tc>
        <w:tc>
          <w:tcPr>
            <w:tcW w:w="2542" w:type="dxa"/>
            <w:vAlign w:val="center"/>
          </w:tcPr>
          <w:p>
            <w:pPr>
              <w:jc w:val="center"/>
              <w:rPr>
                <w:rFonts w:hAnsi="宋体" w:cs="宋体"/>
                <w:b/>
                <w:bCs/>
                <w:spacing w:val="-20"/>
                <w:szCs w:val="21"/>
              </w:rPr>
            </w:pPr>
            <w:r>
              <w:rPr>
                <w:rFonts w:hint="eastAsia" w:ascii="宋体" w:hAnsi="Times New Roman" w:eastAsia="宋体" w:cs="Times New Roman"/>
                <w:b/>
                <w:bCs/>
                <w:color w:val="auto"/>
                <w:kern w:val="0"/>
                <w:sz w:val="21"/>
                <w:szCs w:val="20"/>
                <w:highlight w:val="none"/>
                <w:lang w:val="en-US" w:eastAsia="zh-CN" w:bidi="ar-SA"/>
              </w:rPr>
              <w:t>具体服务内容（含具体服务范围、服务标准等内容）</w:t>
            </w:r>
          </w:p>
        </w:tc>
        <w:tc>
          <w:tcPr>
            <w:tcW w:w="1011" w:type="dxa"/>
            <w:vAlign w:val="center"/>
          </w:tcPr>
          <w:p>
            <w:pPr>
              <w:jc w:val="center"/>
              <w:rPr>
                <w:rFonts w:hAnsi="宋体" w:cs="宋体"/>
                <w:b/>
                <w:bCs/>
                <w:spacing w:val="-20"/>
                <w:szCs w:val="21"/>
              </w:rPr>
            </w:pPr>
            <w:r>
              <w:rPr>
                <w:rFonts w:hint="eastAsia" w:ascii="宋体" w:hAnsi="宋体" w:eastAsia="宋体" w:cs="宋体"/>
                <w:b/>
                <w:bCs/>
                <w:color w:val="auto"/>
                <w:szCs w:val="22"/>
                <w:highlight w:val="none"/>
              </w:rPr>
              <w:t>数量①</w:t>
            </w:r>
          </w:p>
        </w:tc>
        <w:tc>
          <w:tcPr>
            <w:tcW w:w="1271" w:type="dxa"/>
            <w:vAlign w:val="center"/>
          </w:tcPr>
          <w:p>
            <w:pPr>
              <w:rPr>
                <w:rFonts w:hAnsi="宋体" w:cs="宋体"/>
                <w:b/>
                <w:bCs/>
                <w:szCs w:val="21"/>
              </w:rPr>
            </w:pPr>
            <w:r>
              <w:rPr>
                <w:rFonts w:hint="eastAsia" w:ascii="宋体" w:hAnsi="宋体" w:eastAsia="宋体" w:cs="宋体"/>
                <w:b/>
                <w:bCs/>
                <w:color w:val="auto"/>
                <w:szCs w:val="22"/>
                <w:highlight w:val="none"/>
              </w:rPr>
              <w:t>单价(元)②</w:t>
            </w:r>
          </w:p>
        </w:tc>
        <w:tc>
          <w:tcPr>
            <w:tcW w:w="1635" w:type="dxa"/>
            <w:vAlign w:val="center"/>
          </w:tcPr>
          <w:p>
            <w:pPr>
              <w:rPr>
                <w:rFonts w:hint="eastAsia" w:ascii="宋体" w:hAnsi="宋体" w:eastAsia="宋体" w:cs="宋体"/>
                <w:b/>
                <w:bCs/>
                <w:color w:val="auto"/>
                <w:szCs w:val="22"/>
                <w:highlight w:val="none"/>
              </w:rPr>
            </w:pPr>
            <w:r>
              <w:rPr>
                <w:rFonts w:hint="eastAsia" w:ascii="宋体" w:hAnsi="宋体" w:eastAsia="宋体" w:cs="宋体"/>
                <w:b/>
                <w:bCs/>
                <w:color w:val="auto"/>
                <w:szCs w:val="22"/>
                <w:highlight w:val="none"/>
              </w:rPr>
              <w:t>单项合价（元）</w:t>
            </w:r>
          </w:p>
          <w:p>
            <w:pPr>
              <w:rPr>
                <w:rFonts w:hAnsi="宋体" w:cs="宋体"/>
                <w:b/>
                <w:bCs/>
                <w:szCs w:val="21"/>
              </w:rPr>
            </w:pPr>
            <w:r>
              <w:rPr>
                <w:rFonts w:hint="eastAsia" w:ascii="宋体" w:hAnsi="宋体" w:eastAsia="宋体" w:cs="宋体"/>
                <w:b/>
                <w:bCs/>
                <w:color w:val="auto"/>
                <w:szCs w:val="22"/>
                <w:highlight w:val="none"/>
              </w:rPr>
              <w:t>③＝①×②</w:t>
            </w:r>
          </w:p>
        </w:tc>
        <w:tc>
          <w:tcPr>
            <w:tcW w:w="738" w:type="dxa"/>
            <w:vAlign w:val="center"/>
          </w:tcPr>
          <w:p>
            <w:pPr>
              <w:pStyle w:val="15"/>
              <w:spacing w:line="480" w:lineRule="auto"/>
              <w:jc w:val="center"/>
              <w:rPr>
                <w:rFonts w:hAnsi="宋体" w:cs="宋体"/>
                <w:b/>
                <w:bCs/>
                <w:szCs w:val="21"/>
              </w:rPr>
            </w:pPr>
            <w:r>
              <w:rPr>
                <w:rFonts w:hint="eastAsia" w:hAnsi="宋体" w:cs="宋体"/>
                <w:b/>
                <w:bCs/>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1" w:hRule="atLeast"/>
        </w:trPr>
        <w:tc>
          <w:tcPr>
            <w:tcW w:w="554" w:type="dxa"/>
            <w:vAlign w:val="center"/>
          </w:tcPr>
          <w:p>
            <w:pPr>
              <w:spacing w:line="480" w:lineRule="auto"/>
              <w:jc w:val="center"/>
              <w:rPr>
                <w:rFonts w:ascii="宋体" w:hAnsi="宋体" w:cs="宋体"/>
                <w:szCs w:val="21"/>
              </w:rPr>
            </w:pPr>
            <w:r>
              <w:rPr>
                <w:rFonts w:hint="eastAsia" w:ascii="宋体" w:hAnsi="宋体" w:cs="宋体"/>
                <w:szCs w:val="21"/>
              </w:rPr>
              <w:t>1</w:t>
            </w:r>
          </w:p>
        </w:tc>
        <w:tc>
          <w:tcPr>
            <w:tcW w:w="2145" w:type="dxa"/>
            <w:vAlign w:val="center"/>
          </w:tcPr>
          <w:p>
            <w:pPr>
              <w:spacing w:line="480" w:lineRule="auto"/>
              <w:jc w:val="center"/>
              <w:rPr>
                <w:rFonts w:ascii="宋体" w:hAnsi="宋体" w:cs="宋体"/>
                <w:szCs w:val="21"/>
              </w:rPr>
            </w:pPr>
          </w:p>
        </w:tc>
        <w:tc>
          <w:tcPr>
            <w:tcW w:w="2542" w:type="dxa"/>
            <w:vAlign w:val="center"/>
          </w:tcPr>
          <w:p>
            <w:pPr>
              <w:pStyle w:val="15"/>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hAnsi="宋体" w:eastAsia="宋体" w:cs="宋体"/>
                <w:szCs w:val="21"/>
                <w:lang w:val="en-US" w:eastAsia="zh-CN"/>
              </w:rPr>
            </w:pPr>
          </w:p>
        </w:tc>
        <w:tc>
          <w:tcPr>
            <w:tcW w:w="1011" w:type="dxa"/>
            <w:vAlign w:val="center"/>
          </w:tcPr>
          <w:p>
            <w:pPr>
              <w:jc w:val="center"/>
              <w:rPr>
                <w:rFonts w:hAnsi="宋体" w:cs="宋体"/>
                <w:szCs w:val="21"/>
              </w:rPr>
            </w:pPr>
          </w:p>
        </w:tc>
        <w:tc>
          <w:tcPr>
            <w:tcW w:w="1271" w:type="dxa"/>
            <w:vAlign w:val="center"/>
          </w:tcPr>
          <w:p>
            <w:pPr>
              <w:pStyle w:val="15"/>
              <w:spacing w:line="480" w:lineRule="auto"/>
              <w:jc w:val="center"/>
              <w:rPr>
                <w:rFonts w:hAnsi="宋体" w:cs="宋体"/>
                <w:szCs w:val="21"/>
              </w:rPr>
            </w:pPr>
          </w:p>
        </w:tc>
        <w:tc>
          <w:tcPr>
            <w:tcW w:w="1635" w:type="dxa"/>
            <w:vAlign w:val="center"/>
          </w:tcPr>
          <w:p>
            <w:pPr>
              <w:pStyle w:val="15"/>
              <w:spacing w:line="480" w:lineRule="auto"/>
              <w:jc w:val="center"/>
              <w:rPr>
                <w:rFonts w:hAnsi="宋体" w:cs="宋体"/>
                <w:szCs w:val="21"/>
              </w:rPr>
            </w:pPr>
          </w:p>
        </w:tc>
        <w:tc>
          <w:tcPr>
            <w:tcW w:w="738" w:type="dxa"/>
            <w:vAlign w:val="center"/>
          </w:tcPr>
          <w:p>
            <w:pPr>
              <w:pStyle w:val="15"/>
              <w:spacing w:line="480" w:lineRule="auto"/>
              <w:jc w:val="center"/>
              <w:rPr>
                <w:rFonts w:hAnsi="宋体" w:cs="宋体"/>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4" w:hRule="atLeast"/>
        </w:trPr>
        <w:tc>
          <w:tcPr>
            <w:tcW w:w="554" w:type="dxa"/>
            <w:vAlign w:val="center"/>
          </w:tcPr>
          <w:p>
            <w:pPr>
              <w:spacing w:line="480" w:lineRule="auto"/>
              <w:jc w:val="center"/>
              <w:rPr>
                <w:rFonts w:ascii="宋体" w:hAnsi="宋体" w:cs="宋体"/>
                <w:szCs w:val="21"/>
              </w:rPr>
            </w:pPr>
            <w:r>
              <w:rPr>
                <w:rFonts w:hint="eastAsia" w:ascii="宋体" w:hAnsi="宋体" w:cs="宋体"/>
                <w:szCs w:val="21"/>
              </w:rPr>
              <w:t>2</w:t>
            </w:r>
          </w:p>
        </w:tc>
        <w:tc>
          <w:tcPr>
            <w:tcW w:w="2145" w:type="dxa"/>
            <w:vAlign w:val="center"/>
          </w:tcPr>
          <w:p>
            <w:pPr>
              <w:spacing w:line="480" w:lineRule="auto"/>
              <w:jc w:val="center"/>
              <w:rPr>
                <w:rFonts w:ascii="宋体" w:hAnsi="宋体" w:cs="宋体"/>
                <w:szCs w:val="21"/>
              </w:rPr>
            </w:pPr>
          </w:p>
        </w:tc>
        <w:tc>
          <w:tcPr>
            <w:tcW w:w="2542" w:type="dxa"/>
            <w:vAlign w:val="center"/>
          </w:tcPr>
          <w:p>
            <w:pPr>
              <w:pStyle w:val="15"/>
              <w:spacing w:line="480" w:lineRule="auto"/>
              <w:jc w:val="center"/>
              <w:rPr>
                <w:rFonts w:hint="default" w:hAnsi="宋体" w:eastAsia="宋体" w:cs="宋体"/>
                <w:szCs w:val="21"/>
                <w:lang w:val="en-US" w:eastAsia="zh-CN"/>
              </w:rPr>
            </w:pPr>
          </w:p>
        </w:tc>
        <w:tc>
          <w:tcPr>
            <w:tcW w:w="1011" w:type="dxa"/>
            <w:vAlign w:val="center"/>
          </w:tcPr>
          <w:p>
            <w:pPr>
              <w:jc w:val="center"/>
              <w:rPr>
                <w:rFonts w:hAnsi="宋体" w:cs="宋体"/>
                <w:szCs w:val="21"/>
              </w:rPr>
            </w:pPr>
          </w:p>
        </w:tc>
        <w:tc>
          <w:tcPr>
            <w:tcW w:w="1271" w:type="dxa"/>
            <w:vAlign w:val="center"/>
          </w:tcPr>
          <w:p>
            <w:pPr>
              <w:pStyle w:val="15"/>
              <w:spacing w:line="480" w:lineRule="auto"/>
              <w:jc w:val="center"/>
              <w:rPr>
                <w:rFonts w:hAnsi="宋体" w:cs="宋体"/>
                <w:szCs w:val="21"/>
              </w:rPr>
            </w:pPr>
          </w:p>
        </w:tc>
        <w:tc>
          <w:tcPr>
            <w:tcW w:w="1635" w:type="dxa"/>
            <w:vAlign w:val="center"/>
          </w:tcPr>
          <w:p>
            <w:pPr>
              <w:pStyle w:val="15"/>
              <w:spacing w:line="480" w:lineRule="auto"/>
              <w:jc w:val="center"/>
              <w:rPr>
                <w:rFonts w:hAnsi="宋体" w:cs="宋体"/>
                <w:szCs w:val="21"/>
              </w:rPr>
            </w:pPr>
          </w:p>
        </w:tc>
        <w:tc>
          <w:tcPr>
            <w:tcW w:w="738" w:type="dxa"/>
            <w:vAlign w:val="center"/>
          </w:tcPr>
          <w:p>
            <w:pPr>
              <w:pStyle w:val="15"/>
              <w:spacing w:line="480" w:lineRule="auto"/>
              <w:jc w:val="center"/>
              <w:rPr>
                <w:rFonts w:hAnsi="宋体" w:cs="宋体"/>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4" w:hRule="atLeast"/>
        </w:trPr>
        <w:tc>
          <w:tcPr>
            <w:tcW w:w="554" w:type="dxa"/>
            <w:vAlign w:val="center"/>
          </w:tcPr>
          <w:p>
            <w:pPr>
              <w:spacing w:line="480" w:lineRule="auto"/>
              <w:jc w:val="center"/>
              <w:rPr>
                <w:rFonts w:hint="eastAsia" w:ascii="宋体" w:hAnsi="宋体" w:cs="宋体"/>
                <w:szCs w:val="21"/>
              </w:rPr>
            </w:pPr>
            <w:r>
              <w:rPr>
                <w:rFonts w:hint="eastAsia" w:ascii="宋体" w:hAnsi="宋体" w:eastAsia="宋体" w:cs="宋体"/>
                <w:color w:val="auto"/>
                <w:szCs w:val="22"/>
                <w:highlight w:val="none"/>
              </w:rPr>
              <w:t>...</w:t>
            </w:r>
          </w:p>
        </w:tc>
        <w:tc>
          <w:tcPr>
            <w:tcW w:w="2145" w:type="dxa"/>
            <w:vAlign w:val="center"/>
          </w:tcPr>
          <w:p>
            <w:pPr>
              <w:spacing w:line="480" w:lineRule="auto"/>
              <w:jc w:val="center"/>
              <w:rPr>
                <w:rFonts w:ascii="宋体" w:hAnsi="宋体" w:cs="宋体"/>
                <w:szCs w:val="21"/>
              </w:rPr>
            </w:pPr>
          </w:p>
        </w:tc>
        <w:tc>
          <w:tcPr>
            <w:tcW w:w="2542" w:type="dxa"/>
            <w:vAlign w:val="center"/>
          </w:tcPr>
          <w:p>
            <w:pPr>
              <w:pStyle w:val="15"/>
              <w:spacing w:line="480" w:lineRule="auto"/>
              <w:jc w:val="center"/>
              <w:rPr>
                <w:rFonts w:hint="default" w:hAnsi="宋体" w:eastAsia="宋体" w:cs="宋体"/>
                <w:szCs w:val="21"/>
                <w:lang w:val="en-US" w:eastAsia="zh-CN"/>
              </w:rPr>
            </w:pPr>
          </w:p>
        </w:tc>
        <w:tc>
          <w:tcPr>
            <w:tcW w:w="1011" w:type="dxa"/>
            <w:vAlign w:val="center"/>
          </w:tcPr>
          <w:p>
            <w:pPr>
              <w:jc w:val="center"/>
              <w:rPr>
                <w:rFonts w:hAnsi="宋体" w:cs="宋体"/>
                <w:szCs w:val="21"/>
              </w:rPr>
            </w:pPr>
          </w:p>
        </w:tc>
        <w:tc>
          <w:tcPr>
            <w:tcW w:w="1271" w:type="dxa"/>
            <w:vAlign w:val="center"/>
          </w:tcPr>
          <w:p>
            <w:pPr>
              <w:pStyle w:val="15"/>
              <w:spacing w:line="480" w:lineRule="auto"/>
              <w:jc w:val="center"/>
              <w:rPr>
                <w:rFonts w:hAnsi="宋体" w:cs="宋体"/>
                <w:szCs w:val="21"/>
              </w:rPr>
            </w:pPr>
          </w:p>
        </w:tc>
        <w:tc>
          <w:tcPr>
            <w:tcW w:w="1635" w:type="dxa"/>
            <w:vAlign w:val="center"/>
          </w:tcPr>
          <w:p>
            <w:pPr>
              <w:pStyle w:val="15"/>
              <w:spacing w:line="480" w:lineRule="auto"/>
              <w:jc w:val="center"/>
              <w:rPr>
                <w:rFonts w:hAnsi="宋体" w:cs="宋体"/>
                <w:szCs w:val="21"/>
              </w:rPr>
            </w:pPr>
          </w:p>
        </w:tc>
        <w:tc>
          <w:tcPr>
            <w:tcW w:w="738" w:type="dxa"/>
            <w:vAlign w:val="center"/>
          </w:tcPr>
          <w:p>
            <w:pPr>
              <w:pStyle w:val="15"/>
              <w:spacing w:line="480" w:lineRule="auto"/>
              <w:jc w:val="center"/>
              <w:rPr>
                <w:rFonts w:hAnsi="宋体" w:cs="宋体"/>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4" w:hRule="atLeast"/>
        </w:trPr>
        <w:tc>
          <w:tcPr>
            <w:tcW w:w="9896" w:type="dxa"/>
            <w:gridSpan w:val="7"/>
            <w:vAlign w:val="center"/>
          </w:tcPr>
          <w:p>
            <w:pPr>
              <w:pStyle w:val="15"/>
              <w:spacing w:line="480" w:lineRule="auto"/>
              <w:jc w:val="left"/>
              <w:rPr>
                <w:rFonts w:hint="eastAsia" w:ascii="宋体" w:hAnsi="宋体"/>
                <w:b w:val="0"/>
                <w:color w:val="auto"/>
                <w:sz w:val="21"/>
                <w:szCs w:val="21"/>
                <w:highlight w:val="none"/>
                <w:lang w:eastAsia="zh-CN"/>
              </w:rPr>
            </w:pPr>
            <w:r>
              <w:rPr>
                <w:rFonts w:hint="eastAsia" w:ascii="宋体" w:hAnsi="宋体"/>
                <w:b w:val="0"/>
                <w:color w:val="auto"/>
                <w:sz w:val="21"/>
                <w:szCs w:val="21"/>
                <w:highlight w:val="none"/>
                <w:lang w:eastAsia="zh-CN"/>
              </w:rPr>
              <w:t>服务</w:t>
            </w:r>
            <w:r>
              <w:rPr>
                <w:rFonts w:hint="eastAsia" w:hAnsi="宋体"/>
                <w:b w:val="0"/>
                <w:color w:val="auto"/>
                <w:sz w:val="21"/>
                <w:szCs w:val="21"/>
                <w:highlight w:val="none"/>
                <w:lang w:eastAsia="zh-CN"/>
              </w:rPr>
              <w:t>时间</w:t>
            </w:r>
            <w:r>
              <w:rPr>
                <w:rFonts w:hint="eastAsia" w:ascii="宋体" w:hAnsi="宋体"/>
                <w:b w:val="0"/>
                <w:color w:val="auto"/>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7" w:hRule="atLeast"/>
        </w:trPr>
        <w:tc>
          <w:tcPr>
            <w:tcW w:w="9896" w:type="dxa"/>
            <w:gridSpan w:val="7"/>
            <w:vAlign w:val="center"/>
          </w:tcPr>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Times New Roman" w:eastAsia="宋体" w:cs="Times New Roman"/>
                <w:color w:val="auto"/>
                <w:kern w:val="0"/>
                <w:sz w:val="21"/>
                <w:szCs w:val="20"/>
                <w:highlight w:val="none"/>
                <w:lang w:val="en-US" w:eastAsia="zh-CN" w:bidi="ar-SA"/>
              </w:rPr>
            </w:pPr>
            <w:r>
              <w:rPr>
                <w:rFonts w:hint="eastAsia" w:ascii="宋体" w:hAnsi="宋体" w:eastAsia="宋体" w:cs="宋体"/>
                <w:kern w:val="2"/>
                <w:sz w:val="21"/>
                <w:szCs w:val="21"/>
                <w:lang w:val="en-US" w:eastAsia="zh-CN" w:bidi="ar-SA"/>
              </w:rPr>
              <w:t xml:space="preserve">备注：报价为采购人指定服务范围内的全部价格，包括更换报价单约定条件的零部件费，服务人员的薪金、社保、休假日补贴、补偿费、赔偿金等由成交供应商付给，采购人不再支付成交价格以外的任何费用。     </w:t>
            </w:r>
            <w:r>
              <w:rPr>
                <w:rFonts w:hint="eastAsia" w:ascii="宋体" w:hAnsi="Times New Roman" w:eastAsia="宋体" w:cs="Times New Roman"/>
                <w:color w:val="auto"/>
                <w:kern w:val="0"/>
                <w:sz w:val="21"/>
                <w:szCs w:val="20"/>
                <w:highlight w:val="none"/>
                <w:lang w:val="en-US" w:eastAsia="zh-CN" w:bidi="ar-S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4" w:hRule="atLeast"/>
        </w:trPr>
        <w:tc>
          <w:tcPr>
            <w:tcW w:w="9896" w:type="dxa"/>
            <w:gridSpan w:val="7"/>
            <w:vAlign w:val="center"/>
          </w:tcPr>
          <w:p>
            <w:pPr>
              <w:pStyle w:val="15"/>
              <w:spacing w:line="480" w:lineRule="auto"/>
              <w:rPr>
                <w:rFonts w:hint="eastAsia" w:hAnsi="宋体" w:cs="宋体"/>
                <w:szCs w:val="21"/>
              </w:rPr>
            </w:pPr>
            <w:r>
              <w:rPr>
                <w:rFonts w:hint="eastAsia" w:hAnsi="宋体" w:cs="宋体"/>
                <w:szCs w:val="21"/>
              </w:rPr>
              <w:t>磋商供应商（盖单位公章）：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4" w:hRule="atLeast"/>
        </w:trPr>
        <w:tc>
          <w:tcPr>
            <w:tcW w:w="9896" w:type="dxa"/>
            <w:gridSpan w:val="7"/>
            <w:vAlign w:val="center"/>
          </w:tcPr>
          <w:p>
            <w:pPr>
              <w:pStyle w:val="15"/>
              <w:spacing w:line="480" w:lineRule="auto"/>
              <w:rPr>
                <w:rFonts w:hint="eastAsia" w:hAnsi="宋体" w:cs="宋体"/>
                <w:szCs w:val="21"/>
              </w:rPr>
            </w:pPr>
            <w:r>
              <w:rPr>
                <w:rFonts w:hint="eastAsia" w:hAnsi="宋体" w:cs="宋体"/>
                <w:szCs w:val="21"/>
              </w:rPr>
              <w:t>法定代表人或其委托代理人（签字或盖章）：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9896" w:type="dxa"/>
            <w:gridSpan w:val="7"/>
            <w:vAlign w:val="center"/>
          </w:tcPr>
          <w:p>
            <w:pPr>
              <w:pStyle w:val="15"/>
              <w:spacing w:line="480" w:lineRule="auto"/>
              <w:rPr>
                <w:rFonts w:hint="eastAsia" w:hAnsi="宋体" w:cs="宋体"/>
                <w:szCs w:val="21"/>
                <w:lang w:eastAsia="zh-CN"/>
              </w:rPr>
            </w:pPr>
            <w:r>
              <w:rPr>
                <w:rFonts w:hint="eastAsia" w:hAnsi="宋体" w:cs="宋体"/>
                <w:szCs w:val="21"/>
                <w:lang w:eastAsia="zh-CN"/>
              </w:rPr>
              <w:t>日期：</w:t>
            </w:r>
            <w:r>
              <w:rPr>
                <w:rFonts w:hint="eastAsia" w:hAnsi="宋体" w:cs="宋体"/>
                <w:szCs w:val="21"/>
                <w:lang w:val="en-US" w:eastAsia="zh-CN"/>
              </w:rPr>
              <w:t xml:space="preserve">  年   月   日</w:t>
            </w:r>
          </w:p>
        </w:tc>
      </w:tr>
    </w:tbl>
    <w:p>
      <w:pPr>
        <w:pStyle w:val="15"/>
        <w:spacing w:line="360" w:lineRule="auto"/>
        <w:rPr>
          <w:rFonts w:hAnsi="宋体" w:cs="宋体"/>
          <w:sz w:val="24"/>
          <w:szCs w:val="24"/>
        </w:rPr>
      </w:pPr>
    </w:p>
    <w:p>
      <w:pPr>
        <w:pStyle w:val="15"/>
        <w:spacing w:line="360" w:lineRule="auto"/>
        <w:rPr>
          <w:rFonts w:hAnsi="宋体" w:cs="宋体"/>
          <w:sz w:val="24"/>
          <w:szCs w:val="24"/>
        </w:rPr>
      </w:pPr>
    </w:p>
    <w:p>
      <w:pPr>
        <w:pStyle w:val="15"/>
        <w:spacing w:line="360" w:lineRule="auto"/>
        <w:rPr>
          <w:rFonts w:hAnsi="宋体" w:cs="宋体"/>
          <w:sz w:val="24"/>
          <w:szCs w:val="24"/>
        </w:rPr>
      </w:pPr>
    </w:p>
    <w:p>
      <w:pPr>
        <w:pStyle w:val="15"/>
        <w:spacing w:line="360" w:lineRule="auto"/>
        <w:rPr>
          <w:rFonts w:hAnsi="宋体" w:cs="宋体"/>
          <w:sz w:val="24"/>
          <w:szCs w:val="24"/>
        </w:rPr>
      </w:pPr>
    </w:p>
    <w:p>
      <w:pPr>
        <w:pStyle w:val="15"/>
        <w:spacing w:line="360" w:lineRule="auto"/>
        <w:rPr>
          <w:rFonts w:hAnsi="宋体" w:cs="宋体"/>
          <w:sz w:val="24"/>
          <w:szCs w:val="24"/>
        </w:rPr>
      </w:pPr>
    </w:p>
    <w:p>
      <w:pPr>
        <w:pStyle w:val="15"/>
        <w:spacing w:line="360" w:lineRule="auto"/>
        <w:rPr>
          <w:rFonts w:hAnsi="宋体" w:cs="宋体"/>
          <w:sz w:val="24"/>
          <w:szCs w:val="24"/>
        </w:rPr>
      </w:pPr>
    </w:p>
    <w:p>
      <w:pPr>
        <w:pStyle w:val="15"/>
        <w:spacing w:line="360" w:lineRule="auto"/>
        <w:rPr>
          <w:rFonts w:hAnsi="宋体" w:cs="宋体"/>
          <w:sz w:val="24"/>
          <w:szCs w:val="24"/>
        </w:rPr>
      </w:pPr>
    </w:p>
    <w:p>
      <w:pPr>
        <w:pStyle w:val="15"/>
        <w:spacing w:line="360" w:lineRule="auto"/>
        <w:rPr>
          <w:rFonts w:hAnsi="宋体" w:cs="宋体"/>
          <w:sz w:val="24"/>
          <w:szCs w:val="24"/>
          <w:u w:val="single"/>
        </w:rPr>
      </w:pPr>
    </w:p>
    <w:p>
      <w:pPr>
        <w:pStyle w:val="15"/>
        <w:spacing w:line="360" w:lineRule="auto"/>
        <w:rPr>
          <w:rFonts w:hAnsi="宋体" w:cs="宋体"/>
          <w:b/>
        </w:rPr>
      </w:pPr>
      <w:r>
        <w:rPr>
          <w:rFonts w:hint="eastAsia" w:hAnsi="宋体" w:cs="宋体"/>
          <w:b/>
          <w:sz w:val="24"/>
          <w:szCs w:val="24"/>
        </w:rPr>
        <w:br w:type="page"/>
      </w:r>
      <w:r>
        <w:rPr>
          <w:rFonts w:hint="eastAsia" w:hAnsi="宋体" w:cs="宋体"/>
          <w:b/>
        </w:rPr>
        <w:t>格式3：</w:t>
      </w:r>
    </w:p>
    <w:p>
      <w:pPr>
        <w:widowControl/>
        <w:spacing w:line="360" w:lineRule="auto"/>
        <w:jc w:val="left"/>
        <w:rPr>
          <w:rFonts w:ascii="宋体" w:hAnsi="宋体" w:cs="宋体"/>
          <w:b/>
        </w:rPr>
      </w:pPr>
    </w:p>
    <w:p>
      <w:pPr>
        <w:pStyle w:val="15"/>
        <w:spacing w:line="360" w:lineRule="auto"/>
        <w:ind w:firstLine="3012" w:firstLineChars="1000"/>
        <w:jc w:val="both"/>
        <w:rPr>
          <w:rFonts w:hAnsi="宋体" w:cs="宋体"/>
          <w:b/>
          <w:bCs/>
          <w:sz w:val="30"/>
          <w:szCs w:val="30"/>
        </w:rPr>
      </w:pPr>
      <w:r>
        <w:rPr>
          <w:rFonts w:hint="eastAsia" w:hAnsi="宋体" w:cs="宋体"/>
          <w:b/>
          <w:bCs/>
          <w:sz w:val="30"/>
          <w:szCs w:val="30"/>
        </w:rPr>
        <w:t>响应服务技术</w:t>
      </w:r>
      <w:r>
        <w:rPr>
          <w:rFonts w:hint="eastAsia" w:hAnsi="宋体" w:cs="宋体"/>
          <w:b/>
          <w:bCs/>
          <w:sz w:val="30"/>
          <w:szCs w:val="30"/>
          <w:lang w:eastAsia="zh-CN"/>
        </w:rPr>
        <w:t>偏离</w:t>
      </w:r>
      <w:r>
        <w:rPr>
          <w:rFonts w:hint="eastAsia" w:hAnsi="宋体" w:cs="宋体"/>
          <w:b/>
          <w:bCs/>
          <w:sz w:val="30"/>
          <w:szCs w:val="30"/>
        </w:rPr>
        <w:t>表（格式）</w:t>
      </w:r>
    </w:p>
    <w:p>
      <w:pPr>
        <w:spacing w:line="400" w:lineRule="exact"/>
        <w:ind w:firstLine="211" w:firstLineChars="100"/>
        <w:rPr>
          <w:rFonts w:ascii="宋体" w:hAnsi="宋体"/>
          <w:b/>
          <w:color w:val="auto"/>
          <w:szCs w:val="21"/>
          <w:highlight w:val="none"/>
          <w:u w:val="single"/>
        </w:rPr>
      </w:pPr>
      <w:r>
        <w:rPr>
          <w:rFonts w:hint="eastAsia" w:ascii="宋体" w:hAnsi="宋体"/>
          <w:b/>
          <w:color w:val="auto"/>
          <w:szCs w:val="21"/>
          <w:highlight w:val="none"/>
        </w:rPr>
        <w:t>项目编号：</w:t>
      </w:r>
      <w:r>
        <w:rPr>
          <w:rFonts w:hint="eastAsia" w:ascii="宋体" w:hAnsi="宋体"/>
          <w:b/>
          <w:color w:val="auto"/>
          <w:szCs w:val="21"/>
          <w:highlight w:val="none"/>
          <w:u w:val="single"/>
        </w:rPr>
        <w:t xml:space="preserve">                 </w:t>
      </w:r>
    </w:p>
    <w:p>
      <w:pPr>
        <w:pStyle w:val="15"/>
        <w:spacing w:line="360" w:lineRule="auto"/>
        <w:ind w:firstLine="211" w:firstLineChars="100"/>
        <w:rPr>
          <w:rFonts w:hint="eastAsia" w:hAnsi="宋体"/>
          <w:b/>
          <w:color w:val="auto"/>
          <w:szCs w:val="21"/>
          <w:highlight w:val="none"/>
          <w:u w:val="single"/>
          <w:lang w:val="en-US" w:eastAsia="zh-CN"/>
        </w:rPr>
      </w:pPr>
      <w:r>
        <w:rPr>
          <w:rFonts w:hint="eastAsia" w:ascii="宋体" w:hAnsi="宋体"/>
          <w:b/>
          <w:color w:val="auto"/>
          <w:szCs w:val="21"/>
          <w:highlight w:val="none"/>
        </w:rPr>
        <w:t>项目名称：</w:t>
      </w:r>
      <w:r>
        <w:rPr>
          <w:rFonts w:hint="eastAsia" w:ascii="宋体" w:hAnsi="宋体"/>
          <w:b/>
          <w:color w:val="auto"/>
          <w:szCs w:val="21"/>
          <w:highlight w:val="none"/>
          <w:u w:val="single"/>
        </w:rPr>
        <w:t xml:space="preserve"> </w:t>
      </w:r>
      <w:r>
        <w:rPr>
          <w:rFonts w:hint="eastAsia" w:hAnsi="宋体"/>
          <w:b/>
          <w:color w:val="auto"/>
          <w:szCs w:val="21"/>
          <w:highlight w:val="none"/>
          <w:u w:val="single"/>
          <w:lang w:val="en-US" w:eastAsia="zh-CN"/>
        </w:rPr>
        <w:t xml:space="preserve">                </w:t>
      </w:r>
    </w:p>
    <w:p>
      <w:pPr>
        <w:spacing w:line="400" w:lineRule="exact"/>
        <w:ind w:firstLine="211" w:firstLineChars="100"/>
        <w:rPr>
          <w:rFonts w:hint="default"/>
          <w:lang w:val="en-US" w:eastAsia="zh-CN"/>
        </w:rPr>
      </w:pPr>
      <w:r>
        <w:rPr>
          <w:rFonts w:hint="eastAsia" w:ascii="宋体" w:hAnsi="宋体" w:eastAsia="宋体" w:cs="Times New Roman"/>
          <w:b/>
          <w:color w:val="auto"/>
          <w:szCs w:val="21"/>
          <w:highlight w:val="none"/>
          <w:lang w:val="en-US" w:eastAsia="zh-CN"/>
        </w:rPr>
        <w:t>分包号：</w:t>
      </w:r>
      <w:r>
        <w:rPr>
          <w:rFonts w:hint="eastAsia" w:ascii="宋体" w:hAnsi="宋体" w:eastAsia="宋体" w:cs="Times New Roman"/>
          <w:b/>
          <w:color w:val="auto"/>
          <w:szCs w:val="21"/>
          <w:highlight w:val="none"/>
          <w:u w:val="single"/>
          <w:lang w:val="en-US" w:eastAsia="zh-CN"/>
        </w:rPr>
        <w:t xml:space="preserve">                   </w:t>
      </w:r>
    </w:p>
    <w:p>
      <w:pPr>
        <w:pStyle w:val="15"/>
        <w:spacing w:line="480" w:lineRule="auto"/>
        <w:ind w:firstLine="420" w:firstLineChars="200"/>
        <w:rPr>
          <w:rFonts w:hAnsi="宋体" w:cs="宋体"/>
          <w:szCs w:val="21"/>
        </w:rPr>
      </w:pPr>
      <w:r>
        <w:rPr>
          <w:rFonts w:hint="eastAsia" w:hAnsi="宋体" w:cs="宋体"/>
          <w:szCs w:val="21"/>
        </w:rPr>
        <w:t>请根据所投服务的实际技术参数，逐条对应本项目竞争性磋商文件第三章 “服务需求一览表”中的服务内容及要求详细填写相应的具体内容。“偏离说明”一栏应当选择“正偏离”、“负偏离”或“无偏离”进行填写</w:t>
      </w:r>
    </w:p>
    <w:tbl>
      <w:tblPr>
        <w:tblStyle w:val="29"/>
        <w:tblW w:w="101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9"/>
        <w:gridCol w:w="3320"/>
        <w:gridCol w:w="4225"/>
        <w:gridCol w:w="18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6" w:hRule="atLeast"/>
          <w:jc w:val="center"/>
        </w:trPr>
        <w:tc>
          <w:tcPr>
            <w:tcW w:w="75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Ansi="宋体" w:cs="宋体"/>
                <w:szCs w:val="21"/>
              </w:rPr>
            </w:pPr>
            <w:r>
              <w:rPr>
                <w:rFonts w:hint="eastAsia" w:hAnsi="宋体" w:cs="宋体"/>
                <w:szCs w:val="21"/>
              </w:rPr>
              <w:t>项号</w:t>
            </w:r>
          </w:p>
        </w:tc>
        <w:tc>
          <w:tcPr>
            <w:tcW w:w="3320" w:type="dxa"/>
            <w:tcBorders>
              <w:top w:val="single" w:color="auto" w:sz="4" w:space="0"/>
              <w:left w:val="single" w:color="auto" w:sz="4" w:space="0"/>
              <w:right w:val="single" w:color="auto" w:sz="4" w:space="0"/>
            </w:tcBorders>
            <w:vAlign w:val="center"/>
          </w:tcPr>
          <w:p>
            <w:pPr>
              <w:pStyle w:val="15"/>
              <w:spacing w:line="360" w:lineRule="auto"/>
              <w:jc w:val="center"/>
              <w:rPr>
                <w:rFonts w:hAnsi="宋体" w:cs="宋体"/>
                <w:szCs w:val="21"/>
              </w:rPr>
            </w:pPr>
            <w:r>
              <w:rPr>
                <w:rFonts w:hint="eastAsia" w:hAnsi="宋体" w:cs="宋体"/>
                <w:szCs w:val="21"/>
              </w:rPr>
              <w:t>竞争性磋商采购文件</w:t>
            </w:r>
            <w:r>
              <w:rPr>
                <w:rFonts w:hint="eastAsia" w:hAnsi="宋体" w:cs="宋体"/>
                <w:szCs w:val="21"/>
                <w:lang w:eastAsia="zh-CN"/>
              </w:rPr>
              <w:t>要求</w:t>
            </w:r>
            <w:r>
              <w:rPr>
                <w:rFonts w:hint="eastAsia" w:hAnsi="宋体" w:cs="宋体"/>
                <w:szCs w:val="21"/>
              </w:rPr>
              <w:t>求</w:t>
            </w:r>
          </w:p>
        </w:tc>
        <w:tc>
          <w:tcPr>
            <w:tcW w:w="422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hAnsi="宋体" w:cs="宋体"/>
                <w:szCs w:val="21"/>
              </w:rPr>
            </w:pPr>
            <w:r>
              <w:rPr>
                <w:rFonts w:hint="eastAsia" w:hAnsi="宋体" w:cs="宋体"/>
                <w:szCs w:val="21"/>
              </w:rPr>
              <w:t>响应文件承诺</w:t>
            </w:r>
          </w:p>
        </w:tc>
        <w:tc>
          <w:tcPr>
            <w:tcW w:w="1881"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hAnsi="宋体" w:cs="宋体"/>
                <w:szCs w:val="21"/>
              </w:rPr>
            </w:pPr>
            <w:r>
              <w:rPr>
                <w:rFonts w:hint="eastAsia" w:hAnsi="宋体" w:cs="宋体"/>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Ansi="宋体" w:cs="宋体"/>
                <w:szCs w:val="21"/>
              </w:rPr>
            </w:pPr>
            <w:r>
              <w:rPr>
                <w:rFonts w:hint="eastAsia" w:hAnsi="宋体" w:cs="宋体"/>
                <w:szCs w:val="21"/>
              </w:rPr>
              <w:t>1</w:t>
            </w:r>
          </w:p>
        </w:tc>
        <w:tc>
          <w:tcPr>
            <w:tcW w:w="3320"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Ansi="宋体" w:cs="宋体"/>
                <w:szCs w:val="21"/>
              </w:rPr>
            </w:pPr>
            <w:r>
              <w:rPr>
                <w:rFonts w:hint="eastAsia" w:hAnsi="宋体" w:cs="宋体"/>
                <w:szCs w:val="21"/>
              </w:rPr>
              <w:t>……</w:t>
            </w:r>
          </w:p>
        </w:tc>
        <w:tc>
          <w:tcPr>
            <w:tcW w:w="422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Ansi="宋体" w:cs="宋体"/>
                <w:szCs w:val="21"/>
              </w:rPr>
            </w:pPr>
            <w:r>
              <w:rPr>
                <w:rFonts w:hint="eastAsia" w:hAnsi="宋体" w:cs="宋体"/>
                <w:szCs w:val="21"/>
              </w:rPr>
              <w:t>……</w:t>
            </w:r>
          </w:p>
        </w:tc>
        <w:tc>
          <w:tcPr>
            <w:tcW w:w="1881"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hAnsi="宋体" w:cs="宋体"/>
                <w:szCs w:val="21"/>
              </w:rPr>
            </w:pPr>
            <w:r>
              <w:rPr>
                <w:rFonts w:hint="eastAsia" w:hAnsi="宋体" w:cs="宋体"/>
                <w:szCs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Ansi="宋体" w:cs="宋体"/>
                <w:szCs w:val="21"/>
              </w:rPr>
            </w:pPr>
            <w:r>
              <w:rPr>
                <w:rFonts w:hint="eastAsia" w:hAnsi="宋体" w:cs="宋体"/>
                <w:szCs w:val="21"/>
              </w:rPr>
              <w:t>2</w:t>
            </w:r>
          </w:p>
        </w:tc>
        <w:tc>
          <w:tcPr>
            <w:tcW w:w="3320"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Ansi="宋体" w:cs="宋体"/>
                <w:szCs w:val="21"/>
              </w:rPr>
            </w:pPr>
            <w:r>
              <w:rPr>
                <w:rFonts w:hint="eastAsia" w:hAnsi="宋体" w:cs="宋体"/>
                <w:szCs w:val="21"/>
              </w:rPr>
              <w:t>……</w:t>
            </w:r>
          </w:p>
        </w:tc>
        <w:tc>
          <w:tcPr>
            <w:tcW w:w="422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Ansi="宋体" w:cs="宋体"/>
                <w:szCs w:val="21"/>
              </w:rPr>
            </w:pPr>
            <w:r>
              <w:rPr>
                <w:rFonts w:hint="eastAsia" w:hAnsi="宋体" w:cs="宋体"/>
                <w:szCs w:val="21"/>
              </w:rPr>
              <w:t>……</w:t>
            </w:r>
          </w:p>
        </w:tc>
        <w:tc>
          <w:tcPr>
            <w:tcW w:w="1881"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hAnsi="宋体" w:cs="宋体"/>
                <w:szCs w:val="21"/>
              </w:rPr>
            </w:pPr>
            <w:r>
              <w:rPr>
                <w:rFonts w:hint="eastAsia" w:hAnsi="宋体" w:cs="宋体"/>
                <w:szCs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Ansi="宋体" w:cs="宋体"/>
                <w:szCs w:val="21"/>
              </w:rPr>
            </w:pPr>
            <w:r>
              <w:rPr>
                <w:rFonts w:hint="eastAsia" w:hAnsi="宋体" w:cs="宋体"/>
                <w:szCs w:val="21"/>
              </w:rPr>
              <w:t>...</w:t>
            </w:r>
          </w:p>
        </w:tc>
        <w:tc>
          <w:tcPr>
            <w:tcW w:w="3320"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Ansi="宋体" w:cs="宋体"/>
                <w:szCs w:val="21"/>
              </w:rPr>
            </w:pPr>
          </w:p>
        </w:tc>
        <w:tc>
          <w:tcPr>
            <w:tcW w:w="422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Ansi="宋体" w:cs="宋体"/>
                <w:szCs w:val="21"/>
              </w:rPr>
            </w:pPr>
          </w:p>
        </w:tc>
        <w:tc>
          <w:tcPr>
            <w:tcW w:w="1881"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10185" w:type="dxa"/>
            <w:gridSpan w:val="4"/>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Ansi="宋体" w:cs="宋体"/>
                <w:szCs w:val="21"/>
              </w:rPr>
            </w:pPr>
            <w:r>
              <w:rPr>
                <w:rFonts w:hint="eastAsia" w:hAnsi="宋体" w:cs="宋体"/>
                <w:szCs w:val="21"/>
              </w:rPr>
              <w:t>磋商供应商（盖单位公章）：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10185" w:type="dxa"/>
            <w:gridSpan w:val="4"/>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Ansi="宋体" w:cs="宋体"/>
                <w:szCs w:val="21"/>
              </w:rPr>
            </w:pPr>
            <w:r>
              <w:rPr>
                <w:rFonts w:hint="eastAsia" w:hAnsi="宋体" w:cs="宋体"/>
                <w:szCs w:val="21"/>
              </w:rPr>
              <w:t>法定代表人或其委托代理人（签字或盖章）：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10185" w:type="dxa"/>
            <w:gridSpan w:val="4"/>
            <w:tcBorders>
              <w:top w:val="single" w:color="auto" w:sz="4" w:space="0"/>
              <w:left w:val="single" w:color="auto" w:sz="4" w:space="0"/>
              <w:bottom w:val="single" w:color="auto" w:sz="4" w:space="0"/>
              <w:right w:val="single" w:color="auto" w:sz="4" w:space="0"/>
            </w:tcBorders>
            <w:vAlign w:val="center"/>
          </w:tcPr>
          <w:p>
            <w:pPr>
              <w:pStyle w:val="15"/>
              <w:spacing w:line="520" w:lineRule="exact"/>
              <w:jc w:val="both"/>
              <w:rPr>
                <w:rFonts w:hint="eastAsia" w:hAnsi="宋体" w:cs="宋体"/>
                <w:szCs w:val="21"/>
              </w:rPr>
            </w:pPr>
            <w:r>
              <w:rPr>
                <w:bCs/>
                <w:color w:val="auto"/>
                <w:sz w:val="21"/>
                <w:highlight w:val="none"/>
                <w:u w:val="single"/>
              </w:rPr>
              <w:t xml:space="preserve">    </w:t>
            </w:r>
            <w:r>
              <w:rPr>
                <w:rFonts w:hint="eastAsia"/>
                <w:bCs/>
                <w:color w:val="auto"/>
                <w:sz w:val="21"/>
                <w:highlight w:val="none"/>
              </w:rPr>
              <w:t>年</w:t>
            </w:r>
            <w:r>
              <w:rPr>
                <w:bCs/>
                <w:color w:val="auto"/>
                <w:sz w:val="21"/>
                <w:highlight w:val="none"/>
                <w:u w:val="single"/>
              </w:rPr>
              <w:t xml:space="preserve">    </w:t>
            </w:r>
            <w:r>
              <w:rPr>
                <w:rFonts w:hint="eastAsia"/>
                <w:bCs/>
                <w:color w:val="auto"/>
                <w:sz w:val="21"/>
                <w:highlight w:val="none"/>
              </w:rPr>
              <w:t>月</w:t>
            </w:r>
            <w:r>
              <w:rPr>
                <w:bCs/>
                <w:color w:val="auto"/>
                <w:sz w:val="21"/>
                <w:highlight w:val="none"/>
                <w:u w:val="single"/>
              </w:rPr>
              <w:t xml:space="preserve">    </w:t>
            </w:r>
            <w:r>
              <w:rPr>
                <w:rFonts w:hint="eastAsia"/>
                <w:bCs/>
                <w:color w:val="auto"/>
                <w:sz w:val="21"/>
                <w:highlight w:val="none"/>
              </w:rPr>
              <w:t>日</w:t>
            </w:r>
          </w:p>
        </w:tc>
      </w:tr>
    </w:tbl>
    <w:p>
      <w:pPr>
        <w:pStyle w:val="15"/>
        <w:spacing w:line="480" w:lineRule="auto"/>
        <w:rPr>
          <w:rFonts w:hAnsi="宋体" w:cs="宋体"/>
          <w:szCs w:val="21"/>
        </w:rPr>
      </w:pPr>
      <w:r>
        <w:rPr>
          <w:rFonts w:hint="eastAsia" w:hAnsi="宋体" w:cs="宋体"/>
          <w:szCs w:val="21"/>
        </w:rPr>
        <w:t>注：⑴表格内容均需按要求填写并盖章，不得留空，否则按无效响应处理。</w:t>
      </w:r>
    </w:p>
    <w:p>
      <w:pPr>
        <w:pStyle w:val="15"/>
        <w:spacing w:line="480" w:lineRule="auto"/>
        <w:ind w:firstLine="420" w:firstLineChars="200"/>
        <w:rPr>
          <w:rFonts w:hAnsi="宋体" w:cs="宋体"/>
          <w:sz w:val="24"/>
          <w:szCs w:val="24"/>
        </w:rPr>
      </w:pPr>
      <w:r>
        <w:rPr>
          <w:rFonts w:hint="eastAsia" w:hAnsi="宋体" w:cs="宋体"/>
          <w:szCs w:val="21"/>
        </w:rPr>
        <w:t>⑵当响应文件的服务内容低于竞争性磋商采购文件要求时，磋商供应商应当如实写明“负偏离”，否则视为虚假应标。</w:t>
      </w:r>
    </w:p>
    <w:p>
      <w:pPr>
        <w:pStyle w:val="15"/>
        <w:spacing w:line="360" w:lineRule="auto"/>
        <w:rPr>
          <w:rFonts w:hAnsi="宋体" w:cs="宋体"/>
          <w:sz w:val="24"/>
          <w:szCs w:val="24"/>
        </w:rPr>
      </w:pPr>
    </w:p>
    <w:p>
      <w:pPr>
        <w:widowControl/>
        <w:spacing w:line="360" w:lineRule="auto"/>
        <w:jc w:val="left"/>
        <w:rPr>
          <w:rFonts w:ascii="宋体" w:hAnsi="宋体" w:cs="宋体"/>
          <w:b/>
          <w:szCs w:val="20"/>
        </w:rPr>
      </w:pPr>
      <w:bookmarkStart w:id="115" w:name="_Toc15464"/>
      <w:bookmarkStart w:id="116" w:name="_Toc460253714"/>
      <w:r>
        <w:rPr>
          <w:rFonts w:hint="eastAsia" w:ascii="宋体" w:hAnsi="宋体" w:cs="宋体"/>
          <w:b/>
        </w:rPr>
        <w:br w:type="page"/>
      </w:r>
    </w:p>
    <w:p>
      <w:pPr>
        <w:pStyle w:val="15"/>
        <w:spacing w:line="360" w:lineRule="auto"/>
        <w:jc w:val="left"/>
        <w:rPr>
          <w:rFonts w:hAnsi="宋体" w:cs="宋体"/>
          <w:u w:val="single"/>
        </w:rPr>
      </w:pPr>
      <w:bookmarkStart w:id="117" w:name="_Toc20142"/>
      <w:bookmarkStart w:id="118" w:name="_Toc32057"/>
      <w:r>
        <w:rPr>
          <w:rFonts w:hint="eastAsia" w:hAnsi="宋体" w:cs="宋体"/>
          <w:b/>
        </w:rPr>
        <w:t>格式</w:t>
      </w:r>
      <w:r>
        <w:rPr>
          <w:rFonts w:hint="eastAsia" w:hAnsi="宋体" w:cs="宋体"/>
          <w:b/>
          <w:lang w:val="en-US" w:eastAsia="zh-CN"/>
        </w:rPr>
        <w:t>4</w:t>
      </w:r>
      <w:r>
        <w:rPr>
          <w:rFonts w:hint="eastAsia" w:hAnsi="宋体" w:cs="宋体"/>
          <w:b/>
        </w:rPr>
        <w:t>：</w:t>
      </w:r>
      <w:bookmarkEnd w:id="115"/>
      <w:bookmarkEnd w:id="116"/>
      <w:bookmarkEnd w:id="117"/>
      <w:bookmarkEnd w:id="118"/>
    </w:p>
    <w:p>
      <w:pPr>
        <w:pStyle w:val="15"/>
        <w:spacing w:line="360" w:lineRule="auto"/>
        <w:jc w:val="center"/>
        <w:rPr>
          <w:rFonts w:hAnsi="宋体" w:cs="宋体"/>
          <w:b/>
          <w:bCs/>
          <w:sz w:val="32"/>
          <w:szCs w:val="32"/>
        </w:rPr>
      </w:pPr>
      <w:r>
        <w:rPr>
          <w:rFonts w:hint="eastAsia" w:hAnsi="宋体" w:cs="宋体"/>
          <w:b/>
          <w:bCs/>
          <w:sz w:val="32"/>
          <w:szCs w:val="32"/>
        </w:rPr>
        <w:t>服务承诺（格式）</w:t>
      </w:r>
    </w:p>
    <w:p>
      <w:pPr>
        <w:pStyle w:val="15"/>
        <w:spacing w:line="360" w:lineRule="auto"/>
        <w:ind w:firstLine="475" w:firstLineChars="198"/>
        <w:rPr>
          <w:rFonts w:hAnsi="宋体" w:cs="宋体"/>
          <w:sz w:val="24"/>
          <w:szCs w:val="24"/>
        </w:rPr>
      </w:pPr>
    </w:p>
    <w:p>
      <w:pPr>
        <w:pStyle w:val="15"/>
        <w:spacing w:line="480" w:lineRule="auto"/>
        <w:ind w:firstLine="415" w:firstLineChars="198"/>
        <w:rPr>
          <w:rFonts w:hAnsi="宋体" w:cs="宋体"/>
          <w:szCs w:val="21"/>
        </w:rPr>
      </w:pPr>
      <w:r>
        <w:rPr>
          <w:rFonts w:hint="eastAsia" w:hAnsi="宋体" w:cs="宋体"/>
          <w:szCs w:val="21"/>
        </w:rPr>
        <w:t>由磋商供应商按本项目竞争性磋商文件第三章 “服务需求一览表”服务要求自行填写。</w:t>
      </w:r>
    </w:p>
    <w:p>
      <w:pPr>
        <w:pStyle w:val="15"/>
        <w:spacing w:line="480" w:lineRule="auto"/>
        <w:ind w:firstLine="420" w:firstLineChars="200"/>
        <w:rPr>
          <w:rFonts w:hAnsi="宋体" w:cs="宋体"/>
          <w:szCs w:val="21"/>
        </w:rPr>
      </w:pPr>
    </w:p>
    <w:p>
      <w:pPr>
        <w:pStyle w:val="15"/>
        <w:spacing w:line="480" w:lineRule="auto"/>
        <w:rPr>
          <w:rFonts w:hAnsi="宋体" w:cs="宋体"/>
          <w:szCs w:val="21"/>
        </w:rPr>
      </w:pPr>
    </w:p>
    <w:p>
      <w:pPr>
        <w:pStyle w:val="15"/>
        <w:spacing w:line="480" w:lineRule="auto"/>
        <w:rPr>
          <w:rFonts w:hAnsi="宋体" w:cs="宋体"/>
          <w:szCs w:val="21"/>
        </w:rPr>
      </w:pPr>
    </w:p>
    <w:p>
      <w:pPr>
        <w:pStyle w:val="15"/>
        <w:spacing w:line="480" w:lineRule="auto"/>
        <w:rPr>
          <w:rFonts w:hAnsi="宋体" w:cs="宋体"/>
          <w:szCs w:val="21"/>
        </w:rPr>
      </w:pPr>
    </w:p>
    <w:p>
      <w:pPr>
        <w:pStyle w:val="15"/>
        <w:spacing w:line="480" w:lineRule="auto"/>
        <w:rPr>
          <w:rFonts w:hAnsi="宋体" w:cs="宋体"/>
          <w:szCs w:val="21"/>
        </w:rPr>
      </w:pPr>
    </w:p>
    <w:p>
      <w:pPr>
        <w:pStyle w:val="15"/>
        <w:spacing w:line="480" w:lineRule="auto"/>
        <w:rPr>
          <w:rFonts w:hAnsi="宋体" w:cs="宋体"/>
          <w:szCs w:val="21"/>
        </w:rPr>
      </w:pPr>
    </w:p>
    <w:p>
      <w:pPr>
        <w:pStyle w:val="15"/>
        <w:spacing w:line="480" w:lineRule="auto"/>
        <w:rPr>
          <w:rFonts w:hAnsi="宋体" w:cs="宋体"/>
          <w:szCs w:val="21"/>
        </w:rPr>
      </w:pPr>
    </w:p>
    <w:p>
      <w:pPr>
        <w:pStyle w:val="15"/>
        <w:spacing w:line="480" w:lineRule="auto"/>
        <w:rPr>
          <w:rFonts w:hAnsi="宋体" w:cs="宋体"/>
          <w:szCs w:val="21"/>
        </w:rPr>
      </w:pPr>
    </w:p>
    <w:p>
      <w:pPr>
        <w:pStyle w:val="15"/>
        <w:spacing w:line="480" w:lineRule="auto"/>
        <w:rPr>
          <w:rFonts w:hAnsi="宋体" w:cs="宋体"/>
          <w:szCs w:val="21"/>
          <w:u w:val="single"/>
        </w:rPr>
      </w:pPr>
      <w:r>
        <w:rPr>
          <w:rFonts w:hint="eastAsia" w:hAnsi="宋体" w:cs="宋体"/>
          <w:szCs w:val="21"/>
        </w:rPr>
        <w:t>磋商供应商（盖单位公章）：</w:t>
      </w:r>
      <w:r>
        <w:rPr>
          <w:rFonts w:hint="eastAsia" w:hAnsi="宋体" w:cs="宋体"/>
          <w:szCs w:val="21"/>
          <w:u w:val="single"/>
        </w:rPr>
        <w:t xml:space="preserve">                         </w:t>
      </w:r>
    </w:p>
    <w:p>
      <w:pPr>
        <w:pStyle w:val="15"/>
        <w:spacing w:line="480" w:lineRule="auto"/>
        <w:rPr>
          <w:rFonts w:hAnsi="宋体" w:cs="宋体"/>
          <w:szCs w:val="21"/>
          <w:u w:val="single"/>
        </w:rPr>
      </w:pPr>
    </w:p>
    <w:p>
      <w:pPr>
        <w:pStyle w:val="15"/>
        <w:spacing w:line="480" w:lineRule="auto"/>
        <w:rPr>
          <w:rFonts w:hAnsi="宋体" w:cs="宋体"/>
          <w:szCs w:val="21"/>
          <w:u w:val="single"/>
        </w:rPr>
      </w:pPr>
      <w:r>
        <w:rPr>
          <w:rFonts w:hint="eastAsia" w:hAnsi="宋体" w:cs="宋体"/>
          <w:szCs w:val="21"/>
        </w:rPr>
        <w:t>法定代表人或其委托代理人（签字或盖章）：</w:t>
      </w:r>
      <w:r>
        <w:rPr>
          <w:rFonts w:hint="eastAsia" w:hAnsi="宋体" w:cs="宋体"/>
          <w:szCs w:val="21"/>
          <w:u w:val="single"/>
        </w:rPr>
        <w:t xml:space="preserve">                 </w:t>
      </w:r>
    </w:p>
    <w:p>
      <w:pPr>
        <w:pStyle w:val="15"/>
        <w:spacing w:line="360" w:lineRule="auto"/>
        <w:rPr>
          <w:rFonts w:hint="eastAsia" w:hAnsi="宋体" w:cs="宋体"/>
          <w:sz w:val="24"/>
          <w:szCs w:val="24"/>
          <w:u w:val="single"/>
        </w:rPr>
      </w:pPr>
    </w:p>
    <w:p>
      <w:pPr>
        <w:pStyle w:val="15"/>
        <w:spacing w:line="360" w:lineRule="auto"/>
        <w:ind w:firstLine="1920" w:firstLineChars="800"/>
        <w:rPr>
          <w:rFonts w:hAnsi="宋体" w:cs="宋体"/>
          <w:u w:val="single"/>
        </w:rPr>
      </w:pPr>
      <w:r>
        <w:rPr>
          <w:rFonts w:hint="eastAsia" w:hAnsi="宋体" w:cs="宋体"/>
          <w:sz w:val="24"/>
          <w:szCs w:val="24"/>
          <w:u w:val="single"/>
          <w:lang w:eastAsia="zh-CN"/>
        </w:rPr>
        <w:t>年</w:t>
      </w:r>
      <w:r>
        <w:rPr>
          <w:rFonts w:hint="eastAsia" w:hAnsi="宋体" w:cs="宋体"/>
          <w:sz w:val="24"/>
          <w:szCs w:val="24"/>
          <w:u w:val="single"/>
          <w:lang w:val="en-US" w:eastAsia="zh-CN"/>
        </w:rPr>
        <w:t xml:space="preserve">  月  日</w:t>
      </w:r>
      <w:r>
        <w:rPr>
          <w:rFonts w:hint="eastAsia" w:hAnsi="宋体" w:cs="宋体"/>
          <w:sz w:val="24"/>
          <w:szCs w:val="24"/>
          <w:u w:val="single"/>
        </w:rPr>
        <w:br w:type="page"/>
      </w:r>
      <w:r>
        <w:rPr>
          <w:rFonts w:hint="eastAsia" w:hAnsi="宋体" w:cs="宋体"/>
          <w:b/>
        </w:rPr>
        <w:t>格式</w:t>
      </w:r>
      <w:r>
        <w:rPr>
          <w:rFonts w:hint="eastAsia" w:hAnsi="宋体" w:cs="宋体"/>
          <w:b/>
          <w:lang w:val="en-US" w:eastAsia="zh-CN"/>
        </w:rPr>
        <w:t>5</w:t>
      </w:r>
      <w:r>
        <w:rPr>
          <w:rFonts w:hint="eastAsia" w:hAnsi="宋体" w:cs="宋体"/>
          <w:b/>
        </w:rPr>
        <w:t>：</w:t>
      </w:r>
    </w:p>
    <w:p>
      <w:pPr>
        <w:pStyle w:val="15"/>
        <w:spacing w:line="360" w:lineRule="auto"/>
        <w:jc w:val="center"/>
        <w:rPr>
          <w:rFonts w:hAnsi="宋体" w:cs="宋体"/>
          <w:b/>
          <w:bCs/>
          <w:sz w:val="30"/>
          <w:szCs w:val="30"/>
        </w:rPr>
      </w:pPr>
      <w:r>
        <w:rPr>
          <w:rFonts w:hint="eastAsia" w:hAnsi="宋体" w:cs="宋体"/>
          <w:sz w:val="24"/>
          <w:szCs w:val="24"/>
        </w:rPr>
        <w:tab/>
      </w:r>
      <w:r>
        <w:rPr>
          <w:rFonts w:hint="eastAsia" w:hAnsi="宋体" w:cs="宋体"/>
          <w:b/>
          <w:bCs/>
          <w:sz w:val="30"/>
          <w:szCs w:val="30"/>
        </w:rPr>
        <w:t>商务条款偏离表（格式）</w:t>
      </w:r>
    </w:p>
    <w:p>
      <w:pPr>
        <w:spacing w:line="400" w:lineRule="exact"/>
        <w:ind w:firstLine="422" w:firstLineChars="200"/>
        <w:rPr>
          <w:rFonts w:hint="eastAsia" w:ascii="宋体" w:hAnsi="宋体" w:eastAsia="宋体"/>
          <w:b/>
          <w:color w:val="auto"/>
          <w:szCs w:val="21"/>
          <w:highlight w:val="none"/>
          <w:u w:val="single"/>
          <w:lang w:val="en-US" w:eastAsia="zh-CN"/>
        </w:rPr>
      </w:pPr>
      <w:r>
        <w:rPr>
          <w:rFonts w:hint="eastAsia" w:ascii="宋体" w:hAnsi="宋体"/>
          <w:b/>
          <w:color w:val="auto"/>
          <w:szCs w:val="21"/>
          <w:highlight w:val="none"/>
        </w:rPr>
        <w:t>项目编号：</w:t>
      </w:r>
      <w:r>
        <w:rPr>
          <w:rFonts w:hint="eastAsia" w:ascii="宋体" w:hAnsi="宋体"/>
          <w:b/>
          <w:color w:val="auto"/>
          <w:szCs w:val="21"/>
          <w:highlight w:val="none"/>
          <w:u w:val="single"/>
        </w:rPr>
        <w:t xml:space="preserve">                </w:t>
      </w:r>
      <w:r>
        <w:rPr>
          <w:rFonts w:hint="eastAsia" w:ascii="宋体" w:hAnsi="宋体"/>
          <w:b/>
          <w:color w:val="auto"/>
          <w:szCs w:val="21"/>
          <w:highlight w:val="none"/>
          <w:u w:val="single"/>
          <w:lang w:val="en-US" w:eastAsia="zh-CN"/>
        </w:rPr>
        <w:t xml:space="preserve"> </w:t>
      </w:r>
    </w:p>
    <w:p>
      <w:pPr>
        <w:spacing w:line="400" w:lineRule="exact"/>
        <w:ind w:firstLine="422" w:firstLineChars="200"/>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项目名称：</w:t>
      </w:r>
      <w:r>
        <w:rPr>
          <w:rFonts w:hint="eastAsia" w:ascii="宋体" w:hAnsi="宋体" w:eastAsia="宋体" w:cs="Times New Roman"/>
          <w:b/>
          <w:color w:val="auto"/>
          <w:szCs w:val="21"/>
          <w:highlight w:val="none"/>
          <w:u w:val="single"/>
          <w:lang w:val="en-US" w:eastAsia="zh-CN"/>
        </w:rPr>
        <w:t xml:space="preserve">                 </w:t>
      </w:r>
      <w:r>
        <w:rPr>
          <w:rFonts w:hint="eastAsia" w:ascii="宋体" w:hAnsi="宋体" w:eastAsia="宋体" w:cs="Times New Roman"/>
          <w:b/>
          <w:color w:val="auto"/>
          <w:szCs w:val="21"/>
          <w:highlight w:val="none"/>
        </w:rPr>
        <w:t xml:space="preserve">                         </w:t>
      </w:r>
    </w:p>
    <w:p>
      <w:pPr>
        <w:spacing w:line="400" w:lineRule="exact"/>
        <w:ind w:firstLine="422" w:firstLineChars="200"/>
        <w:rPr>
          <w:rFonts w:hint="default" w:ascii="宋体" w:hAnsi="宋体" w:eastAsia="宋体" w:cs="Times New Roman"/>
          <w:b/>
          <w:color w:val="auto"/>
          <w:szCs w:val="21"/>
          <w:highlight w:val="none"/>
          <w:u w:val="single"/>
          <w:lang w:val="en-US" w:eastAsia="zh-CN"/>
        </w:rPr>
      </w:pPr>
      <w:r>
        <w:rPr>
          <w:rFonts w:hint="eastAsia" w:ascii="宋体" w:hAnsi="宋体" w:eastAsia="宋体" w:cs="Times New Roman"/>
          <w:b/>
          <w:color w:val="auto"/>
          <w:szCs w:val="21"/>
          <w:highlight w:val="none"/>
          <w:lang w:val="en-US" w:eastAsia="zh-CN"/>
        </w:rPr>
        <w:t>分包号：</w:t>
      </w:r>
      <w:r>
        <w:rPr>
          <w:rFonts w:hint="eastAsia" w:ascii="宋体" w:hAnsi="宋体" w:eastAsia="宋体" w:cs="Times New Roman"/>
          <w:b/>
          <w:color w:val="auto"/>
          <w:szCs w:val="21"/>
          <w:highlight w:val="none"/>
          <w:u w:val="single"/>
          <w:lang w:val="en-US" w:eastAsia="zh-CN"/>
        </w:rPr>
        <w:t xml:space="preserve">                   </w:t>
      </w:r>
    </w:p>
    <w:p>
      <w:pPr>
        <w:pStyle w:val="15"/>
        <w:spacing w:line="480" w:lineRule="auto"/>
        <w:ind w:firstLine="420" w:firstLineChars="200"/>
        <w:rPr>
          <w:rFonts w:hAnsi="宋体" w:cs="宋体"/>
          <w:szCs w:val="21"/>
        </w:rPr>
      </w:pPr>
      <w:r>
        <w:rPr>
          <w:rFonts w:hint="eastAsia" w:hAnsi="宋体" w:cs="宋体"/>
          <w:szCs w:val="21"/>
        </w:rPr>
        <w:t>请逐条对应本项目竞争性磋商文件第三章“服务需求一览表”中“商务条款”的要求，详细填写相应的具体内容。“偏离说明”一栏应当选择“正偏离”、“负偏离”或“无偏离”进行填写。</w:t>
      </w:r>
    </w:p>
    <w:tbl>
      <w:tblPr>
        <w:tblStyle w:val="29"/>
        <w:tblpPr w:leftFromText="180" w:rightFromText="180" w:vertAnchor="text" w:horzAnchor="margin" w:tblpXSpec="center" w:tblpY="94"/>
        <w:tblW w:w="98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4071"/>
        <w:gridCol w:w="3353"/>
        <w:gridCol w:w="16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hAnsi="宋体" w:cs="宋体"/>
                <w:szCs w:val="21"/>
              </w:rPr>
            </w:pPr>
            <w:r>
              <w:rPr>
                <w:rFonts w:hint="eastAsia" w:hAnsi="宋体" w:cs="宋体"/>
                <w:szCs w:val="21"/>
              </w:rPr>
              <w:t>项号</w:t>
            </w:r>
          </w:p>
        </w:tc>
        <w:tc>
          <w:tcPr>
            <w:tcW w:w="4071"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hAnsi="宋体" w:cs="宋体"/>
                <w:szCs w:val="21"/>
              </w:rPr>
            </w:pPr>
            <w:r>
              <w:rPr>
                <w:rFonts w:hint="eastAsia" w:hAnsi="宋体" w:cs="宋体"/>
                <w:szCs w:val="21"/>
              </w:rPr>
              <w:t>竞争性磋商采购文件的商务需求</w:t>
            </w:r>
          </w:p>
        </w:tc>
        <w:tc>
          <w:tcPr>
            <w:tcW w:w="3353"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hAnsi="宋体" w:cs="宋体"/>
                <w:szCs w:val="21"/>
              </w:rPr>
            </w:pPr>
            <w:r>
              <w:rPr>
                <w:rFonts w:hint="eastAsia" w:hAnsi="宋体" w:cs="宋体"/>
                <w:szCs w:val="21"/>
              </w:rPr>
              <w:t>响应文件承诺的商务条款</w:t>
            </w:r>
          </w:p>
        </w:tc>
        <w:tc>
          <w:tcPr>
            <w:tcW w:w="1687"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hAnsi="宋体" w:cs="宋体"/>
                <w:szCs w:val="21"/>
              </w:rPr>
            </w:pPr>
            <w:r>
              <w:rPr>
                <w:rFonts w:hint="eastAsia" w:hAnsi="宋体" w:cs="宋体"/>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7" w:hRule="atLeast"/>
        </w:trPr>
        <w:tc>
          <w:tcPr>
            <w:tcW w:w="717" w:type="dxa"/>
            <w:tcBorders>
              <w:top w:val="single" w:color="auto" w:sz="4" w:space="0"/>
              <w:left w:val="single" w:color="auto" w:sz="4" w:space="0"/>
              <w:bottom w:val="single" w:color="auto" w:sz="4" w:space="0"/>
              <w:right w:val="single" w:color="auto" w:sz="4" w:space="0"/>
            </w:tcBorders>
          </w:tcPr>
          <w:p>
            <w:pPr>
              <w:pStyle w:val="15"/>
              <w:spacing w:line="360" w:lineRule="auto"/>
              <w:rPr>
                <w:rFonts w:hAnsi="宋体" w:cs="宋体"/>
                <w:szCs w:val="21"/>
              </w:rPr>
            </w:pPr>
            <w:r>
              <w:rPr>
                <w:rFonts w:hint="eastAsia" w:hAnsi="宋体" w:cs="宋体"/>
                <w:szCs w:val="21"/>
              </w:rPr>
              <w:t>一</w:t>
            </w:r>
          </w:p>
        </w:tc>
        <w:tc>
          <w:tcPr>
            <w:tcW w:w="4071"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Cs w:val="21"/>
              </w:rPr>
            </w:pPr>
            <w:r>
              <w:rPr>
                <w:rFonts w:hint="eastAsia" w:ascii="宋体" w:hAnsi="宋体" w:cs="宋体"/>
                <w:szCs w:val="21"/>
              </w:rPr>
              <w:t>1  ……</w:t>
            </w:r>
          </w:p>
          <w:p>
            <w:pPr>
              <w:spacing w:line="360" w:lineRule="auto"/>
              <w:rPr>
                <w:rFonts w:ascii="宋体" w:hAnsi="宋体" w:cs="宋体"/>
                <w:szCs w:val="21"/>
              </w:rPr>
            </w:pPr>
            <w:r>
              <w:rPr>
                <w:rFonts w:hint="eastAsia" w:ascii="宋体" w:hAnsi="宋体" w:cs="宋体"/>
                <w:szCs w:val="21"/>
              </w:rPr>
              <w:t>2  ……</w:t>
            </w:r>
          </w:p>
          <w:p>
            <w:pPr>
              <w:spacing w:line="360" w:lineRule="auto"/>
              <w:rPr>
                <w:rFonts w:ascii="宋体" w:hAnsi="宋体" w:cs="宋体"/>
                <w:szCs w:val="21"/>
              </w:rPr>
            </w:pPr>
            <w:r>
              <w:rPr>
                <w:rFonts w:hint="eastAsia" w:ascii="宋体" w:hAnsi="宋体" w:cs="宋体"/>
                <w:szCs w:val="21"/>
              </w:rPr>
              <w:t>3  ……</w:t>
            </w:r>
          </w:p>
          <w:p>
            <w:pPr>
              <w:pStyle w:val="15"/>
              <w:spacing w:line="360" w:lineRule="auto"/>
              <w:rPr>
                <w:rFonts w:hAnsi="宋体" w:cs="宋体"/>
                <w:szCs w:val="21"/>
              </w:rPr>
            </w:pPr>
            <w:r>
              <w:rPr>
                <w:rFonts w:hint="eastAsia" w:hAnsi="宋体" w:cs="宋体"/>
                <w:szCs w:val="21"/>
              </w:rPr>
              <w:t>……</w:t>
            </w:r>
          </w:p>
        </w:tc>
        <w:tc>
          <w:tcPr>
            <w:tcW w:w="335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Cs w:val="21"/>
              </w:rPr>
            </w:pPr>
            <w:r>
              <w:rPr>
                <w:rFonts w:hint="eastAsia" w:ascii="宋体" w:hAnsi="宋体" w:cs="宋体"/>
                <w:szCs w:val="21"/>
              </w:rPr>
              <w:t>1  ……</w:t>
            </w:r>
          </w:p>
          <w:p>
            <w:pPr>
              <w:spacing w:line="360" w:lineRule="auto"/>
              <w:rPr>
                <w:rFonts w:ascii="宋体" w:hAnsi="宋体" w:cs="宋体"/>
                <w:szCs w:val="21"/>
              </w:rPr>
            </w:pPr>
            <w:r>
              <w:rPr>
                <w:rFonts w:hint="eastAsia" w:ascii="宋体" w:hAnsi="宋体" w:cs="宋体"/>
                <w:szCs w:val="21"/>
              </w:rPr>
              <w:t>2  ……</w:t>
            </w:r>
          </w:p>
          <w:p>
            <w:pPr>
              <w:spacing w:line="360" w:lineRule="auto"/>
              <w:rPr>
                <w:rFonts w:ascii="宋体" w:hAnsi="宋体" w:cs="宋体"/>
                <w:szCs w:val="21"/>
              </w:rPr>
            </w:pPr>
            <w:r>
              <w:rPr>
                <w:rFonts w:hint="eastAsia" w:ascii="宋体" w:hAnsi="宋体" w:cs="宋体"/>
                <w:szCs w:val="21"/>
              </w:rPr>
              <w:t>3  ……</w:t>
            </w:r>
          </w:p>
          <w:p>
            <w:pPr>
              <w:pStyle w:val="15"/>
              <w:spacing w:line="360" w:lineRule="auto"/>
              <w:rPr>
                <w:rFonts w:hAnsi="宋体" w:cs="宋体"/>
                <w:szCs w:val="21"/>
              </w:rPr>
            </w:pPr>
            <w:r>
              <w:rPr>
                <w:rFonts w:hint="eastAsia" w:hAnsi="宋体" w:cs="宋体"/>
                <w:szCs w:val="21"/>
              </w:rPr>
              <w:t>……</w:t>
            </w:r>
          </w:p>
        </w:tc>
        <w:tc>
          <w:tcPr>
            <w:tcW w:w="1687" w:type="dxa"/>
            <w:tcBorders>
              <w:top w:val="single" w:color="auto" w:sz="4" w:space="0"/>
              <w:left w:val="single" w:color="auto" w:sz="4" w:space="0"/>
              <w:bottom w:val="single" w:color="auto" w:sz="4" w:space="0"/>
              <w:right w:val="single" w:color="auto" w:sz="4" w:space="0"/>
            </w:tcBorders>
          </w:tcPr>
          <w:p>
            <w:pPr>
              <w:pStyle w:val="15"/>
              <w:spacing w:line="360" w:lineRule="auto"/>
              <w:rPr>
                <w:rFonts w:hAnsi="宋体" w:cs="宋体"/>
                <w:szCs w:val="21"/>
              </w:rPr>
            </w:pPr>
            <w:r>
              <w:rPr>
                <w:rFonts w:hint="eastAsia" w:hAnsi="宋体" w:cs="宋体"/>
                <w:szCs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8" w:hRule="atLeast"/>
        </w:trPr>
        <w:tc>
          <w:tcPr>
            <w:tcW w:w="717" w:type="dxa"/>
            <w:tcBorders>
              <w:top w:val="single" w:color="auto" w:sz="4" w:space="0"/>
              <w:left w:val="single" w:color="auto" w:sz="4" w:space="0"/>
              <w:bottom w:val="single" w:color="auto" w:sz="4" w:space="0"/>
              <w:right w:val="single" w:color="auto" w:sz="4" w:space="0"/>
            </w:tcBorders>
          </w:tcPr>
          <w:p>
            <w:pPr>
              <w:pStyle w:val="15"/>
              <w:spacing w:line="360" w:lineRule="auto"/>
              <w:rPr>
                <w:rFonts w:hAnsi="宋体" w:cs="宋体"/>
                <w:szCs w:val="21"/>
              </w:rPr>
            </w:pPr>
            <w:r>
              <w:rPr>
                <w:rFonts w:hint="eastAsia" w:hAnsi="宋体" w:cs="宋体"/>
                <w:szCs w:val="21"/>
              </w:rPr>
              <w:t>二</w:t>
            </w:r>
          </w:p>
        </w:tc>
        <w:tc>
          <w:tcPr>
            <w:tcW w:w="4071"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Cs w:val="21"/>
              </w:rPr>
            </w:pPr>
            <w:r>
              <w:rPr>
                <w:rFonts w:hint="eastAsia" w:ascii="宋体" w:hAnsi="宋体" w:cs="宋体"/>
                <w:szCs w:val="21"/>
              </w:rPr>
              <w:t>1  ……</w:t>
            </w:r>
          </w:p>
          <w:p>
            <w:pPr>
              <w:spacing w:line="360" w:lineRule="auto"/>
              <w:rPr>
                <w:rFonts w:ascii="宋体" w:hAnsi="宋体" w:cs="宋体"/>
                <w:szCs w:val="21"/>
              </w:rPr>
            </w:pPr>
            <w:r>
              <w:rPr>
                <w:rFonts w:hint="eastAsia" w:ascii="宋体" w:hAnsi="宋体" w:cs="宋体"/>
                <w:szCs w:val="21"/>
              </w:rPr>
              <w:t>2  ……</w:t>
            </w:r>
          </w:p>
          <w:p>
            <w:pPr>
              <w:spacing w:line="360" w:lineRule="auto"/>
              <w:rPr>
                <w:rFonts w:ascii="宋体" w:hAnsi="宋体" w:cs="宋体"/>
                <w:szCs w:val="21"/>
              </w:rPr>
            </w:pPr>
            <w:r>
              <w:rPr>
                <w:rFonts w:hint="eastAsia" w:ascii="宋体" w:hAnsi="宋体" w:cs="宋体"/>
                <w:szCs w:val="21"/>
              </w:rPr>
              <w:t>3  ……</w:t>
            </w:r>
          </w:p>
          <w:p>
            <w:pPr>
              <w:pStyle w:val="15"/>
              <w:spacing w:line="360" w:lineRule="auto"/>
              <w:rPr>
                <w:rFonts w:hAnsi="宋体" w:cs="宋体"/>
                <w:szCs w:val="21"/>
              </w:rPr>
            </w:pPr>
            <w:r>
              <w:rPr>
                <w:rFonts w:hint="eastAsia" w:hAnsi="宋体" w:cs="宋体"/>
                <w:szCs w:val="21"/>
              </w:rPr>
              <w:t>……</w:t>
            </w:r>
          </w:p>
        </w:tc>
        <w:tc>
          <w:tcPr>
            <w:tcW w:w="335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Cs w:val="21"/>
              </w:rPr>
            </w:pPr>
            <w:r>
              <w:rPr>
                <w:rFonts w:hint="eastAsia" w:ascii="宋体" w:hAnsi="宋体" w:cs="宋体"/>
                <w:szCs w:val="21"/>
              </w:rPr>
              <w:t>1  ……</w:t>
            </w:r>
          </w:p>
          <w:p>
            <w:pPr>
              <w:spacing w:line="360" w:lineRule="auto"/>
              <w:rPr>
                <w:rFonts w:ascii="宋体" w:hAnsi="宋体" w:cs="宋体"/>
                <w:szCs w:val="21"/>
              </w:rPr>
            </w:pPr>
            <w:r>
              <w:rPr>
                <w:rFonts w:hint="eastAsia" w:ascii="宋体" w:hAnsi="宋体" w:cs="宋体"/>
                <w:szCs w:val="21"/>
              </w:rPr>
              <w:t>2  ……</w:t>
            </w:r>
          </w:p>
          <w:p>
            <w:pPr>
              <w:spacing w:line="360" w:lineRule="auto"/>
              <w:rPr>
                <w:rFonts w:ascii="宋体" w:hAnsi="宋体" w:cs="宋体"/>
                <w:szCs w:val="21"/>
              </w:rPr>
            </w:pPr>
            <w:r>
              <w:rPr>
                <w:rFonts w:hint="eastAsia" w:ascii="宋体" w:hAnsi="宋体" w:cs="宋体"/>
                <w:szCs w:val="21"/>
              </w:rPr>
              <w:t>3  ……</w:t>
            </w:r>
          </w:p>
          <w:p>
            <w:pPr>
              <w:pStyle w:val="15"/>
              <w:spacing w:line="360" w:lineRule="auto"/>
              <w:rPr>
                <w:rFonts w:hAnsi="宋体" w:cs="宋体"/>
                <w:szCs w:val="21"/>
              </w:rPr>
            </w:pPr>
            <w:r>
              <w:rPr>
                <w:rFonts w:hint="eastAsia" w:hAnsi="宋体" w:cs="宋体"/>
                <w:szCs w:val="21"/>
              </w:rPr>
              <w:t>……</w:t>
            </w:r>
          </w:p>
        </w:tc>
        <w:tc>
          <w:tcPr>
            <w:tcW w:w="1687" w:type="dxa"/>
            <w:tcBorders>
              <w:top w:val="single" w:color="auto" w:sz="4" w:space="0"/>
              <w:left w:val="single" w:color="auto" w:sz="4" w:space="0"/>
              <w:bottom w:val="single" w:color="auto" w:sz="4" w:space="0"/>
              <w:right w:val="single" w:color="auto" w:sz="4" w:space="0"/>
            </w:tcBorders>
          </w:tcPr>
          <w:p>
            <w:pPr>
              <w:pStyle w:val="15"/>
              <w:spacing w:line="360" w:lineRule="auto"/>
              <w:rPr>
                <w:rFonts w:hAnsi="宋体" w:cs="宋体"/>
                <w:szCs w:val="21"/>
              </w:rPr>
            </w:pPr>
            <w:r>
              <w:rPr>
                <w:rFonts w:hint="eastAsia" w:hAnsi="宋体" w:cs="宋体"/>
                <w:szCs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tcBorders>
              <w:top w:val="single" w:color="auto" w:sz="4" w:space="0"/>
              <w:left w:val="single" w:color="auto" w:sz="4" w:space="0"/>
              <w:bottom w:val="single" w:color="auto" w:sz="4" w:space="0"/>
              <w:right w:val="single" w:color="auto" w:sz="4" w:space="0"/>
            </w:tcBorders>
          </w:tcPr>
          <w:p>
            <w:pPr>
              <w:pStyle w:val="15"/>
              <w:spacing w:line="360" w:lineRule="auto"/>
              <w:rPr>
                <w:rFonts w:hAnsi="宋体" w:cs="宋体"/>
                <w:szCs w:val="21"/>
              </w:rPr>
            </w:pPr>
            <w:r>
              <w:rPr>
                <w:rFonts w:hint="eastAsia" w:hAnsi="宋体" w:cs="宋体"/>
                <w:szCs w:val="21"/>
              </w:rPr>
              <w:t>...</w:t>
            </w:r>
          </w:p>
        </w:tc>
        <w:tc>
          <w:tcPr>
            <w:tcW w:w="4071"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Cs w:val="21"/>
              </w:rPr>
            </w:pPr>
            <w:r>
              <w:rPr>
                <w:rFonts w:hint="eastAsia" w:ascii="宋体" w:hAnsi="宋体" w:cs="宋体"/>
                <w:szCs w:val="21"/>
              </w:rPr>
              <w:t>1  ……</w:t>
            </w:r>
          </w:p>
          <w:p>
            <w:pPr>
              <w:spacing w:line="360" w:lineRule="auto"/>
              <w:rPr>
                <w:rFonts w:ascii="宋体" w:hAnsi="宋体" w:cs="宋体"/>
                <w:szCs w:val="21"/>
              </w:rPr>
            </w:pPr>
            <w:r>
              <w:rPr>
                <w:rFonts w:hint="eastAsia" w:ascii="宋体" w:hAnsi="宋体" w:cs="宋体"/>
                <w:szCs w:val="21"/>
              </w:rPr>
              <w:t>2  ……</w:t>
            </w:r>
          </w:p>
          <w:p>
            <w:pPr>
              <w:spacing w:line="360" w:lineRule="auto"/>
              <w:rPr>
                <w:rFonts w:ascii="宋体" w:hAnsi="宋体" w:cs="宋体"/>
                <w:szCs w:val="21"/>
              </w:rPr>
            </w:pPr>
            <w:r>
              <w:rPr>
                <w:rFonts w:hint="eastAsia" w:ascii="宋体" w:hAnsi="宋体" w:cs="宋体"/>
                <w:szCs w:val="21"/>
              </w:rPr>
              <w:t>3  ……</w:t>
            </w:r>
          </w:p>
          <w:p>
            <w:pPr>
              <w:pStyle w:val="15"/>
              <w:spacing w:line="360" w:lineRule="auto"/>
              <w:rPr>
                <w:rFonts w:hAnsi="宋体" w:cs="宋体"/>
                <w:szCs w:val="21"/>
              </w:rPr>
            </w:pPr>
            <w:r>
              <w:rPr>
                <w:rFonts w:hint="eastAsia" w:hAnsi="宋体" w:cs="宋体"/>
                <w:szCs w:val="21"/>
              </w:rPr>
              <w:t>……</w:t>
            </w:r>
          </w:p>
        </w:tc>
        <w:tc>
          <w:tcPr>
            <w:tcW w:w="335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Cs w:val="21"/>
              </w:rPr>
            </w:pPr>
            <w:r>
              <w:rPr>
                <w:rFonts w:hint="eastAsia" w:ascii="宋体" w:hAnsi="宋体" w:cs="宋体"/>
                <w:szCs w:val="21"/>
              </w:rPr>
              <w:t>1  ……</w:t>
            </w:r>
          </w:p>
          <w:p>
            <w:pPr>
              <w:spacing w:line="360" w:lineRule="auto"/>
              <w:rPr>
                <w:rFonts w:ascii="宋体" w:hAnsi="宋体" w:cs="宋体"/>
                <w:szCs w:val="21"/>
              </w:rPr>
            </w:pPr>
            <w:r>
              <w:rPr>
                <w:rFonts w:hint="eastAsia" w:ascii="宋体" w:hAnsi="宋体" w:cs="宋体"/>
                <w:szCs w:val="21"/>
              </w:rPr>
              <w:t>2  ……</w:t>
            </w:r>
          </w:p>
          <w:p>
            <w:pPr>
              <w:spacing w:line="360" w:lineRule="auto"/>
              <w:rPr>
                <w:rFonts w:ascii="宋体" w:hAnsi="宋体" w:cs="宋体"/>
                <w:szCs w:val="21"/>
              </w:rPr>
            </w:pPr>
            <w:r>
              <w:rPr>
                <w:rFonts w:hint="eastAsia" w:ascii="宋体" w:hAnsi="宋体" w:cs="宋体"/>
                <w:szCs w:val="21"/>
              </w:rPr>
              <w:t>3  ……</w:t>
            </w:r>
          </w:p>
          <w:p>
            <w:pPr>
              <w:pStyle w:val="15"/>
              <w:spacing w:line="360" w:lineRule="auto"/>
              <w:rPr>
                <w:rFonts w:hAnsi="宋体" w:cs="宋体"/>
                <w:szCs w:val="21"/>
              </w:rPr>
            </w:pPr>
            <w:r>
              <w:rPr>
                <w:rFonts w:hint="eastAsia" w:hAnsi="宋体" w:cs="宋体"/>
                <w:szCs w:val="21"/>
              </w:rPr>
              <w:t>……</w:t>
            </w:r>
          </w:p>
        </w:tc>
        <w:tc>
          <w:tcPr>
            <w:tcW w:w="1687" w:type="dxa"/>
            <w:tcBorders>
              <w:top w:val="single" w:color="auto" w:sz="4" w:space="0"/>
              <w:left w:val="single" w:color="auto" w:sz="4" w:space="0"/>
              <w:bottom w:val="single" w:color="auto" w:sz="4" w:space="0"/>
              <w:right w:val="single" w:color="auto" w:sz="4" w:space="0"/>
            </w:tcBorders>
          </w:tcPr>
          <w:p>
            <w:pPr>
              <w:pStyle w:val="15"/>
              <w:spacing w:line="360" w:lineRule="auto"/>
              <w:rPr>
                <w:rFonts w:hAnsi="宋体" w:cs="宋体"/>
                <w:szCs w:val="21"/>
              </w:rPr>
            </w:pPr>
          </w:p>
          <w:p>
            <w:pPr>
              <w:pStyle w:val="15"/>
              <w:spacing w:line="360" w:lineRule="auto"/>
              <w:rPr>
                <w:rFonts w:hAnsi="宋体" w:cs="宋体"/>
                <w:szCs w:val="21"/>
              </w:rPr>
            </w:pPr>
            <w:r>
              <w:rPr>
                <w:rFonts w:hint="eastAsia" w:hAnsi="宋体" w:cs="宋体"/>
                <w:szCs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tcPr>
          <w:p>
            <w:pPr>
              <w:pStyle w:val="15"/>
              <w:spacing w:line="360" w:lineRule="auto"/>
              <w:rPr>
                <w:rFonts w:hAnsi="宋体" w:cs="宋体"/>
                <w:szCs w:val="21"/>
              </w:rPr>
            </w:pPr>
            <w:r>
              <w:rPr>
                <w:rFonts w:hint="eastAsia" w:hAnsi="宋体" w:cs="宋体"/>
                <w:szCs w:val="21"/>
              </w:rPr>
              <w:t>磋商供应商（盖单位公章）：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8" w:type="dxa"/>
            <w:gridSpan w:val="4"/>
            <w:tcBorders>
              <w:top w:val="single" w:color="auto" w:sz="4" w:space="0"/>
              <w:left w:val="single" w:color="auto" w:sz="4" w:space="0"/>
              <w:bottom w:val="single" w:color="auto" w:sz="4" w:space="0"/>
              <w:right w:val="single" w:color="auto" w:sz="4" w:space="0"/>
            </w:tcBorders>
          </w:tcPr>
          <w:p>
            <w:pPr>
              <w:pStyle w:val="15"/>
              <w:spacing w:line="360" w:lineRule="auto"/>
              <w:rPr>
                <w:rFonts w:hAnsi="宋体" w:cs="宋体"/>
                <w:szCs w:val="21"/>
              </w:rPr>
            </w:pPr>
            <w:r>
              <w:rPr>
                <w:rFonts w:hint="eastAsia" w:hAnsi="宋体" w:cs="宋体"/>
                <w:szCs w:val="21"/>
              </w:rPr>
              <w:t>法定代表人或其委托代理人（签字或盖章）：</w:t>
            </w:r>
          </w:p>
        </w:tc>
      </w:tr>
    </w:tbl>
    <w:p>
      <w:pPr>
        <w:pStyle w:val="15"/>
        <w:spacing w:line="480" w:lineRule="auto"/>
        <w:ind w:left="689" w:leftChars="228" w:hanging="210" w:hangingChars="100"/>
        <w:rPr>
          <w:rFonts w:hint="eastAsia" w:ascii="宋体" w:hAnsi="宋体" w:eastAsia="宋体" w:cs="宋体"/>
          <w:szCs w:val="21"/>
        </w:rPr>
      </w:pPr>
      <w:r>
        <w:rPr>
          <w:rFonts w:hint="eastAsia" w:ascii="宋体" w:hAnsi="宋体" w:eastAsia="宋体" w:cs="宋体"/>
          <w:szCs w:val="21"/>
        </w:rPr>
        <w:t>注：⑴表格内容均需按要求填写并盖章，不得留空，否则按无效响应处理。</w:t>
      </w:r>
    </w:p>
    <w:p>
      <w:pPr>
        <w:pStyle w:val="15"/>
        <w:spacing w:line="480" w:lineRule="auto"/>
        <w:ind w:left="689" w:leftChars="228" w:hanging="210" w:hangingChars="100"/>
        <w:rPr>
          <w:rFonts w:hAnsi="宋体" w:cs="宋体"/>
          <w:b/>
        </w:rPr>
      </w:pPr>
      <w:r>
        <w:rPr>
          <w:rFonts w:hint="eastAsia" w:ascii="宋体" w:hAnsi="宋体" w:eastAsia="宋体" w:cs="宋体"/>
          <w:szCs w:val="21"/>
          <w:lang w:eastAsia="zh-CN"/>
        </w:rPr>
        <w:t>（</w:t>
      </w:r>
      <w:r>
        <w:rPr>
          <w:rFonts w:hint="eastAsia" w:ascii="宋体" w:hAnsi="宋体" w:eastAsia="宋体" w:cs="宋体"/>
          <w:szCs w:val="21"/>
          <w:lang w:val="en-US" w:eastAsia="zh-CN"/>
        </w:rPr>
        <w:t>2</w:t>
      </w:r>
      <w:r>
        <w:rPr>
          <w:rFonts w:hint="eastAsia" w:ascii="宋体" w:hAnsi="宋体" w:eastAsia="宋体" w:cs="宋体"/>
          <w:szCs w:val="21"/>
          <w:lang w:eastAsia="zh-CN"/>
        </w:rPr>
        <w:t>）</w:t>
      </w:r>
      <w:r>
        <w:rPr>
          <w:rFonts w:hint="eastAsia" w:ascii="宋体" w:hAnsi="宋体" w:eastAsia="宋体" w:cs="宋体"/>
          <w:szCs w:val="21"/>
        </w:rPr>
        <w:t>当响应文件的技术参数或商务内容低于竞争性磋商采购文件要求时，磋商供应商应当如实写明“负偏离”，否则视为虚假应标。</w:t>
      </w:r>
      <w:r>
        <w:rPr>
          <w:rFonts w:hint="eastAsia" w:hAnsi="宋体" w:cs="宋体"/>
          <w:b/>
        </w:rPr>
        <w:br w:type="page"/>
      </w:r>
    </w:p>
    <w:p>
      <w:pPr>
        <w:pStyle w:val="15"/>
        <w:spacing w:line="360" w:lineRule="auto"/>
        <w:rPr>
          <w:rFonts w:hint="eastAsia" w:hAnsi="宋体" w:cs="宋体"/>
          <w:b/>
        </w:rPr>
      </w:pPr>
      <w:r>
        <w:rPr>
          <w:rFonts w:hint="eastAsia" w:hAnsi="宋体" w:cs="宋体"/>
          <w:b/>
        </w:rPr>
        <w:t>格式</w:t>
      </w:r>
      <w:r>
        <w:rPr>
          <w:rFonts w:hint="eastAsia" w:hAnsi="宋体" w:cs="宋体"/>
          <w:b/>
          <w:lang w:val="en-US" w:eastAsia="zh-CN"/>
        </w:rPr>
        <w:t>6</w:t>
      </w:r>
      <w:r>
        <w:rPr>
          <w:rFonts w:hint="eastAsia" w:hAnsi="宋体" w:cs="宋体"/>
          <w:b/>
        </w:rPr>
        <w:t>：</w:t>
      </w:r>
    </w:p>
    <w:p>
      <w:pPr>
        <w:rPr>
          <w:rFonts w:hint="eastAsia" w:hAnsi="宋体" w:cs="宋体"/>
          <w:b/>
        </w:rPr>
      </w:pPr>
    </w:p>
    <w:p>
      <w:pPr>
        <w:rPr>
          <w:rFonts w:hint="eastAsia" w:hAnsi="宋体" w:cs="宋体"/>
          <w:b/>
        </w:rPr>
      </w:pPr>
    </w:p>
    <w:p>
      <w:pPr>
        <w:pStyle w:val="15"/>
        <w:spacing w:line="440" w:lineRule="exact"/>
        <w:jc w:val="center"/>
        <w:rPr>
          <w:rFonts w:hint="eastAsia"/>
          <w:b/>
          <w:color w:val="auto"/>
          <w:sz w:val="32"/>
          <w:szCs w:val="32"/>
          <w:highlight w:val="none"/>
        </w:rPr>
      </w:pPr>
      <w:r>
        <w:rPr>
          <w:rFonts w:hint="eastAsia" w:ascii="宋体" w:hAnsi="Courier New" w:eastAsia="宋体" w:cs="Times New Roman"/>
          <w:b/>
          <w:color w:val="auto"/>
          <w:sz w:val="32"/>
          <w:szCs w:val="32"/>
          <w:highlight w:val="none"/>
          <w:lang w:eastAsia="zh-CN"/>
        </w:rPr>
        <w:t>法定代表人</w:t>
      </w:r>
      <w:r>
        <w:rPr>
          <w:rFonts w:hint="eastAsia" w:ascii="宋体" w:hAnsi="Courier New" w:eastAsia="宋体" w:cs="Times New Roman"/>
          <w:b/>
          <w:color w:val="auto"/>
          <w:sz w:val="32"/>
          <w:szCs w:val="32"/>
          <w:highlight w:val="none"/>
        </w:rPr>
        <w:t>身份证明书</w:t>
      </w:r>
      <w:r>
        <w:rPr>
          <w:rFonts w:hint="eastAsia"/>
          <w:b/>
          <w:color w:val="auto"/>
          <w:sz w:val="32"/>
          <w:szCs w:val="32"/>
          <w:highlight w:val="none"/>
        </w:rPr>
        <w:t>（格式）</w:t>
      </w:r>
    </w:p>
    <w:p>
      <w:pPr>
        <w:pStyle w:val="15"/>
        <w:spacing w:line="460" w:lineRule="exact"/>
        <w:ind w:firstLine="542" w:firstLineChars="257"/>
        <w:jc w:val="center"/>
        <w:rPr>
          <w:rFonts w:hint="eastAsia"/>
          <w:b/>
          <w:color w:val="auto"/>
          <w:highlight w:val="none"/>
        </w:rPr>
      </w:pPr>
    </w:p>
    <w:p>
      <w:pPr>
        <w:spacing w:line="500" w:lineRule="exact"/>
        <w:rPr>
          <w:rFonts w:hint="eastAsia" w:ascii="宋体" w:hAnsi="宋体"/>
          <w:color w:val="auto"/>
          <w:szCs w:val="21"/>
          <w:highlight w:val="none"/>
        </w:rPr>
      </w:pPr>
      <w:r>
        <w:rPr>
          <w:rFonts w:hint="eastAsia" w:ascii="宋体" w:hAnsi="宋体"/>
          <w:color w:val="auto"/>
          <w:szCs w:val="21"/>
          <w:highlight w:val="none"/>
        </w:rPr>
        <w:t>竞 标 人：</w:t>
      </w:r>
      <w:r>
        <w:rPr>
          <w:rFonts w:hint="eastAsia" w:ascii="宋体" w:hAnsi="宋体"/>
          <w:color w:val="auto"/>
          <w:szCs w:val="21"/>
          <w:highlight w:val="none"/>
          <w:u w:val="single"/>
        </w:rPr>
        <w:t xml:space="preserve">                                                        </w:t>
      </w:r>
    </w:p>
    <w:p>
      <w:pPr>
        <w:spacing w:line="500" w:lineRule="exact"/>
        <w:rPr>
          <w:rFonts w:hint="eastAsia" w:ascii="宋体" w:hAnsi="宋体"/>
          <w:color w:val="auto"/>
          <w:szCs w:val="21"/>
          <w:highlight w:val="none"/>
        </w:rPr>
      </w:pPr>
      <w:r>
        <w:rPr>
          <w:rFonts w:hint="eastAsia" w:ascii="宋体" w:hAnsi="宋体"/>
          <w:color w:val="auto"/>
          <w:szCs w:val="21"/>
          <w:highlight w:val="none"/>
        </w:rPr>
        <w:t>单位性质：</w:t>
      </w:r>
      <w:r>
        <w:rPr>
          <w:rFonts w:hint="eastAsia" w:ascii="宋体" w:hAnsi="宋体"/>
          <w:color w:val="auto"/>
          <w:szCs w:val="21"/>
          <w:highlight w:val="none"/>
          <w:u w:val="single"/>
        </w:rPr>
        <w:t xml:space="preserve">                                                        </w:t>
      </w:r>
    </w:p>
    <w:p>
      <w:pPr>
        <w:spacing w:line="500" w:lineRule="exact"/>
        <w:rPr>
          <w:rFonts w:hint="eastAsia" w:ascii="宋体" w:hAnsi="宋体"/>
          <w:color w:val="auto"/>
          <w:szCs w:val="21"/>
          <w:highlight w:val="none"/>
        </w:rPr>
      </w:pPr>
      <w:r>
        <w:rPr>
          <w:rFonts w:hint="eastAsia" w:ascii="宋体" w:hAnsi="宋体"/>
          <w:color w:val="auto"/>
          <w:szCs w:val="21"/>
          <w:highlight w:val="none"/>
        </w:rPr>
        <w:t>地    址：</w:t>
      </w:r>
      <w:r>
        <w:rPr>
          <w:rFonts w:hint="eastAsia" w:ascii="宋体" w:hAnsi="宋体"/>
          <w:color w:val="auto"/>
          <w:szCs w:val="21"/>
          <w:highlight w:val="none"/>
          <w:u w:val="single"/>
        </w:rPr>
        <w:t xml:space="preserve">                                                        </w:t>
      </w:r>
    </w:p>
    <w:p>
      <w:pPr>
        <w:spacing w:line="500" w:lineRule="exact"/>
        <w:rPr>
          <w:rFonts w:hint="eastAsia" w:ascii="宋体" w:hAnsi="宋体"/>
          <w:color w:val="auto"/>
          <w:szCs w:val="21"/>
          <w:highlight w:val="none"/>
        </w:rPr>
      </w:pPr>
      <w:r>
        <w:rPr>
          <w:rFonts w:hint="eastAsia" w:ascii="宋体" w:hAnsi="宋体"/>
          <w:color w:val="auto"/>
          <w:szCs w:val="21"/>
          <w:highlight w:val="none"/>
        </w:rPr>
        <w:t>成立时间：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pPr>
        <w:spacing w:line="500" w:lineRule="exact"/>
        <w:rPr>
          <w:rFonts w:hint="eastAsia" w:ascii="宋体" w:hAnsi="宋体"/>
          <w:color w:val="auto"/>
          <w:szCs w:val="21"/>
          <w:highlight w:val="none"/>
        </w:rPr>
      </w:pPr>
      <w:r>
        <w:rPr>
          <w:rFonts w:hint="eastAsia" w:ascii="宋体" w:hAnsi="宋体"/>
          <w:color w:val="auto"/>
          <w:szCs w:val="21"/>
          <w:highlight w:val="none"/>
        </w:rPr>
        <w:t>经营期限：</w:t>
      </w:r>
      <w:r>
        <w:rPr>
          <w:rFonts w:hint="eastAsia" w:ascii="宋体" w:hAnsi="宋体"/>
          <w:color w:val="auto"/>
          <w:szCs w:val="21"/>
          <w:highlight w:val="none"/>
          <w:u w:val="single"/>
        </w:rPr>
        <w:t xml:space="preserve">                                                        </w:t>
      </w:r>
    </w:p>
    <w:p>
      <w:pPr>
        <w:spacing w:line="500" w:lineRule="exact"/>
        <w:rPr>
          <w:rFonts w:hint="eastAsia" w:ascii="宋体" w:hAnsi="宋体"/>
          <w:color w:val="auto"/>
          <w:szCs w:val="21"/>
          <w:highlight w:val="none"/>
        </w:rPr>
      </w:pPr>
      <w:r>
        <w:rPr>
          <w:rFonts w:hint="eastAsia" w:ascii="宋体" w:hAnsi="宋体"/>
          <w:color w:val="auto"/>
          <w:szCs w:val="21"/>
          <w:highlight w:val="none"/>
        </w:rPr>
        <w:t>姓    名：</w:t>
      </w:r>
      <w:r>
        <w:rPr>
          <w:rFonts w:hint="eastAsia" w:ascii="宋体" w:hAnsi="宋体"/>
          <w:color w:val="auto"/>
          <w:szCs w:val="21"/>
          <w:highlight w:val="none"/>
          <w:u w:val="single"/>
        </w:rPr>
        <w:t xml:space="preserve">                          </w:t>
      </w:r>
      <w:r>
        <w:rPr>
          <w:rFonts w:hint="eastAsia" w:ascii="宋体" w:hAnsi="宋体"/>
          <w:color w:val="auto"/>
          <w:szCs w:val="21"/>
          <w:highlight w:val="none"/>
        </w:rPr>
        <w:t>性      别：</w:t>
      </w:r>
      <w:r>
        <w:rPr>
          <w:rFonts w:hint="eastAsia" w:ascii="宋体" w:hAnsi="宋体"/>
          <w:color w:val="auto"/>
          <w:szCs w:val="21"/>
          <w:highlight w:val="none"/>
          <w:u w:val="single"/>
        </w:rPr>
        <w:t xml:space="preserve">                </w:t>
      </w:r>
    </w:p>
    <w:p>
      <w:pPr>
        <w:spacing w:line="500" w:lineRule="exact"/>
        <w:rPr>
          <w:rFonts w:hint="eastAsia" w:ascii="宋体" w:hAnsi="宋体"/>
          <w:color w:val="auto"/>
          <w:szCs w:val="21"/>
          <w:highlight w:val="none"/>
          <w:u w:val="single"/>
        </w:rPr>
      </w:pPr>
      <w:r>
        <w:rPr>
          <w:rFonts w:hint="eastAsia" w:ascii="宋体" w:hAnsi="宋体"/>
          <w:color w:val="auto"/>
          <w:szCs w:val="21"/>
          <w:highlight w:val="none"/>
        </w:rPr>
        <w:t>年    龄：</w:t>
      </w:r>
      <w:r>
        <w:rPr>
          <w:rFonts w:hint="eastAsia" w:ascii="宋体" w:hAnsi="宋体"/>
          <w:color w:val="auto"/>
          <w:szCs w:val="21"/>
          <w:highlight w:val="none"/>
          <w:u w:val="single"/>
        </w:rPr>
        <w:t xml:space="preserve">                          </w:t>
      </w:r>
      <w:r>
        <w:rPr>
          <w:rFonts w:hint="eastAsia" w:ascii="宋体" w:hAnsi="宋体"/>
          <w:color w:val="auto"/>
          <w:szCs w:val="21"/>
          <w:highlight w:val="none"/>
        </w:rPr>
        <w:t>职      务：</w:t>
      </w:r>
      <w:r>
        <w:rPr>
          <w:rFonts w:hint="eastAsia" w:ascii="宋体" w:hAnsi="宋体"/>
          <w:color w:val="auto"/>
          <w:szCs w:val="21"/>
          <w:highlight w:val="none"/>
          <w:u w:val="single"/>
        </w:rPr>
        <w:t xml:space="preserve">                </w:t>
      </w:r>
    </w:p>
    <w:p>
      <w:pPr>
        <w:spacing w:line="500" w:lineRule="exact"/>
        <w:rPr>
          <w:rFonts w:hint="eastAsia" w:ascii="宋体" w:hAnsi="宋体"/>
          <w:color w:val="auto"/>
          <w:szCs w:val="21"/>
          <w:highlight w:val="none"/>
        </w:rPr>
      </w:pPr>
      <w:r>
        <w:rPr>
          <w:rFonts w:hint="eastAsia" w:ascii="宋体" w:hAnsi="宋体"/>
          <w:color w:val="auto"/>
          <w:szCs w:val="21"/>
          <w:highlight w:val="none"/>
        </w:rPr>
        <w:t>身份证</w:t>
      </w:r>
      <w:r>
        <w:rPr>
          <w:rFonts w:hint="eastAsia"/>
          <w:color w:val="auto"/>
          <w:szCs w:val="21"/>
          <w:highlight w:val="none"/>
        </w:rPr>
        <w:t>号码：</w:t>
      </w:r>
      <w:r>
        <w:rPr>
          <w:rFonts w:hint="eastAsia"/>
          <w:color w:val="auto"/>
          <w:szCs w:val="21"/>
          <w:highlight w:val="none"/>
          <w:u w:val="single"/>
        </w:rPr>
        <w:t xml:space="preserve">                                 </w:t>
      </w:r>
    </w:p>
    <w:p>
      <w:pPr>
        <w:spacing w:line="500" w:lineRule="exact"/>
        <w:rPr>
          <w:rFonts w:hint="eastAsia" w:ascii="宋体" w:hAnsi="宋体"/>
          <w:color w:val="auto"/>
          <w:szCs w:val="21"/>
          <w:highlight w:val="none"/>
        </w:rPr>
      </w:pPr>
      <w:r>
        <w:rPr>
          <w:rFonts w:hint="eastAsia" w:ascii="宋体" w:hAnsi="宋体"/>
          <w:color w:val="auto"/>
          <w:szCs w:val="21"/>
          <w:highlight w:val="none"/>
        </w:rPr>
        <w:t>系</w:t>
      </w:r>
      <w:r>
        <w:rPr>
          <w:rFonts w:hint="eastAsia" w:ascii="宋体" w:hAnsi="宋体"/>
          <w:color w:val="auto"/>
          <w:szCs w:val="21"/>
          <w:highlight w:val="none"/>
          <w:u w:val="single"/>
        </w:rPr>
        <w:t xml:space="preserve">                                                 </w:t>
      </w:r>
      <w:r>
        <w:rPr>
          <w:rFonts w:hint="eastAsia" w:ascii="宋体" w:hAnsi="宋体"/>
          <w:color w:val="auto"/>
          <w:szCs w:val="21"/>
          <w:highlight w:val="none"/>
        </w:rPr>
        <w:t>（供应商名称）的</w:t>
      </w:r>
      <w:r>
        <w:rPr>
          <w:rFonts w:hint="eastAsia" w:hAnsi="宋体"/>
          <w:color w:val="auto"/>
          <w:szCs w:val="21"/>
          <w:highlight w:val="none"/>
          <w:lang w:eastAsia="zh-CN"/>
        </w:rPr>
        <w:t>法定代表人</w:t>
      </w:r>
      <w:r>
        <w:rPr>
          <w:rFonts w:hint="eastAsia" w:ascii="宋体" w:hAnsi="宋体"/>
          <w:color w:val="auto"/>
          <w:szCs w:val="21"/>
          <w:highlight w:val="none"/>
        </w:rPr>
        <w:t>。</w:t>
      </w:r>
    </w:p>
    <w:p>
      <w:pPr>
        <w:pStyle w:val="15"/>
        <w:spacing w:line="460" w:lineRule="exact"/>
        <w:ind w:firstLine="539" w:firstLineChars="257"/>
        <w:rPr>
          <w:rFonts w:hint="eastAsia" w:hAnsi="宋体"/>
          <w:color w:val="auto"/>
          <w:sz w:val="21"/>
          <w:highlight w:val="none"/>
        </w:rPr>
      </w:pPr>
      <w:r>
        <w:rPr>
          <w:rFonts w:hint="eastAsia" w:hAnsi="宋体"/>
          <w:color w:val="auto"/>
          <w:sz w:val="21"/>
          <w:highlight w:val="none"/>
        </w:rPr>
        <w:t>特此证明。</w:t>
      </w:r>
    </w:p>
    <w:p>
      <w:pPr>
        <w:pStyle w:val="15"/>
        <w:spacing w:line="460" w:lineRule="exact"/>
        <w:ind w:firstLine="539" w:firstLineChars="257"/>
        <w:rPr>
          <w:rFonts w:hint="eastAsia"/>
          <w:color w:val="auto"/>
          <w:sz w:val="21"/>
          <w:highlight w:val="none"/>
        </w:rPr>
      </w:pPr>
      <w:r>
        <w:rPr>
          <w:rFonts w:hint="eastAsia" w:hAnsi="宋体"/>
          <w:color w:val="auto"/>
          <w:sz w:val="21"/>
          <w:highlight w:val="none"/>
        </w:rPr>
        <w:t>附：</w:t>
      </w:r>
      <w:r>
        <w:rPr>
          <w:rFonts w:hint="eastAsia" w:hAnsi="宋体"/>
          <w:color w:val="auto"/>
          <w:sz w:val="21"/>
          <w:highlight w:val="none"/>
          <w:lang w:eastAsia="zh-CN"/>
        </w:rPr>
        <w:t>法定代表人</w:t>
      </w:r>
      <w:r>
        <w:rPr>
          <w:rFonts w:hint="eastAsia" w:hAnsi="宋体"/>
          <w:color w:val="auto"/>
          <w:sz w:val="21"/>
          <w:highlight w:val="none"/>
        </w:rPr>
        <w:t>身份证正反面复印件</w:t>
      </w:r>
    </w:p>
    <w:p>
      <w:pPr>
        <w:pStyle w:val="15"/>
        <w:spacing w:line="460" w:lineRule="exact"/>
        <w:ind w:firstLine="539" w:firstLineChars="257"/>
        <w:rPr>
          <w:rFonts w:hint="eastAsia"/>
          <w:color w:val="auto"/>
          <w:sz w:val="21"/>
          <w:highlight w:val="none"/>
        </w:rPr>
      </w:pPr>
    </w:p>
    <w:p>
      <w:pPr>
        <w:pStyle w:val="15"/>
        <w:spacing w:line="460" w:lineRule="exact"/>
        <w:ind w:firstLine="539" w:firstLineChars="257"/>
        <w:rPr>
          <w:rFonts w:hint="eastAsia"/>
          <w:color w:val="auto"/>
          <w:sz w:val="21"/>
          <w:highlight w:val="none"/>
        </w:rPr>
      </w:pPr>
    </w:p>
    <w:p>
      <w:pPr>
        <w:pStyle w:val="15"/>
        <w:spacing w:line="460" w:lineRule="exact"/>
        <w:ind w:firstLine="539" w:firstLineChars="257"/>
        <w:rPr>
          <w:rFonts w:hint="eastAsia"/>
          <w:color w:val="auto"/>
          <w:sz w:val="21"/>
          <w:highlight w:val="none"/>
        </w:rPr>
      </w:pPr>
    </w:p>
    <w:p>
      <w:pPr>
        <w:pStyle w:val="15"/>
        <w:wordWrap w:val="0"/>
        <w:spacing w:line="460" w:lineRule="exact"/>
        <w:ind w:firstLine="539" w:firstLineChars="257"/>
        <w:jc w:val="right"/>
        <w:rPr>
          <w:rFonts w:hint="eastAsia"/>
          <w:color w:val="auto"/>
          <w:sz w:val="21"/>
          <w:highlight w:val="none"/>
        </w:rPr>
      </w:pPr>
      <w:r>
        <w:rPr>
          <w:rFonts w:hint="eastAsia"/>
          <w:color w:val="auto"/>
          <w:sz w:val="21"/>
          <w:highlight w:val="none"/>
        </w:rPr>
        <w:t>供应商：（盖单位公章）</w:t>
      </w:r>
      <w:r>
        <w:rPr>
          <w:rFonts w:hint="eastAsia"/>
          <w:color w:val="auto"/>
          <w:sz w:val="21"/>
          <w:highlight w:val="none"/>
          <w:u w:val="single"/>
        </w:rPr>
        <w:t xml:space="preserve">                     </w:t>
      </w:r>
    </w:p>
    <w:p>
      <w:pPr>
        <w:pStyle w:val="15"/>
        <w:spacing w:line="460" w:lineRule="exact"/>
        <w:ind w:firstLine="539" w:firstLineChars="257"/>
        <w:rPr>
          <w:rFonts w:hint="eastAsia"/>
          <w:color w:val="auto"/>
          <w:sz w:val="21"/>
          <w:highlight w:val="none"/>
        </w:rPr>
      </w:pPr>
    </w:p>
    <w:p>
      <w:pPr>
        <w:pStyle w:val="15"/>
        <w:spacing w:line="460" w:lineRule="exact"/>
        <w:ind w:firstLine="525" w:firstLineChars="250"/>
        <w:jc w:val="right"/>
        <w:rPr>
          <w:rFonts w:hint="eastAsia"/>
          <w:color w:val="auto"/>
          <w:sz w:val="21"/>
          <w:highlight w:val="none"/>
        </w:rPr>
      </w:pPr>
      <w:r>
        <w:rPr>
          <w:rFonts w:hint="eastAsia"/>
          <w:color w:val="auto"/>
          <w:sz w:val="21"/>
          <w:highlight w:val="none"/>
        </w:rPr>
        <w:t>日期：   年    月    日</w:t>
      </w:r>
    </w:p>
    <w:p>
      <w:pPr>
        <w:rPr>
          <w:rFonts w:hint="eastAsia" w:hAnsi="宋体" w:cs="宋体"/>
          <w:b/>
        </w:rPr>
      </w:pPr>
    </w:p>
    <w:p>
      <w:pPr>
        <w:rPr>
          <w:rFonts w:hint="eastAsia" w:hAnsi="宋体" w:cs="宋体"/>
          <w:b/>
        </w:rPr>
      </w:pPr>
    </w:p>
    <w:p>
      <w:pPr>
        <w:rPr>
          <w:rFonts w:hint="eastAsia" w:hAnsi="宋体" w:cs="宋体"/>
          <w:b/>
        </w:rPr>
      </w:pPr>
    </w:p>
    <w:p>
      <w:pPr>
        <w:rPr>
          <w:rFonts w:hint="eastAsia" w:hAnsi="宋体" w:cs="宋体"/>
          <w:b/>
        </w:rPr>
      </w:pPr>
    </w:p>
    <w:p>
      <w:pPr>
        <w:rPr>
          <w:rFonts w:hint="eastAsia" w:hAnsi="宋体" w:cs="宋体"/>
          <w:b/>
        </w:rPr>
      </w:pPr>
    </w:p>
    <w:p>
      <w:pPr>
        <w:rPr>
          <w:rFonts w:hint="eastAsia" w:hAnsi="宋体" w:cs="宋体"/>
          <w:b/>
        </w:rPr>
      </w:pPr>
    </w:p>
    <w:p>
      <w:pPr>
        <w:rPr>
          <w:rFonts w:hint="eastAsia" w:hAnsi="宋体" w:cs="宋体"/>
          <w:b/>
        </w:rPr>
      </w:pPr>
    </w:p>
    <w:p>
      <w:pPr>
        <w:rPr>
          <w:rFonts w:hint="eastAsia" w:hAnsi="宋体" w:cs="宋体"/>
          <w:b/>
        </w:rPr>
      </w:pPr>
    </w:p>
    <w:p>
      <w:pPr>
        <w:rPr>
          <w:rFonts w:hint="eastAsia" w:hAnsi="宋体" w:cs="宋体"/>
          <w:b/>
        </w:rPr>
      </w:pPr>
    </w:p>
    <w:p>
      <w:pPr>
        <w:rPr>
          <w:rFonts w:hint="eastAsia" w:hAnsi="宋体" w:cs="宋体"/>
          <w:b/>
        </w:rPr>
      </w:pPr>
    </w:p>
    <w:p>
      <w:pPr>
        <w:rPr>
          <w:rFonts w:hint="eastAsia" w:hAnsi="宋体" w:cs="宋体"/>
          <w:b/>
        </w:rPr>
      </w:pPr>
    </w:p>
    <w:p>
      <w:pPr>
        <w:pStyle w:val="15"/>
        <w:spacing w:line="360" w:lineRule="auto"/>
        <w:rPr>
          <w:rFonts w:hint="eastAsia" w:hAnsi="宋体" w:cs="宋体"/>
          <w:b/>
        </w:rPr>
      </w:pPr>
      <w:r>
        <w:rPr>
          <w:rFonts w:hint="eastAsia" w:hAnsi="宋体" w:cs="宋体"/>
          <w:b/>
        </w:rPr>
        <w:t>格式</w:t>
      </w:r>
      <w:r>
        <w:rPr>
          <w:rFonts w:hint="eastAsia" w:hAnsi="宋体" w:cs="宋体"/>
          <w:b/>
          <w:lang w:val="en-US" w:eastAsia="zh-CN"/>
        </w:rPr>
        <w:t>7</w:t>
      </w:r>
      <w:r>
        <w:rPr>
          <w:rFonts w:hint="eastAsia" w:hAnsi="宋体" w:cs="宋体"/>
          <w:b/>
        </w:rPr>
        <w:t>：</w:t>
      </w:r>
    </w:p>
    <w:p>
      <w:pPr>
        <w:rPr>
          <w:rFonts w:hint="eastAsia" w:hAnsi="宋体" w:cs="宋体"/>
          <w:b/>
        </w:rPr>
      </w:pPr>
    </w:p>
    <w:p>
      <w:pPr>
        <w:pStyle w:val="15"/>
        <w:spacing w:line="360" w:lineRule="auto"/>
        <w:jc w:val="center"/>
        <w:rPr>
          <w:rFonts w:hAnsi="宋体" w:cs="宋体"/>
          <w:b/>
          <w:bCs/>
          <w:sz w:val="30"/>
          <w:szCs w:val="30"/>
        </w:rPr>
      </w:pPr>
      <w:r>
        <w:rPr>
          <w:rFonts w:hint="eastAsia" w:hAnsi="宋体" w:cs="宋体"/>
          <w:b/>
          <w:bCs/>
          <w:sz w:val="30"/>
          <w:szCs w:val="30"/>
        </w:rPr>
        <w:t>法定代表人授权委托书（格式）</w:t>
      </w:r>
    </w:p>
    <w:p>
      <w:pPr>
        <w:pStyle w:val="15"/>
        <w:spacing w:line="360" w:lineRule="auto"/>
        <w:ind w:firstLine="420" w:firstLineChars="200"/>
        <w:rPr>
          <w:rFonts w:hAnsi="宋体" w:cs="宋体"/>
          <w:u w:val="single"/>
        </w:rPr>
      </w:pPr>
    </w:p>
    <w:p>
      <w:pPr>
        <w:pStyle w:val="15"/>
        <w:spacing w:line="480" w:lineRule="auto"/>
        <w:rPr>
          <w:rFonts w:hAnsi="宋体" w:cs="宋体"/>
          <w:szCs w:val="21"/>
        </w:rPr>
      </w:pPr>
      <w:r>
        <w:rPr>
          <w:rFonts w:hint="eastAsia" w:hAnsi="宋体" w:cs="宋体"/>
          <w:szCs w:val="21"/>
        </w:rPr>
        <w:t>致：</w:t>
      </w:r>
      <w:r>
        <w:rPr>
          <w:rFonts w:hint="eastAsia" w:hAnsi="宋体" w:cs="宋体"/>
          <w:szCs w:val="21"/>
          <w:u w:val="single"/>
        </w:rPr>
        <w:t xml:space="preserve">                      </w:t>
      </w:r>
      <w:r>
        <w:rPr>
          <w:rFonts w:hint="eastAsia" w:hAnsi="宋体" w:cs="宋体"/>
          <w:szCs w:val="21"/>
        </w:rPr>
        <w:t>（采购代理机构名称）</w:t>
      </w:r>
    </w:p>
    <w:p>
      <w:pPr>
        <w:pStyle w:val="15"/>
        <w:spacing w:line="480" w:lineRule="auto"/>
        <w:ind w:firstLine="420" w:firstLineChars="200"/>
        <w:rPr>
          <w:rFonts w:hAnsi="宋体" w:cs="宋体"/>
          <w:szCs w:val="21"/>
        </w:rPr>
      </w:pPr>
    </w:p>
    <w:p>
      <w:pPr>
        <w:pStyle w:val="15"/>
        <w:spacing w:line="480" w:lineRule="auto"/>
        <w:ind w:firstLine="420" w:firstLineChars="200"/>
        <w:rPr>
          <w:rFonts w:hAnsi="宋体" w:cs="宋体"/>
          <w:szCs w:val="21"/>
        </w:rPr>
      </w:pPr>
      <w:r>
        <w:rPr>
          <w:rFonts w:hint="eastAsia" w:hAnsi="宋体" w:cs="宋体"/>
          <w:szCs w:val="21"/>
        </w:rPr>
        <w:t>本人</w:t>
      </w:r>
      <w:r>
        <w:rPr>
          <w:rFonts w:hint="eastAsia" w:hAnsi="宋体" w:cs="宋体"/>
          <w:szCs w:val="21"/>
          <w:u w:val="single"/>
        </w:rPr>
        <w:t xml:space="preserve">        </w:t>
      </w:r>
      <w:r>
        <w:rPr>
          <w:rFonts w:hint="eastAsia" w:hAnsi="宋体" w:cs="宋体"/>
          <w:szCs w:val="21"/>
        </w:rPr>
        <w:t>（姓名）系</w:t>
      </w:r>
      <w:r>
        <w:rPr>
          <w:rFonts w:hint="eastAsia" w:hAnsi="宋体" w:cs="宋体"/>
          <w:szCs w:val="21"/>
          <w:u w:val="single"/>
        </w:rPr>
        <w:t xml:space="preserve">                 </w:t>
      </w:r>
      <w:r>
        <w:rPr>
          <w:rFonts w:hint="eastAsia" w:hAnsi="宋体" w:cs="宋体"/>
          <w:szCs w:val="21"/>
        </w:rPr>
        <w:t>（供应商名称）的法定代表人，现授权</w:t>
      </w:r>
      <w:r>
        <w:rPr>
          <w:rFonts w:hint="eastAsia" w:hAnsi="宋体" w:cs="宋体"/>
          <w:szCs w:val="21"/>
          <w:u w:val="single"/>
        </w:rPr>
        <w:t xml:space="preserve">        </w:t>
      </w:r>
      <w:r>
        <w:rPr>
          <w:rFonts w:hint="eastAsia" w:hAnsi="宋体" w:cs="宋体"/>
          <w:szCs w:val="21"/>
        </w:rPr>
        <w:t>（姓名和职务）为我方代理人。代理人根据授权，以我方名义签署、澄清、说明、补正、递交、撤回、修改贵方组织的</w:t>
      </w:r>
      <w:r>
        <w:rPr>
          <w:rFonts w:hint="eastAsia" w:hAnsi="宋体" w:cs="宋体"/>
          <w:szCs w:val="21"/>
          <w:u w:val="single"/>
        </w:rPr>
        <w:t xml:space="preserve">                </w:t>
      </w:r>
      <w:r>
        <w:rPr>
          <w:rFonts w:hint="eastAsia" w:hAnsi="宋体" w:cs="宋体"/>
          <w:szCs w:val="21"/>
        </w:rPr>
        <w:t>项目（项目编号：</w:t>
      </w:r>
      <w:r>
        <w:rPr>
          <w:rFonts w:hint="eastAsia" w:hAnsi="宋体" w:cs="宋体"/>
          <w:szCs w:val="21"/>
          <w:u w:val="single"/>
        </w:rPr>
        <w:t xml:space="preserve">             </w:t>
      </w:r>
      <w:r>
        <w:rPr>
          <w:rFonts w:hint="eastAsia" w:hAnsi="宋体" w:cs="宋体"/>
          <w:szCs w:val="21"/>
        </w:rPr>
        <w:t>）的响应文件、签订合同和处理一切有关事宜，其法律后果由我方承担。</w:t>
      </w:r>
    </w:p>
    <w:p>
      <w:pPr>
        <w:pStyle w:val="15"/>
        <w:spacing w:line="480" w:lineRule="auto"/>
        <w:ind w:firstLine="420" w:firstLineChars="200"/>
        <w:rPr>
          <w:rFonts w:hAnsi="宋体" w:cs="宋体"/>
          <w:szCs w:val="21"/>
        </w:rPr>
      </w:pPr>
      <w:r>
        <w:rPr>
          <w:rFonts w:hint="eastAsia" w:hAnsi="宋体" w:cs="宋体"/>
          <w:szCs w:val="21"/>
        </w:rPr>
        <w:t>本授权书于</w:t>
      </w:r>
      <w:r>
        <w:rPr>
          <w:rFonts w:hint="eastAsia" w:hAnsi="宋体" w:cs="宋体"/>
          <w:spacing w:val="10"/>
          <w:szCs w:val="21"/>
          <w:u w:val="single"/>
        </w:rPr>
        <w:t xml:space="preserve">    </w:t>
      </w:r>
      <w:r>
        <w:rPr>
          <w:rFonts w:hint="eastAsia" w:hAnsi="宋体" w:cs="宋体"/>
          <w:szCs w:val="21"/>
        </w:rPr>
        <w:t>年</w:t>
      </w:r>
      <w:r>
        <w:rPr>
          <w:rFonts w:hint="eastAsia" w:hAnsi="宋体" w:cs="宋体"/>
          <w:spacing w:val="10"/>
          <w:szCs w:val="21"/>
          <w:u w:val="single"/>
        </w:rPr>
        <w:t xml:space="preserve">    </w:t>
      </w:r>
      <w:r>
        <w:rPr>
          <w:rFonts w:hint="eastAsia" w:hAnsi="宋体" w:cs="宋体"/>
          <w:szCs w:val="21"/>
        </w:rPr>
        <w:t>月</w:t>
      </w:r>
      <w:r>
        <w:rPr>
          <w:rFonts w:hint="eastAsia" w:hAnsi="宋体" w:cs="宋体"/>
          <w:spacing w:val="10"/>
          <w:szCs w:val="21"/>
          <w:u w:val="single"/>
        </w:rPr>
        <w:t xml:space="preserve">    </w:t>
      </w:r>
      <w:r>
        <w:rPr>
          <w:rFonts w:hint="eastAsia" w:hAnsi="宋体" w:cs="宋体"/>
          <w:szCs w:val="21"/>
        </w:rPr>
        <w:t>日签字生效，委托期限：</w:t>
      </w:r>
      <w:r>
        <w:rPr>
          <w:rFonts w:hint="eastAsia" w:hAnsi="宋体" w:cs="宋体"/>
          <w:spacing w:val="10"/>
          <w:szCs w:val="21"/>
          <w:u w:val="single"/>
        </w:rPr>
        <w:t xml:space="preserve">          </w:t>
      </w:r>
      <w:r>
        <w:rPr>
          <w:rFonts w:hint="eastAsia" w:hAnsi="宋体" w:cs="宋体"/>
          <w:szCs w:val="21"/>
        </w:rPr>
        <w:t>。</w:t>
      </w:r>
    </w:p>
    <w:p>
      <w:pPr>
        <w:pStyle w:val="15"/>
        <w:spacing w:line="480" w:lineRule="auto"/>
        <w:ind w:firstLine="420" w:firstLineChars="200"/>
        <w:rPr>
          <w:rFonts w:hAnsi="宋体" w:cs="宋体"/>
          <w:szCs w:val="21"/>
        </w:rPr>
      </w:pPr>
      <w:r>
        <w:rPr>
          <w:rFonts w:hint="eastAsia" w:hAnsi="宋体" w:cs="宋体"/>
          <w:szCs w:val="21"/>
        </w:rPr>
        <w:t>代理人无转委托权。</w:t>
      </w:r>
    </w:p>
    <w:p>
      <w:pPr>
        <w:pStyle w:val="15"/>
        <w:spacing w:line="460" w:lineRule="exact"/>
        <w:ind w:firstLine="542" w:firstLineChars="257"/>
        <w:rPr>
          <w:rFonts w:hint="eastAsia"/>
          <w:b/>
          <w:bCs/>
          <w:color w:val="auto"/>
          <w:sz w:val="21"/>
          <w:highlight w:val="none"/>
        </w:rPr>
      </w:pPr>
      <w:r>
        <w:rPr>
          <w:rFonts w:hint="eastAsia" w:hAnsi="宋体"/>
          <w:b/>
          <w:bCs/>
          <w:color w:val="auto"/>
          <w:sz w:val="21"/>
          <w:highlight w:val="none"/>
        </w:rPr>
        <w:t>附：</w:t>
      </w:r>
      <w:r>
        <w:rPr>
          <w:rFonts w:hint="eastAsia" w:hAnsi="宋体"/>
          <w:b/>
          <w:bCs/>
          <w:color w:val="auto"/>
          <w:sz w:val="21"/>
          <w:highlight w:val="none"/>
          <w:lang w:eastAsia="zh-CN"/>
        </w:rPr>
        <w:t>委托代理人</w:t>
      </w:r>
      <w:r>
        <w:rPr>
          <w:rFonts w:hint="eastAsia" w:hAnsi="宋体"/>
          <w:b/>
          <w:bCs/>
          <w:color w:val="auto"/>
          <w:sz w:val="21"/>
          <w:highlight w:val="none"/>
        </w:rPr>
        <w:t>身份证正反面复印件</w:t>
      </w:r>
    </w:p>
    <w:p>
      <w:pPr>
        <w:pStyle w:val="15"/>
        <w:spacing w:line="480" w:lineRule="auto"/>
        <w:ind w:firstLine="420" w:firstLineChars="200"/>
        <w:rPr>
          <w:rFonts w:hAnsi="宋体" w:cs="宋体"/>
          <w:szCs w:val="21"/>
        </w:rPr>
      </w:pPr>
    </w:p>
    <w:p>
      <w:pPr>
        <w:pStyle w:val="15"/>
        <w:spacing w:line="480" w:lineRule="auto"/>
        <w:ind w:firstLine="420" w:firstLineChars="200"/>
        <w:rPr>
          <w:rFonts w:hAnsi="宋体" w:cs="宋体"/>
          <w:szCs w:val="21"/>
          <w:u w:val="single"/>
        </w:rPr>
      </w:pPr>
      <w:r>
        <w:rPr>
          <w:rFonts w:hint="eastAsia" w:hAnsi="宋体" w:cs="宋体"/>
          <w:szCs w:val="21"/>
        </w:rPr>
        <w:t>磋商供应商（盖单位公章）：</w:t>
      </w:r>
      <w:r>
        <w:rPr>
          <w:rFonts w:hint="eastAsia" w:hAnsi="宋体" w:cs="宋体"/>
          <w:szCs w:val="21"/>
          <w:u w:val="single"/>
        </w:rPr>
        <w:t xml:space="preserve">                                </w:t>
      </w:r>
    </w:p>
    <w:p>
      <w:pPr>
        <w:pStyle w:val="15"/>
        <w:snapToGrid w:val="0"/>
        <w:spacing w:line="480" w:lineRule="auto"/>
        <w:ind w:firstLine="420" w:firstLineChars="200"/>
        <w:rPr>
          <w:rFonts w:hAnsi="宋体" w:cs="宋体"/>
          <w:szCs w:val="21"/>
        </w:rPr>
      </w:pPr>
      <w:r>
        <w:rPr>
          <w:rFonts w:hint="eastAsia" w:hAnsi="宋体" w:cs="宋体"/>
          <w:szCs w:val="21"/>
        </w:rPr>
        <w:t>社会统一信用代码:_________________________________________</w:t>
      </w:r>
    </w:p>
    <w:p>
      <w:pPr>
        <w:pStyle w:val="15"/>
        <w:spacing w:line="480" w:lineRule="auto"/>
        <w:ind w:firstLine="420" w:firstLineChars="200"/>
        <w:rPr>
          <w:rFonts w:hAnsi="宋体" w:cs="宋体"/>
          <w:szCs w:val="21"/>
          <w:u w:val="single"/>
        </w:rPr>
      </w:pPr>
      <w:r>
        <w:rPr>
          <w:rFonts w:hint="eastAsia" w:hAnsi="宋体" w:cs="宋体"/>
          <w:szCs w:val="21"/>
        </w:rPr>
        <w:t>法定代表人（签字或盖章）：</w:t>
      </w:r>
      <w:r>
        <w:rPr>
          <w:rFonts w:hint="eastAsia" w:hAnsi="宋体" w:cs="宋体"/>
          <w:szCs w:val="21"/>
          <w:u w:val="single"/>
        </w:rPr>
        <w:t xml:space="preserve">                                </w:t>
      </w:r>
    </w:p>
    <w:p>
      <w:pPr>
        <w:pStyle w:val="15"/>
        <w:spacing w:line="480" w:lineRule="auto"/>
        <w:ind w:firstLine="420" w:firstLineChars="200"/>
        <w:rPr>
          <w:rFonts w:hAnsi="宋体" w:cs="宋体"/>
          <w:szCs w:val="21"/>
          <w:u w:val="single"/>
        </w:rPr>
      </w:pPr>
      <w:r>
        <w:rPr>
          <w:rFonts w:hint="eastAsia" w:hAnsi="宋体" w:cs="宋体"/>
          <w:szCs w:val="21"/>
        </w:rPr>
        <w:t>法定代表人身份证号码：</w:t>
      </w:r>
      <w:r>
        <w:rPr>
          <w:rFonts w:hint="eastAsia" w:hAnsi="宋体" w:cs="宋体"/>
          <w:szCs w:val="21"/>
          <w:u w:val="single"/>
        </w:rPr>
        <w:t xml:space="preserve">                                   </w:t>
      </w:r>
    </w:p>
    <w:p>
      <w:pPr>
        <w:pStyle w:val="15"/>
        <w:spacing w:line="480" w:lineRule="auto"/>
        <w:ind w:firstLine="420" w:firstLineChars="200"/>
        <w:rPr>
          <w:rFonts w:hAnsi="宋体" w:cs="宋体"/>
          <w:szCs w:val="21"/>
        </w:rPr>
      </w:pPr>
      <w:r>
        <w:rPr>
          <w:rFonts w:hint="eastAsia" w:hAnsi="宋体" w:cs="宋体"/>
          <w:szCs w:val="21"/>
        </w:rPr>
        <w:t>委托代理人（签字或盖章）：</w:t>
      </w:r>
      <w:r>
        <w:rPr>
          <w:rFonts w:hint="eastAsia" w:hAnsi="宋体" w:cs="宋体"/>
          <w:szCs w:val="21"/>
          <w:u w:val="single"/>
        </w:rPr>
        <w:t xml:space="preserve">                                </w:t>
      </w:r>
    </w:p>
    <w:p>
      <w:pPr>
        <w:pStyle w:val="15"/>
        <w:spacing w:line="480" w:lineRule="auto"/>
        <w:ind w:firstLine="420" w:firstLineChars="200"/>
        <w:rPr>
          <w:rFonts w:hAnsi="宋体" w:cs="宋体"/>
          <w:szCs w:val="21"/>
          <w:u w:val="single"/>
        </w:rPr>
      </w:pPr>
      <w:r>
        <w:rPr>
          <w:rFonts w:hint="eastAsia" w:hAnsi="宋体" w:cs="宋体"/>
          <w:szCs w:val="21"/>
        </w:rPr>
        <w:t>委托代理人身份证号码：</w:t>
      </w:r>
      <w:r>
        <w:rPr>
          <w:rFonts w:hint="eastAsia" w:hAnsi="宋体" w:cs="宋体"/>
          <w:szCs w:val="21"/>
          <w:u w:val="single"/>
        </w:rPr>
        <w:t xml:space="preserve">                                   </w:t>
      </w:r>
    </w:p>
    <w:p>
      <w:pPr>
        <w:widowControl/>
        <w:spacing w:line="360" w:lineRule="auto"/>
        <w:jc w:val="left"/>
        <w:rPr>
          <w:rFonts w:ascii="宋体" w:hAnsi="宋体" w:cs="宋体"/>
          <w:b/>
          <w:szCs w:val="20"/>
        </w:rPr>
      </w:pPr>
      <w:r>
        <w:rPr>
          <w:rFonts w:hint="eastAsia" w:ascii="宋体" w:hAnsi="宋体" w:cs="宋体"/>
          <w:b/>
        </w:rPr>
        <w:br w:type="page"/>
      </w:r>
    </w:p>
    <w:p>
      <w:pPr>
        <w:pStyle w:val="15"/>
        <w:spacing w:line="360" w:lineRule="auto"/>
        <w:rPr>
          <w:rFonts w:hAnsi="宋体" w:cs="宋体"/>
          <w:b/>
        </w:rPr>
      </w:pPr>
      <w:r>
        <w:rPr>
          <w:rFonts w:hint="eastAsia" w:hAnsi="宋体" w:cs="宋体"/>
          <w:b/>
        </w:rPr>
        <w:t>格式</w:t>
      </w:r>
      <w:r>
        <w:rPr>
          <w:rFonts w:hint="eastAsia" w:hAnsi="宋体" w:cs="宋体"/>
          <w:b/>
          <w:lang w:val="en-US" w:eastAsia="zh-CN"/>
        </w:rPr>
        <w:t>8</w:t>
      </w:r>
      <w:r>
        <w:rPr>
          <w:rFonts w:hint="eastAsia" w:hAnsi="宋体" w:cs="宋体"/>
          <w:b/>
        </w:rPr>
        <w:t>：</w:t>
      </w:r>
    </w:p>
    <w:p>
      <w:pPr>
        <w:pStyle w:val="15"/>
        <w:spacing w:line="360" w:lineRule="auto"/>
        <w:jc w:val="center"/>
        <w:rPr>
          <w:rFonts w:hAnsi="宋体" w:cs="宋体"/>
          <w:b/>
          <w:sz w:val="30"/>
          <w:szCs w:val="30"/>
        </w:rPr>
      </w:pPr>
      <w:r>
        <w:rPr>
          <w:rFonts w:hint="eastAsia" w:hAnsi="宋体" w:cs="宋体"/>
          <w:b/>
          <w:sz w:val="30"/>
          <w:szCs w:val="30"/>
        </w:rPr>
        <w:t>信用声明函（格式）</w:t>
      </w:r>
    </w:p>
    <w:p>
      <w:pPr>
        <w:pStyle w:val="15"/>
        <w:spacing w:line="360" w:lineRule="auto"/>
        <w:jc w:val="center"/>
        <w:rPr>
          <w:rFonts w:hAnsi="宋体" w:cs="宋体"/>
          <w:b/>
          <w:sz w:val="24"/>
          <w:szCs w:val="24"/>
        </w:rPr>
      </w:pPr>
    </w:p>
    <w:p>
      <w:pPr>
        <w:rPr>
          <w:rFonts w:ascii="宋体" w:hAnsi="宋体" w:cs="宋体"/>
        </w:rPr>
      </w:pPr>
    </w:p>
    <w:p>
      <w:pPr>
        <w:tabs>
          <w:tab w:val="left" w:pos="7200"/>
        </w:tabs>
        <w:spacing w:line="480" w:lineRule="auto"/>
        <w:rPr>
          <w:rFonts w:ascii="宋体" w:hAnsi="宋体" w:cs="宋体"/>
          <w:szCs w:val="21"/>
        </w:rPr>
      </w:pPr>
      <w:r>
        <w:rPr>
          <w:rFonts w:hint="eastAsia" w:ascii="宋体" w:hAnsi="宋体" w:cs="宋体"/>
          <w:szCs w:val="21"/>
        </w:rPr>
        <w:t>致：</w:t>
      </w:r>
      <w:r>
        <w:rPr>
          <w:rFonts w:hint="eastAsia" w:ascii="宋体" w:hAnsi="宋体" w:cs="宋体"/>
          <w:szCs w:val="21"/>
          <w:u w:val="single"/>
        </w:rPr>
        <w:t xml:space="preserve">                      </w:t>
      </w:r>
      <w:r>
        <w:rPr>
          <w:rFonts w:hint="eastAsia" w:ascii="宋体" w:hAnsi="宋体" w:cs="宋体"/>
          <w:szCs w:val="21"/>
        </w:rPr>
        <w:t>（采购代理机构名称）</w:t>
      </w:r>
    </w:p>
    <w:p>
      <w:pPr>
        <w:tabs>
          <w:tab w:val="left" w:pos="7200"/>
        </w:tabs>
        <w:spacing w:line="480" w:lineRule="auto"/>
        <w:ind w:firstLine="525" w:firstLineChars="250"/>
        <w:rPr>
          <w:rFonts w:ascii="宋体" w:hAnsi="宋体" w:cs="宋体"/>
          <w:szCs w:val="21"/>
        </w:rPr>
      </w:pPr>
      <w:r>
        <w:rPr>
          <w:rFonts w:hint="eastAsia" w:ascii="宋体" w:hAnsi="宋体" w:cs="宋体"/>
          <w:szCs w:val="21"/>
          <w:u w:val="single"/>
        </w:rPr>
        <w:t xml:space="preserve">           </w:t>
      </w:r>
      <w:r>
        <w:rPr>
          <w:rFonts w:hint="eastAsia" w:ascii="宋体" w:hAnsi="宋体" w:cs="宋体"/>
          <w:szCs w:val="21"/>
        </w:rPr>
        <w:t>（供应商名称）系中华人民共和国合法企业， 经营地址</w:t>
      </w:r>
      <w:r>
        <w:rPr>
          <w:rFonts w:hint="eastAsia" w:ascii="宋体" w:hAnsi="宋体" w:cs="宋体"/>
          <w:szCs w:val="21"/>
          <w:u w:val="single"/>
        </w:rPr>
        <w:t xml:space="preserve">                 </w:t>
      </w:r>
      <w:r>
        <w:rPr>
          <w:rFonts w:hint="eastAsia" w:ascii="宋体" w:hAnsi="宋体" w:cs="宋体"/>
          <w:szCs w:val="21"/>
        </w:rPr>
        <w:t>。</w:t>
      </w:r>
    </w:p>
    <w:p>
      <w:pPr>
        <w:tabs>
          <w:tab w:val="left" w:pos="7200"/>
        </w:tabs>
        <w:spacing w:line="480" w:lineRule="auto"/>
        <w:ind w:left="420" w:leftChars="200" w:firstLine="525" w:firstLineChars="250"/>
        <w:rPr>
          <w:rFonts w:ascii="宋体" w:hAnsi="宋体" w:cs="宋体"/>
          <w:szCs w:val="21"/>
        </w:rPr>
      </w:pPr>
      <w:r>
        <w:rPr>
          <w:rFonts w:hint="eastAsia" w:ascii="宋体" w:hAnsi="宋体" w:cs="宋体"/>
          <w:szCs w:val="21"/>
        </w:rPr>
        <w:t xml:space="preserve">我 </w:t>
      </w:r>
      <w:r>
        <w:rPr>
          <w:rFonts w:hint="eastAsia" w:ascii="宋体" w:hAnsi="宋体" w:cs="宋体"/>
          <w:szCs w:val="21"/>
          <w:u w:val="single"/>
        </w:rPr>
        <w:t xml:space="preserve">       </w:t>
      </w:r>
      <w:r>
        <w:rPr>
          <w:rFonts w:hint="eastAsia" w:ascii="宋体" w:hAnsi="宋体" w:cs="宋体"/>
          <w:szCs w:val="21"/>
        </w:rPr>
        <w:t>（姓名）系</w:t>
      </w:r>
      <w:r>
        <w:rPr>
          <w:rFonts w:hint="eastAsia" w:ascii="宋体" w:hAnsi="宋体" w:cs="宋体"/>
          <w:szCs w:val="21"/>
          <w:u w:val="single"/>
        </w:rPr>
        <w:t xml:space="preserve">           </w:t>
      </w:r>
      <w:r>
        <w:rPr>
          <w:rFonts w:hint="eastAsia" w:ascii="宋体" w:hAnsi="宋体" w:cs="宋体"/>
          <w:szCs w:val="21"/>
        </w:rPr>
        <w:t>（供应商名称）的法定代表人，我方愿意参加贵方组织的</w:t>
      </w:r>
      <w:r>
        <w:rPr>
          <w:rFonts w:hint="eastAsia" w:ascii="宋体" w:hAnsi="宋体" w:cs="宋体"/>
          <w:szCs w:val="21"/>
          <w:u w:val="single"/>
        </w:rPr>
        <w:t xml:space="preserve">         </w:t>
      </w:r>
      <w:r>
        <w:rPr>
          <w:rFonts w:hint="eastAsia" w:ascii="宋体" w:hAnsi="宋体" w:cs="宋体"/>
          <w:szCs w:val="21"/>
        </w:rPr>
        <w:t>项目的本次活动，为便于贵方公正、择优地确定成交人及采购服务成果和服务，我方就本次采购活动有关事项郑重声明如下：</w:t>
      </w:r>
    </w:p>
    <w:p>
      <w:pPr>
        <w:tabs>
          <w:tab w:val="left" w:pos="7200"/>
        </w:tabs>
        <w:spacing w:line="480" w:lineRule="auto"/>
        <w:ind w:firstLine="420" w:firstLineChars="200"/>
        <w:rPr>
          <w:rFonts w:ascii="宋体" w:hAnsi="宋体" w:cs="宋体"/>
          <w:szCs w:val="21"/>
          <w:u w:val="single"/>
        </w:rPr>
      </w:pPr>
      <w:r>
        <w:rPr>
          <w:rFonts w:hint="eastAsia" w:ascii="宋体" w:hAnsi="宋体" w:cs="宋体"/>
          <w:szCs w:val="21"/>
        </w:rPr>
        <w:t>1. 经查询，在“信用中国”和“中国政府采购网”网站我方未被列入失信被执行人、重大税收违法案件当事人名单、政府采购严重违法失信行为记录名单。</w:t>
      </w:r>
    </w:p>
    <w:p>
      <w:pPr>
        <w:tabs>
          <w:tab w:val="left" w:pos="7200"/>
        </w:tabs>
        <w:spacing w:line="480" w:lineRule="auto"/>
        <w:ind w:firstLine="420" w:firstLineChars="200"/>
        <w:rPr>
          <w:rFonts w:ascii="宋体" w:hAnsi="宋体" w:cs="宋体"/>
          <w:szCs w:val="21"/>
        </w:rPr>
      </w:pPr>
      <w:r>
        <w:rPr>
          <w:rFonts w:hint="eastAsia" w:ascii="宋体" w:hAnsi="宋体" w:cs="宋体"/>
          <w:szCs w:val="21"/>
        </w:rPr>
        <w:t>2. 以上事项如有虚假或隐瞒，我方愿意承担一切后果，并不再寻求任何旨在减轻或免除法律责任的辩解。</w:t>
      </w:r>
    </w:p>
    <w:p>
      <w:pPr>
        <w:tabs>
          <w:tab w:val="left" w:pos="7200"/>
        </w:tabs>
        <w:spacing w:line="360" w:lineRule="auto"/>
        <w:ind w:firstLine="955" w:firstLineChars="398"/>
        <w:rPr>
          <w:rFonts w:ascii="宋体" w:hAnsi="宋体" w:cs="宋体"/>
          <w:sz w:val="24"/>
        </w:rPr>
      </w:pPr>
    </w:p>
    <w:p>
      <w:pPr>
        <w:tabs>
          <w:tab w:val="left" w:pos="7200"/>
        </w:tabs>
        <w:spacing w:line="360" w:lineRule="auto"/>
        <w:ind w:firstLine="955" w:firstLineChars="398"/>
        <w:rPr>
          <w:rFonts w:ascii="宋体" w:hAnsi="宋体" w:cs="宋体"/>
          <w:sz w:val="24"/>
        </w:rPr>
      </w:pPr>
    </w:p>
    <w:p>
      <w:pPr>
        <w:spacing w:line="360" w:lineRule="auto"/>
        <w:ind w:firstLine="480" w:firstLineChars="200"/>
        <w:jc w:val="left"/>
        <w:rPr>
          <w:rFonts w:ascii="宋体" w:hAnsi="宋体" w:cs="宋体"/>
          <w:sz w:val="24"/>
        </w:rPr>
      </w:pPr>
      <w:r>
        <w:rPr>
          <w:rFonts w:hint="eastAsia" w:ascii="宋体" w:hAnsi="宋体" w:cs="宋体"/>
          <w:sz w:val="24"/>
        </w:rPr>
        <w:t xml:space="preserve"> </w:t>
      </w:r>
    </w:p>
    <w:p>
      <w:pPr>
        <w:spacing w:line="360" w:lineRule="auto"/>
        <w:ind w:firstLine="480" w:firstLineChars="200"/>
        <w:jc w:val="left"/>
        <w:rPr>
          <w:rFonts w:ascii="宋体" w:hAnsi="宋体" w:cs="宋体"/>
          <w:sz w:val="24"/>
        </w:rPr>
      </w:pPr>
    </w:p>
    <w:p>
      <w:pPr>
        <w:tabs>
          <w:tab w:val="left" w:pos="7200"/>
        </w:tabs>
        <w:spacing w:line="360" w:lineRule="auto"/>
        <w:ind w:firstLine="959" w:firstLineChars="398"/>
        <w:rPr>
          <w:rFonts w:ascii="宋体" w:hAnsi="宋体" w:cs="宋体"/>
          <w:szCs w:val="21"/>
          <w:u w:val="single"/>
        </w:rPr>
      </w:pPr>
      <w:r>
        <w:rPr>
          <w:rFonts w:hint="eastAsia" w:ascii="宋体" w:hAnsi="宋体" w:cs="宋体"/>
          <w:b/>
          <w:sz w:val="24"/>
        </w:rPr>
        <w:t xml:space="preserve">                              </w:t>
      </w:r>
      <w:r>
        <w:rPr>
          <w:rFonts w:hint="eastAsia" w:ascii="宋体" w:hAnsi="宋体" w:cs="宋体"/>
          <w:b/>
          <w:szCs w:val="21"/>
        </w:rPr>
        <w:t xml:space="preserve">  </w:t>
      </w:r>
      <w:r>
        <w:rPr>
          <w:rFonts w:hint="eastAsia" w:ascii="宋体" w:hAnsi="宋体" w:cs="宋体"/>
          <w:szCs w:val="21"/>
        </w:rPr>
        <w:t xml:space="preserve"> </w:t>
      </w:r>
    </w:p>
    <w:p>
      <w:pPr>
        <w:tabs>
          <w:tab w:val="left" w:pos="7200"/>
        </w:tabs>
        <w:spacing w:line="360" w:lineRule="auto"/>
        <w:ind w:firstLine="4084" w:firstLineChars="1945"/>
        <w:rPr>
          <w:rFonts w:hint="eastAsia" w:ascii="宋体" w:hAnsi="宋体" w:cs="宋体"/>
          <w:szCs w:val="21"/>
        </w:rPr>
      </w:pPr>
      <w:r>
        <w:rPr>
          <w:rFonts w:hint="eastAsia" w:ascii="宋体" w:hAnsi="宋体" w:cs="宋体"/>
          <w:szCs w:val="21"/>
        </w:rPr>
        <w:t xml:space="preserve">        磋商供应商（盖章）：</w:t>
      </w:r>
      <w:r>
        <w:rPr>
          <w:rFonts w:hint="eastAsia" w:ascii="宋体" w:hAnsi="宋体" w:cs="宋体"/>
          <w:szCs w:val="21"/>
          <w:u w:val="single"/>
        </w:rPr>
        <w:t xml:space="preserve">               </w:t>
      </w:r>
      <w:r>
        <w:rPr>
          <w:rFonts w:hint="eastAsia" w:ascii="宋体" w:hAnsi="宋体" w:cs="宋体"/>
          <w:szCs w:val="21"/>
        </w:rPr>
        <w:t xml:space="preserve">    </w:t>
      </w:r>
    </w:p>
    <w:p>
      <w:pPr>
        <w:tabs>
          <w:tab w:val="left" w:pos="7200"/>
        </w:tabs>
        <w:spacing w:line="360" w:lineRule="auto"/>
        <w:ind w:firstLine="4819" w:firstLineChars="2295"/>
        <w:rPr>
          <w:rFonts w:ascii="宋体" w:hAnsi="宋体" w:cs="宋体"/>
          <w:szCs w:val="21"/>
          <w:u w:val="single"/>
        </w:rPr>
      </w:pPr>
      <w:r>
        <w:rPr>
          <w:rFonts w:hint="eastAsia" w:ascii="宋体" w:hAnsi="宋体" w:cs="宋体"/>
          <w:szCs w:val="21"/>
        </w:rPr>
        <w:t xml:space="preserve"> 法定代表人或委托代理人签字：</w:t>
      </w:r>
      <w:r>
        <w:rPr>
          <w:rFonts w:hint="eastAsia" w:ascii="宋体" w:hAnsi="宋体" w:cs="宋体"/>
          <w:szCs w:val="21"/>
          <w:u w:val="single"/>
        </w:rPr>
        <w:t xml:space="preserve">             </w:t>
      </w:r>
    </w:p>
    <w:p>
      <w:pPr>
        <w:tabs>
          <w:tab w:val="left" w:pos="7200"/>
        </w:tabs>
        <w:spacing w:line="360" w:lineRule="auto"/>
        <w:ind w:firstLine="4084" w:firstLineChars="1945"/>
        <w:rPr>
          <w:rFonts w:ascii="宋体" w:hAnsi="宋体" w:cs="宋体"/>
          <w:sz w:val="21"/>
          <w:szCs w:val="21"/>
        </w:rPr>
      </w:pPr>
      <w:r>
        <w:rPr>
          <w:rFonts w:hint="eastAsia" w:ascii="宋体" w:hAnsi="宋体" w:cs="宋体"/>
          <w:szCs w:val="21"/>
        </w:rPr>
        <w:t xml:space="preserve">   </w:t>
      </w:r>
      <w:r>
        <w:rPr>
          <w:rFonts w:hint="eastAsia" w:ascii="宋体" w:hAnsi="宋体" w:cs="宋体"/>
          <w:sz w:val="21"/>
          <w:szCs w:val="21"/>
        </w:rPr>
        <w:t xml:space="preserve">                   年    月    日</w:t>
      </w:r>
    </w:p>
    <w:bookmarkEnd w:id="102"/>
    <w:p>
      <w:pPr>
        <w:rPr>
          <w:rFonts w:hint="eastAsia" w:ascii="宋体" w:hAnsi="宋体" w:cs="宋体"/>
          <w:b/>
          <w:szCs w:val="21"/>
        </w:rPr>
      </w:pPr>
      <w:r>
        <w:rPr>
          <w:rFonts w:hint="eastAsia" w:ascii="宋体" w:hAnsi="宋体" w:cs="宋体"/>
          <w:b/>
          <w:szCs w:val="21"/>
        </w:rPr>
        <w:br w:type="page"/>
      </w:r>
    </w:p>
    <w:p>
      <w:pPr>
        <w:pStyle w:val="15"/>
        <w:spacing w:line="360" w:lineRule="auto"/>
        <w:rPr>
          <w:rFonts w:hAnsi="宋体" w:cs="宋体"/>
          <w:b/>
        </w:rPr>
      </w:pPr>
      <w:r>
        <w:rPr>
          <w:rFonts w:hint="eastAsia" w:hAnsi="宋体" w:cs="宋体"/>
          <w:b/>
        </w:rPr>
        <w:t>格式</w:t>
      </w:r>
      <w:r>
        <w:rPr>
          <w:rFonts w:hint="eastAsia" w:hAnsi="宋体" w:cs="宋体"/>
          <w:b/>
          <w:lang w:val="en-US" w:eastAsia="zh-CN"/>
        </w:rPr>
        <w:t>9</w:t>
      </w:r>
      <w:r>
        <w:rPr>
          <w:rFonts w:hint="eastAsia" w:hAnsi="宋体" w:cs="宋体"/>
          <w:b/>
        </w:rPr>
        <w:t>：</w:t>
      </w:r>
    </w:p>
    <w:p>
      <w:pPr>
        <w:rPr>
          <w:rFonts w:hint="eastAsia" w:ascii="宋体" w:hAnsi="宋体" w:cs="宋体"/>
          <w:b/>
          <w:szCs w:val="21"/>
        </w:rPr>
      </w:pPr>
    </w:p>
    <w:p>
      <w:pPr>
        <w:spacing w:line="460" w:lineRule="exact"/>
        <w:ind w:left="540" w:right="-178" w:rightChars="-85"/>
        <w:jc w:val="center"/>
        <w:rPr>
          <w:rFonts w:hint="eastAsia" w:ascii="宋体" w:hAnsi="宋体" w:eastAsia="宋体" w:cs="宋体;SimSun"/>
          <w:b/>
          <w:bCs/>
          <w:color w:val="auto"/>
          <w:kern w:val="0"/>
          <w:sz w:val="32"/>
          <w:szCs w:val="32"/>
          <w:highlight w:val="none"/>
          <w:lang w:val="en-US" w:eastAsia="zh-CN" w:bidi="ar-SA"/>
        </w:rPr>
      </w:pPr>
      <w:r>
        <w:rPr>
          <w:rFonts w:hint="eastAsia" w:ascii="宋体" w:hAnsi="宋体" w:eastAsia="宋体" w:cs="宋体;SimSun"/>
          <w:b/>
          <w:bCs/>
          <w:color w:val="auto"/>
          <w:kern w:val="0"/>
          <w:sz w:val="32"/>
          <w:szCs w:val="32"/>
          <w:highlight w:val="none"/>
          <w:lang w:val="en-US" w:eastAsia="zh-CN" w:bidi="ar-SA"/>
        </w:rPr>
        <w:t>本项目拟投入人员表（格式）</w:t>
      </w:r>
    </w:p>
    <w:p>
      <w:pPr>
        <w:pStyle w:val="19"/>
        <w:rPr>
          <w:rFonts w:hint="eastAsia"/>
          <w:lang w:val="en-US" w:eastAsia="zh-CN"/>
        </w:rPr>
      </w:pPr>
    </w:p>
    <w:p>
      <w:pPr>
        <w:spacing w:line="400" w:lineRule="exact"/>
        <w:ind w:firstLine="422" w:firstLineChars="200"/>
        <w:rPr>
          <w:rFonts w:hint="eastAsia" w:ascii="宋体" w:hAnsi="宋体" w:eastAsia="宋体"/>
          <w:b/>
          <w:color w:val="auto"/>
          <w:szCs w:val="21"/>
          <w:highlight w:val="none"/>
          <w:u w:val="single"/>
          <w:lang w:val="en-US" w:eastAsia="zh-CN"/>
        </w:rPr>
      </w:pPr>
      <w:r>
        <w:rPr>
          <w:rFonts w:hint="eastAsia" w:ascii="宋体" w:hAnsi="宋体"/>
          <w:b/>
          <w:color w:val="auto"/>
          <w:szCs w:val="21"/>
          <w:highlight w:val="none"/>
        </w:rPr>
        <w:t>项目编号：</w:t>
      </w:r>
      <w:r>
        <w:rPr>
          <w:rFonts w:hint="eastAsia" w:ascii="宋体" w:hAnsi="宋体"/>
          <w:b/>
          <w:color w:val="auto"/>
          <w:szCs w:val="21"/>
          <w:highlight w:val="none"/>
          <w:u w:val="single"/>
        </w:rPr>
        <w:t xml:space="preserve">                </w:t>
      </w:r>
      <w:r>
        <w:rPr>
          <w:rFonts w:hint="eastAsia" w:ascii="宋体" w:hAnsi="宋体"/>
          <w:b/>
          <w:color w:val="auto"/>
          <w:szCs w:val="21"/>
          <w:highlight w:val="none"/>
          <w:u w:val="single"/>
          <w:lang w:val="en-US" w:eastAsia="zh-CN"/>
        </w:rPr>
        <w:t xml:space="preserve"> </w:t>
      </w:r>
    </w:p>
    <w:p>
      <w:pPr>
        <w:spacing w:line="400" w:lineRule="exact"/>
        <w:ind w:firstLine="422" w:firstLineChars="200"/>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项目名称：</w:t>
      </w:r>
      <w:r>
        <w:rPr>
          <w:rFonts w:hint="eastAsia" w:ascii="宋体" w:hAnsi="宋体" w:eastAsia="宋体" w:cs="Times New Roman"/>
          <w:b/>
          <w:color w:val="auto"/>
          <w:szCs w:val="21"/>
          <w:highlight w:val="none"/>
          <w:u w:val="single"/>
          <w:lang w:val="en-US" w:eastAsia="zh-CN"/>
        </w:rPr>
        <w:t xml:space="preserve">                 </w:t>
      </w:r>
      <w:r>
        <w:rPr>
          <w:rFonts w:hint="eastAsia" w:ascii="宋体" w:hAnsi="宋体" w:eastAsia="宋体" w:cs="Times New Roman"/>
          <w:b/>
          <w:color w:val="auto"/>
          <w:szCs w:val="21"/>
          <w:highlight w:val="none"/>
        </w:rPr>
        <w:t xml:space="preserve">                         </w:t>
      </w:r>
    </w:p>
    <w:p>
      <w:pPr>
        <w:spacing w:line="400" w:lineRule="exact"/>
        <w:ind w:firstLine="422" w:firstLineChars="200"/>
        <w:rPr>
          <w:rFonts w:hint="default" w:ascii="宋体" w:hAnsi="宋体" w:eastAsia="宋体" w:cs="Times New Roman"/>
          <w:b/>
          <w:color w:val="auto"/>
          <w:szCs w:val="21"/>
          <w:highlight w:val="none"/>
          <w:u w:val="single"/>
          <w:lang w:val="en-US" w:eastAsia="zh-CN"/>
        </w:rPr>
      </w:pPr>
      <w:r>
        <w:rPr>
          <w:rFonts w:hint="eastAsia" w:ascii="宋体" w:hAnsi="宋体" w:eastAsia="宋体" w:cs="Times New Roman"/>
          <w:b/>
          <w:color w:val="auto"/>
          <w:szCs w:val="21"/>
          <w:highlight w:val="none"/>
          <w:lang w:val="en-US" w:eastAsia="zh-CN"/>
        </w:rPr>
        <w:t>分包号：</w:t>
      </w:r>
      <w:r>
        <w:rPr>
          <w:rFonts w:hint="eastAsia" w:ascii="宋体" w:hAnsi="宋体" w:eastAsia="宋体" w:cs="Times New Roman"/>
          <w:b/>
          <w:color w:val="auto"/>
          <w:szCs w:val="21"/>
          <w:highlight w:val="none"/>
          <w:u w:val="single"/>
          <w:lang w:val="en-US" w:eastAsia="zh-CN"/>
        </w:rPr>
        <w:t xml:space="preserve">                   </w:t>
      </w:r>
    </w:p>
    <w:p>
      <w:pPr>
        <w:widowControl w:val="0"/>
        <w:snapToGrid w:val="0"/>
        <w:spacing w:beforeLines="50" w:after="50" w:line="400" w:lineRule="exact"/>
        <w:jc w:val="both"/>
        <w:rPr>
          <w:rFonts w:ascii="仿宋_GB2312" w:hAnsi="宋体" w:eastAsia="仿宋_GB2312"/>
          <w:b/>
          <w:bCs/>
          <w:color w:val="auto"/>
          <w:sz w:val="28"/>
          <w:szCs w:val="28"/>
          <w:highlight w:val="none"/>
        </w:rPr>
      </w:pPr>
    </w:p>
    <w:tbl>
      <w:tblPr>
        <w:tblStyle w:val="2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19"/>
        <w:gridCol w:w="1954"/>
        <w:gridCol w:w="2144"/>
        <w:gridCol w:w="2013"/>
        <w:gridCol w:w="1288"/>
        <w:gridCol w:w="128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9" w:hRule="atLeast"/>
          <w:jc w:val="center"/>
        </w:trPr>
        <w:tc>
          <w:tcPr>
            <w:tcW w:w="1019" w:type="dxa"/>
            <w:tcBorders>
              <w:top w:val="single" w:color="auto" w:sz="4" w:space="0"/>
              <w:left w:val="single" w:color="auto" w:sz="4" w:space="0"/>
              <w:bottom w:val="single" w:color="auto" w:sz="4" w:space="0"/>
              <w:right w:val="single" w:color="auto" w:sz="4" w:space="0"/>
            </w:tcBorders>
            <w:noWrap w:val="0"/>
            <w:vAlign w:val="center"/>
          </w:tcPr>
          <w:p>
            <w:pPr>
              <w:widowControl w:val="0"/>
              <w:snapToGrid w:val="0"/>
              <w:spacing w:beforeLines="50" w:after="50" w:line="240" w:lineRule="auto"/>
              <w:jc w:val="center"/>
              <w:rPr>
                <w:rFonts w:ascii="宋体" w:hAnsi="宋体"/>
                <w:color w:val="auto"/>
                <w:szCs w:val="21"/>
                <w:highlight w:val="none"/>
              </w:rPr>
            </w:pPr>
            <w:r>
              <w:rPr>
                <w:rFonts w:ascii="宋体" w:hAnsi="宋体"/>
                <w:color w:val="auto"/>
                <w:szCs w:val="21"/>
                <w:highlight w:val="none"/>
              </w:rPr>
              <w:t>序号</w:t>
            </w:r>
          </w:p>
        </w:tc>
        <w:tc>
          <w:tcPr>
            <w:tcW w:w="1954" w:type="dxa"/>
            <w:tcBorders>
              <w:top w:val="single" w:color="auto" w:sz="4" w:space="0"/>
              <w:left w:val="single" w:color="auto" w:sz="4" w:space="0"/>
              <w:bottom w:val="single" w:color="auto" w:sz="4" w:space="0"/>
              <w:right w:val="single" w:color="auto" w:sz="4" w:space="0"/>
            </w:tcBorders>
            <w:noWrap w:val="0"/>
            <w:vAlign w:val="center"/>
          </w:tcPr>
          <w:p>
            <w:pPr>
              <w:widowControl w:val="0"/>
              <w:snapToGrid w:val="0"/>
              <w:spacing w:beforeLines="50" w:after="50"/>
              <w:jc w:val="center"/>
              <w:rPr>
                <w:rFonts w:ascii="宋体" w:hAnsi="宋体"/>
                <w:color w:val="auto"/>
                <w:szCs w:val="21"/>
                <w:highlight w:val="none"/>
              </w:rPr>
            </w:pPr>
            <w:r>
              <w:rPr>
                <w:rFonts w:hint="eastAsia" w:ascii="宋体" w:hAnsi="宋体"/>
                <w:color w:val="auto"/>
                <w:szCs w:val="21"/>
                <w:highlight w:val="none"/>
              </w:rPr>
              <w:t>姓名</w:t>
            </w:r>
          </w:p>
        </w:tc>
        <w:tc>
          <w:tcPr>
            <w:tcW w:w="2144" w:type="dxa"/>
            <w:tcBorders>
              <w:top w:val="single" w:color="auto" w:sz="4" w:space="0"/>
              <w:left w:val="nil"/>
              <w:bottom w:val="single" w:color="auto" w:sz="4" w:space="0"/>
              <w:right w:val="single" w:color="auto" w:sz="4" w:space="0"/>
            </w:tcBorders>
            <w:noWrap w:val="0"/>
            <w:vAlign w:val="center"/>
          </w:tcPr>
          <w:p>
            <w:pPr>
              <w:widowControl w:val="0"/>
              <w:snapToGrid w:val="0"/>
              <w:spacing w:beforeLines="50" w:after="50" w:line="240" w:lineRule="auto"/>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本项目职务</w:t>
            </w:r>
          </w:p>
        </w:tc>
        <w:tc>
          <w:tcPr>
            <w:tcW w:w="2013" w:type="dxa"/>
            <w:tcBorders>
              <w:top w:val="single" w:color="auto" w:sz="4" w:space="0"/>
              <w:left w:val="nil"/>
              <w:bottom w:val="single" w:color="auto" w:sz="4" w:space="0"/>
              <w:right w:val="single" w:color="auto" w:sz="4" w:space="0"/>
            </w:tcBorders>
            <w:noWrap w:val="0"/>
            <w:vAlign w:val="center"/>
          </w:tcPr>
          <w:p>
            <w:pPr>
              <w:widowControl w:val="0"/>
              <w:snapToGrid w:val="0"/>
              <w:spacing w:beforeLines="50" w:after="50" w:line="240" w:lineRule="auto"/>
              <w:jc w:val="center"/>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职称证书等级</w:t>
            </w:r>
          </w:p>
        </w:tc>
        <w:tc>
          <w:tcPr>
            <w:tcW w:w="1288" w:type="dxa"/>
            <w:tcBorders>
              <w:top w:val="single" w:color="auto" w:sz="4" w:space="0"/>
              <w:left w:val="nil"/>
              <w:bottom w:val="single" w:color="auto" w:sz="4" w:space="0"/>
              <w:right w:val="single" w:color="auto" w:sz="4" w:space="0"/>
            </w:tcBorders>
            <w:noWrap w:val="0"/>
            <w:vAlign w:val="center"/>
          </w:tcPr>
          <w:p>
            <w:pPr>
              <w:widowControl w:val="0"/>
              <w:snapToGrid w:val="0"/>
              <w:spacing w:beforeLines="50" w:after="50" w:line="240" w:lineRule="auto"/>
              <w:jc w:val="center"/>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项目经历</w:t>
            </w:r>
          </w:p>
        </w:tc>
        <w:tc>
          <w:tcPr>
            <w:tcW w:w="1288" w:type="dxa"/>
            <w:tcBorders>
              <w:top w:val="single" w:color="auto" w:sz="4" w:space="0"/>
              <w:left w:val="nil"/>
              <w:bottom w:val="single" w:color="auto" w:sz="4" w:space="0"/>
              <w:right w:val="single" w:color="auto" w:sz="4" w:space="0"/>
            </w:tcBorders>
            <w:noWrap w:val="0"/>
            <w:vAlign w:val="center"/>
          </w:tcPr>
          <w:p>
            <w:pPr>
              <w:widowControl w:val="0"/>
              <w:snapToGrid w:val="0"/>
              <w:spacing w:beforeLines="50" w:after="50" w:line="240" w:lineRule="auto"/>
              <w:jc w:val="center"/>
              <w:rPr>
                <w:rFonts w:ascii="宋体" w:hAnsi="宋体"/>
                <w:color w:val="auto"/>
                <w:szCs w:val="21"/>
                <w:highlight w:val="none"/>
              </w:rPr>
            </w:pPr>
            <w:r>
              <w:rPr>
                <w:rFonts w:ascii="宋体" w:hAnsi="宋体"/>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5" w:hRule="atLeast"/>
          <w:jc w:val="center"/>
        </w:trPr>
        <w:tc>
          <w:tcPr>
            <w:tcW w:w="1019"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color w:val="auto"/>
                <w:szCs w:val="21"/>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144"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013"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5" w:hRule="atLeast"/>
          <w:jc w:val="center"/>
        </w:trPr>
        <w:tc>
          <w:tcPr>
            <w:tcW w:w="1019"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color w:val="auto"/>
                <w:szCs w:val="21"/>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144"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013"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5" w:hRule="atLeast"/>
          <w:jc w:val="center"/>
        </w:trPr>
        <w:tc>
          <w:tcPr>
            <w:tcW w:w="1019"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color w:val="auto"/>
                <w:szCs w:val="21"/>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144"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013"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5" w:hRule="atLeast"/>
          <w:jc w:val="center"/>
        </w:trPr>
        <w:tc>
          <w:tcPr>
            <w:tcW w:w="1019"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color w:val="auto"/>
                <w:szCs w:val="21"/>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144"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013"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5" w:hRule="atLeast"/>
          <w:jc w:val="center"/>
        </w:trPr>
        <w:tc>
          <w:tcPr>
            <w:tcW w:w="1019"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color w:val="auto"/>
                <w:szCs w:val="21"/>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144"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013"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r>
    </w:tbl>
    <w:p>
      <w:pPr>
        <w:pStyle w:val="15"/>
        <w:keepNext w:val="0"/>
        <w:keepLines w:val="0"/>
        <w:pageBreakBefore w:val="0"/>
        <w:widowControl/>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bCs/>
          <w:color w:val="auto"/>
          <w:sz w:val="21"/>
          <w:highlight w:val="none"/>
          <w:lang w:val="en-US" w:eastAsia="zh-CN"/>
        </w:rPr>
      </w:pPr>
      <w:r>
        <w:rPr>
          <w:rFonts w:hint="eastAsia" w:ascii="宋体" w:hAnsi="宋体" w:eastAsia="宋体" w:cs="宋体"/>
          <w:bCs/>
          <w:color w:val="auto"/>
          <w:sz w:val="21"/>
          <w:highlight w:val="none"/>
          <w:lang w:val="en-US" w:eastAsia="zh-CN"/>
        </w:rPr>
        <w:t>注：供应商须提供以上拟投入人员的相关证书复印件及近半年来连续三个月的社会保险的证明材料的复印件,并加盖磋商供应商公章,否则不得分。</w:t>
      </w:r>
    </w:p>
    <w:p>
      <w:pPr>
        <w:pStyle w:val="15"/>
        <w:spacing w:line="600" w:lineRule="exact"/>
        <w:ind w:firstLine="3465" w:firstLineChars="1650"/>
        <w:rPr>
          <w:rFonts w:hint="eastAsia" w:hAnsi="宋体"/>
          <w:color w:val="auto"/>
          <w:sz w:val="21"/>
          <w:highlight w:val="none"/>
        </w:rPr>
      </w:pPr>
    </w:p>
    <w:p>
      <w:pPr>
        <w:pStyle w:val="15"/>
        <w:spacing w:line="600" w:lineRule="exact"/>
        <w:ind w:firstLine="3465" w:firstLineChars="1650"/>
        <w:rPr>
          <w:rFonts w:hAnsi="宋体"/>
          <w:color w:val="auto"/>
          <w:sz w:val="21"/>
          <w:highlight w:val="none"/>
          <w:u w:val="single"/>
        </w:rPr>
      </w:pPr>
      <w:r>
        <w:rPr>
          <w:rFonts w:hint="eastAsia" w:hAnsi="宋体"/>
          <w:color w:val="auto"/>
          <w:sz w:val="21"/>
          <w:highlight w:val="none"/>
        </w:rPr>
        <w:t>供应商</w:t>
      </w:r>
      <w:r>
        <w:rPr>
          <w:rFonts w:hint="eastAsia" w:hAnsi="宋体" w:cs="宋体;SimSun"/>
          <w:color w:val="auto"/>
          <w:sz w:val="21"/>
          <w:highlight w:val="none"/>
        </w:rPr>
        <w:t>名称</w:t>
      </w:r>
      <w:r>
        <w:rPr>
          <w:rFonts w:hint="eastAsia" w:hAnsi="宋体"/>
          <w:color w:val="auto"/>
          <w:sz w:val="21"/>
          <w:highlight w:val="none"/>
        </w:rPr>
        <w:t>（盖单位公章）：</w:t>
      </w:r>
    </w:p>
    <w:p>
      <w:pPr>
        <w:pStyle w:val="15"/>
        <w:spacing w:line="500" w:lineRule="exact"/>
        <w:ind w:firstLine="3465" w:firstLineChars="1650"/>
        <w:rPr>
          <w:rFonts w:hAnsi="宋体"/>
          <w:color w:val="auto"/>
          <w:sz w:val="21"/>
          <w:highlight w:val="none"/>
        </w:rPr>
      </w:pPr>
      <w:r>
        <w:rPr>
          <w:rFonts w:hint="eastAsia" w:hAnsi="宋体"/>
          <w:color w:val="auto"/>
          <w:sz w:val="21"/>
          <w:highlight w:val="none"/>
        </w:rPr>
        <w:t>法定代表人或其委托代理人（签字或盖章）：</w:t>
      </w:r>
    </w:p>
    <w:p>
      <w:pPr>
        <w:pStyle w:val="15"/>
        <w:spacing w:line="500" w:lineRule="exact"/>
        <w:jc w:val="both"/>
        <w:rPr>
          <w:rFonts w:hAnsi="宋体"/>
          <w:color w:val="auto"/>
          <w:sz w:val="21"/>
          <w:highlight w:val="none"/>
        </w:rPr>
      </w:pPr>
      <w:r>
        <w:rPr>
          <w:rFonts w:hint="eastAsia" w:hAnsi="宋体"/>
          <w:color w:val="auto"/>
          <w:sz w:val="21"/>
          <w:highlight w:val="none"/>
        </w:rPr>
        <w:t xml:space="preserve">                                 日期：年   月   日</w:t>
      </w: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pStyle w:val="15"/>
        <w:spacing w:line="360" w:lineRule="auto"/>
        <w:rPr>
          <w:rFonts w:hAnsi="宋体" w:cs="宋体"/>
          <w:b/>
        </w:rPr>
      </w:pPr>
      <w:r>
        <w:rPr>
          <w:rFonts w:hint="eastAsia" w:hAnsi="宋体" w:cs="宋体"/>
          <w:b/>
        </w:rPr>
        <w:t>格式</w:t>
      </w:r>
      <w:r>
        <w:rPr>
          <w:rFonts w:hint="eastAsia" w:hAnsi="宋体" w:cs="宋体"/>
          <w:b/>
          <w:lang w:val="en-US" w:eastAsia="zh-CN"/>
        </w:rPr>
        <w:t>10</w:t>
      </w:r>
      <w:r>
        <w:rPr>
          <w:rFonts w:hint="eastAsia" w:hAnsi="宋体" w:cs="宋体"/>
          <w:b/>
        </w:rPr>
        <w:t>：</w:t>
      </w:r>
    </w:p>
    <w:p>
      <w:pPr>
        <w:keepNext w:val="0"/>
        <w:keepLines w:val="0"/>
        <w:pageBreakBefore w:val="0"/>
        <w:kinsoku/>
        <w:wordWrap/>
        <w:overflowPunct/>
        <w:topLinePunct w:val="0"/>
        <w:autoSpaceDE/>
        <w:autoSpaceDN/>
        <w:bidi w:val="0"/>
        <w:adjustRightInd/>
        <w:spacing w:line="240" w:lineRule="auto"/>
        <w:jc w:val="center"/>
        <w:textAlignment w:val="auto"/>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供应商类似业绩证明文件</w:t>
      </w:r>
    </w:p>
    <w:p>
      <w:pPr>
        <w:spacing w:line="400" w:lineRule="exact"/>
        <w:ind w:firstLine="422" w:firstLineChars="200"/>
        <w:rPr>
          <w:rFonts w:hint="eastAsia" w:ascii="宋体" w:hAnsi="宋体" w:eastAsia="宋体"/>
          <w:b/>
          <w:color w:val="auto"/>
          <w:szCs w:val="21"/>
          <w:highlight w:val="none"/>
          <w:u w:val="single"/>
          <w:lang w:val="en-US" w:eastAsia="zh-CN"/>
        </w:rPr>
      </w:pPr>
      <w:r>
        <w:rPr>
          <w:rFonts w:hint="eastAsia" w:ascii="宋体" w:hAnsi="宋体"/>
          <w:b/>
          <w:color w:val="auto"/>
          <w:szCs w:val="21"/>
          <w:highlight w:val="none"/>
        </w:rPr>
        <w:t>项目编号：</w:t>
      </w:r>
      <w:r>
        <w:rPr>
          <w:rFonts w:hint="eastAsia" w:ascii="宋体" w:hAnsi="宋体"/>
          <w:b/>
          <w:color w:val="auto"/>
          <w:szCs w:val="21"/>
          <w:highlight w:val="none"/>
          <w:u w:val="single"/>
        </w:rPr>
        <w:t xml:space="preserve">                </w:t>
      </w:r>
      <w:r>
        <w:rPr>
          <w:rFonts w:hint="eastAsia" w:ascii="宋体" w:hAnsi="宋体"/>
          <w:b/>
          <w:color w:val="auto"/>
          <w:szCs w:val="21"/>
          <w:highlight w:val="none"/>
          <w:u w:val="single"/>
          <w:lang w:val="en-US" w:eastAsia="zh-CN"/>
        </w:rPr>
        <w:t xml:space="preserve"> </w:t>
      </w:r>
    </w:p>
    <w:p>
      <w:pPr>
        <w:spacing w:line="400" w:lineRule="exact"/>
        <w:ind w:firstLine="422" w:firstLineChars="200"/>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项目名称：</w:t>
      </w:r>
      <w:r>
        <w:rPr>
          <w:rFonts w:hint="eastAsia" w:ascii="宋体" w:hAnsi="宋体" w:eastAsia="宋体" w:cs="Times New Roman"/>
          <w:b/>
          <w:color w:val="auto"/>
          <w:szCs w:val="21"/>
          <w:highlight w:val="none"/>
          <w:u w:val="single"/>
          <w:lang w:val="en-US" w:eastAsia="zh-CN"/>
        </w:rPr>
        <w:t xml:space="preserve">                 </w:t>
      </w:r>
      <w:r>
        <w:rPr>
          <w:rFonts w:hint="eastAsia" w:ascii="宋体" w:hAnsi="宋体" w:eastAsia="宋体" w:cs="Times New Roman"/>
          <w:b/>
          <w:color w:val="auto"/>
          <w:szCs w:val="21"/>
          <w:highlight w:val="none"/>
        </w:rPr>
        <w:t xml:space="preserve">                         </w:t>
      </w:r>
    </w:p>
    <w:p>
      <w:pPr>
        <w:spacing w:line="400" w:lineRule="exact"/>
        <w:ind w:firstLine="422" w:firstLineChars="200"/>
        <w:rPr>
          <w:rFonts w:hint="default" w:ascii="宋体" w:hAnsi="宋体" w:eastAsia="宋体" w:cs="Times New Roman"/>
          <w:b/>
          <w:color w:val="auto"/>
          <w:szCs w:val="21"/>
          <w:highlight w:val="none"/>
          <w:u w:val="single"/>
          <w:lang w:val="en-US" w:eastAsia="zh-CN"/>
        </w:rPr>
      </w:pPr>
      <w:r>
        <w:rPr>
          <w:rFonts w:hint="eastAsia" w:ascii="宋体" w:hAnsi="宋体" w:eastAsia="宋体" w:cs="Times New Roman"/>
          <w:b/>
          <w:color w:val="auto"/>
          <w:szCs w:val="21"/>
          <w:highlight w:val="none"/>
          <w:lang w:val="en-US" w:eastAsia="zh-CN"/>
        </w:rPr>
        <w:t>分包号：</w:t>
      </w:r>
      <w:r>
        <w:rPr>
          <w:rFonts w:hint="eastAsia" w:ascii="宋体" w:hAnsi="宋体" w:eastAsia="宋体" w:cs="Times New Roman"/>
          <w:b/>
          <w:color w:val="auto"/>
          <w:szCs w:val="21"/>
          <w:highlight w:val="none"/>
          <w:u w:val="single"/>
          <w:lang w:val="en-US" w:eastAsia="zh-CN"/>
        </w:rPr>
        <w:t xml:space="preserve">                   </w:t>
      </w:r>
    </w:p>
    <w:p>
      <w:pPr>
        <w:pStyle w:val="19"/>
        <w:rPr>
          <w:rFonts w:hint="eastAsia"/>
          <w:lang w:val="en-US" w:eastAsia="zh-CN"/>
        </w:rPr>
      </w:pPr>
    </w:p>
    <w:tbl>
      <w:tblPr>
        <w:tblStyle w:val="2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93"/>
        <w:gridCol w:w="1903"/>
        <w:gridCol w:w="2088"/>
        <w:gridCol w:w="1960"/>
        <w:gridCol w:w="125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jc w:val="center"/>
        </w:trPr>
        <w:tc>
          <w:tcPr>
            <w:tcW w:w="993" w:type="dxa"/>
            <w:tcBorders>
              <w:top w:val="single" w:color="auto" w:sz="4" w:space="0"/>
              <w:left w:val="single" w:color="auto" w:sz="4" w:space="0"/>
              <w:bottom w:val="single" w:color="auto" w:sz="4" w:space="0"/>
              <w:right w:val="single" w:color="auto" w:sz="4" w:space="0"/>
            </w:tcBorders>
            <w:noWrap w:val="0"/>
            <w:vAlign w:val="center"/>
          </w:tcPr>
          <w:p>
            <w:pPr>
              <w:widowControl w:val="0"/>
              <w:snapToGrid w:val="0"/>
              <w:spacing w:beforeLines="50" w:after="50" w:line="240" w:lineRule="auto"/>
              <w:jc w:val="center"/>
              <w:rPr>
                <w:rFonts w:ascii="宋体" w:hAnsi="宋体"/>
                <w:color w:val="auto"/>
                <w:szCs w:val="21"/>
                <w:highlight w:val="none"/>
              </w:rPr>
            </w:pPr>
            <w:r>
              <w:rPr>
                <w:rFonts w:ascii="宋体" w:hAnsi="宋体"/>
                <w:color w:val="auto"/>
                <w:szCs w:val="21"/>
                <w:highlight w:val="none"/>
              </w:rPr>
              <w:t>序号</w:t>
            </w:r>
          </w:p>
        </w:tc>
        <w:tc>
          <w:tcPr>
            <w:tcW w:w="1903" w:type="dxa"/>
            <w:tcBorders>
              <w:top w:val="single" w:color="auto" w:sz="4" w:space="0"/>
              <w:left w:val="single" w:color="auto" w:sz="4" w:space="0"/>
              <w:bottom w:val="single" w:color="auto" w:sz="4" w:space="0"/>
              <w:right w:val="single" w:color="auto" w:sz="4" w:space="0"/>
            </w:tcBorders>
            <w:noWrap w:val="0"/>
            <w:vAlign w:val="center"/>
          </w:tcPr>
          <w:p>
            <w:pPr>
              <w:widowControl w:val="0"/>
              <w:snapToGrid w:val="0"/>
              <w:spacing w:beforeLines="50" w:after="50"/>
              <w:jc w:val="center"/>
              <w:rPr>
                <w:rFonts w:hint="default" w:ascii="宋体" w:hAnsi="宋体" w:eastAsia="宋体"/>
                <w:color w:val="auto"/>
                <w:szCs w:val="21"/>
                <w:highlight w:val="none"/>
                <w:lang w:val="en-US" w:eastAsia="zh-CN"/>
              </w:rPr>
            </w:pPr>
            <w:r>
              <w:rPr>
                <w:rFonts w:hint="eastAsia" w:ascii="宋体" w:hAnsi="宋体" w:eastAsia="宋体" w:cs="宋体"/>
                <w:color w:val="auto"/>
                <w:sz w:val="24"/>
                <w:highlight w:val="none"/>
              </w:rPr>
              <w:t>采购人名称</w:t>
            </w:r>
          </w:p>
        </w:tc>
        <w:tc>
          <w:tcPr>
            <w:tcW w:w="2088" w:type="dxa"/>
            <w:tcBorders>
              <w:top w:val="single" w:color="auto" w:sz="4" w:space="0"/>
              <w:left w:val="nil"/>
              <w:bottom w:val="single" w:color="auto" w:sz="4" w:space="0"/>
              <w:right w:val="single" w:color="auto" w:sz="4" w:space="0"/>
            </w:tcBorders>
            <w:noWrap w:val="0"/>
            <w:vAlign w:val="center"/>
          </w:tcPr>
          <w:p>
            <w:pPr>
              <w:widowControl w:val="0"/>
              <w:snapToGrid w:val="0"/>
              <w:spacing w:beforeLines="50" w:after="50" w:line="240" w:lineRule="auto"/>
              <w:jc w:val="center"/>
              <w:rPr>
                <w:rFonts w:hint="default" w:ascii="宋体" w:hAnsi="宋体" w:eastAsia="宋体"/>
                <w:color w:val="auto"/>
                <w:szCs w:val="21"/>
                <w:highlight w:val="none"/>
                <w:lang w:val="en-US" w:eastAsia="zh-CN"/>
              </w:rPr>
            </w:pPr>
            <w:r>
              <w:rPr>
                <w:rFonts w:hint="eastAsia" w:ascii="宋体" w:hAnsi="宋体" w:eastAsia="宋体" w:cs="宋体"/>
                <w:color w:val="auto"/>
                <w:sz w:val="24"/>
                <w:highlight w:val="none"/>
              </w:rPr>
              <w:t>项目名称</w:t>
            </w:r>
          </w:p>
        </w:tc>
        <w:tc>
          <w:tcPr>
            <w:tcW w:w="196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spacing w:beforeLines="50" w:after="50" w:line="24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合同金额</w:t>
            </w:r>
          </w:p>
          <w:p>
            <w:pPr>
              <w:keepNext w:val="0"/>
              <w:keepLines w:val="0"/>
              <w:pageBreakBefore w:val="0"/>
              <w:widowControl w:val="0"/>
              <w:kinsoku/>
              <w:wordWrap/>
              <w:overflowPunct/>
              <w:topLinePunct w:val="0"/>
              <w:autoSpaceDE/>
              <w:autoSpaceDN/>
              <w:bidi w:val="0"/>
              <w:adjustRightInd/>
              <w:snapToGrid w:val="0"/>
              <w:spacing w:beforeLines="50" w:after="50" w:line="240" w:lineRule="exact"/>
              <w:jc w:val="center"/>
              <w:textAlignment w:val="auto"/>
              <w:rPr>
                <w:rFonts w:ascii="宋体" w:hAnsi="宋体"/>
                <w:color w:val="auto"/>
                <w:szCs w:val="21"/>
                <w:highlight w:val="none"/>
              </w:rPr>
            </w:pPr>
            <w:r>
              <w:rPr>
                <w:rFonts w:hint="eastAsia" w:ascii="宋体" w:hAnsi="宋体" w:eastAsia="宋体" w:cs="宋体"/>
                <w:color w:val="auto"/>
                <w:sz w:val="24"/>
                <w:highlight w:val="none"/>
              </w:rPr>
              <w:t>（万元）</w:t>
            </w:r>
          </w:p>
        </w:tc>
        <w:tc>
          <w:tcPr>
            <w:tcW w:w="1254" w:type="dxa"/>
            <w:tcBorders>
              <w:top w:val="single" w:color="auto" w:sz="4" w:space="0"/>
              <w:left w:val="nil"/>
              <w:bottom w:val="single" w:color="auto" w:sz="4" w:space="0"/>
              <w:right w:val="single" w:color="auto" w:sz="4" w:space="0"/>
            </w:tcBorders>
            <w:noWrap w:val="0"/>
            <w:vAlign w:val="center"/>
          </w:tcPr>
          <w:p>
            <w:pPr>
              <w:widowControl w:val="0"/>
              <w:snapToGrid w:val="0"/>
              <w:spacing w:beforeLines="50" w:after="50" w:line="240" w:lineRule="auto"/>
              <w:jc w:val="center"/>
              <w:rPr>
                <w:rFonts w:ascii="宋体" w:hAnsi="宋体"/>
                <w:color w:val="auto"/>
                <w:szCs w:val="21"/>
                <w:highlight w:val="none"/>
              </w:rPr>
            </w:pPr>
            <w:r>
              <w:rPr>
                <w:rFonts w:ascii="宋体" w:hAnsi="宋体"/>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993"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color w:val="auto"/>
                <w:szCs w:val="21"/>
                <w:highlight w:val="none"/>
              </w:rPr>
            </w:pPr>
          </w:p>
        </w:tc>
        <w:tc>
          <w:tcPr>
            <w:tcW w:w="1903"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0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960"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54"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993"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color w:val="auto"/>
                <w:szCs w:val="21"/>
                <w:highlight w:val="none"/>
              </w:rPr>
            </w:pPr>
          </w:p>
        </w:tc>
        <w:tc>
          <w:tcPr>
            <w:tcW w:w="1903"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0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960"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54"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993"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color w:val="auto"/>
                <w:szCs w:val="21"/>
                <w:highlight w:val="none"/>
              </w:rPr>
            </w:pPr>
          </w:p>
        </w:tc>
        <w:tc>
          <w:tcPr>
            <w:tcW w:w="1903"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0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960"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54"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993"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color w:val="auto"/>
                <w:szCs w:val="21"/>
                <w:highlight w:val="none"/>
              </w:rPr>
            </w:pPr>
          </w:p>
        </w:tc>
        <w:tc>
          <w:tcPr>
            <w:tcW w:w="1903"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0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960"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54"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0" w:hRule="atLeast"/>
          <w:jc w:val="center"/>
        </w:trPr>
        <w:tc>
          <w:tcPr>
            <w:tcW w:w="993"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color w:val="auto"/>
                <w:szCs w:val="21"/>
                <w:highlight w:val="none"/>
              </w:rPr>
            </w:pPr>
          </w:p>
        </w:tc>
        <w:tc>
          <w:tcPr>
            <w:tcW w:w="1903" w:type="dxa"/>
            <w:tcBorders>
              <w:top w:val="single" w:color="auto" w:sz="4" w:space="0"/>
              <w:left w:val="single" w:color="auto" w:sz="4" w:space="0"/>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2088"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960"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c>
          <w:tcPr>
            <w:tcW w:w="1254" w:type="dxa"/>
            <w:tcBorders>
              <w:top w:val="single" w:color="auto" w:sz="4" w:space="0"/>
              <w:left w:val="nil"/>
              <w:bottom w:val="single" w:color="auto" w:sz="4" w:space="0"/>
              <w:right w:val="single" w:color="auto" w:sz="4" w:space="0"/>
            </w:tcBorders>
            <w:noWrap w:val="0"/>
            <w:vAlign w:val="top"/>
          </w:tcPr>
          <w:p>
            <w:pPr>
              <w:widowControl w:val="0"/>
              <w:snapToGrid w:val="0"/>
              <w:spacing w:beforeLines="50" w:after="50" w:line="240" w:lineRule="auto"/>
              <w:jc w:val="both"/>
              <w:rPr>
                <w:rFonts w:ascii="宋体" w:hAnsi="宋体"/>
                <w:b/>
                <w:bCs/>
                <w:color w:val="auto"/>
                <w:sz w:val="44"/>
                <w:szCs w:val="21"/>
                <w:highlight w:val="none"/>
              </w:rPr>
            </w:pPr>
          </w:p>
        </w:tc>
      </w:tr>
    </w:tbl>
    <w:p>
      <w:pPr>
        <w:pStyle w:val="15"/>
        <w:keepNext w:val="0"/>
        <w:keepLines w:val="0"/>
        <w:pageBreakBefore w:val="0"/>
        <w:widowControl/>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bCs/>
          <w:color w:val="auto"/>
          <w:sz w:val="21"/>
          <w:highlight w:val="none"/>
          <w:lang w:val="en-US" w:eastAsia="zh-CN"/>
        </w:rPr>
      </w:pPr>
      <w:r>
        <w:rPr>
          <w:rFonts w:hint="eastAsia" w:ascii="宋体" w:hAnsi="宋体" w:eastAsia="宋体" w:cs="宋体"/>
          <w:bCs/>
          <w:color w:val="auto"/>
          <w:sz w:val="21"/>
          <w:highlight w:val="none"/>
          <w:lang w:val="en-US" w:eastAsia="zh-CN"/>
        </w:rPr>
        <w:t>注：供应商须提供类似业绩的中标（成交）通知书或合同复印件,并加盖磋商供应商公章,否则不得分。</w:t>
      </w:r>
    </w:p>
    <w:p>
      <w:pPr>
        <w:pStyle w:val="15"/>
        <w:spacing w:line="600" w:lineRule="exact"/>
        <w:ind w:firstLine="3465" w:firstLineChars="1650"/>
        <w:rPr>
          <w:rFonts w:hint="eastAsia" w:hAnsi="宋体"/>
          <w:color w:val="auto"/>
          <w:sz w:val="21"/>
          <w:highlight w:val="none"/>
        </w:rPr>
      </w:pPr>
    </w:p>
    <w:p>
      <w:pPr>
        <w:pStyle w:val="15"/>
        <w:spacing w:line="600" w:lineRule="exact"/>
        <w:ind w:firstLine="3465" w:firstLineChars="1650"/>
        <w:rPr>
          <w:rFonts w:hint="eastAsia" w:hAnsi="宋体"/>
          <w:color w:val="auto"/>
          <w:sz w:val="21"/>
          <w:highlight w:val="none"/>
        </w:rPr>
      </w:pPr>
    </w:p>
    <w:p>
      <w:pPr>
        <w:pStyle w:val="15"/>
        <w:spacing w:line="600" w:lineRule="exact"/>
        <w:ind w:firstLine="3465" w:firstLineChars="1650"/>
        <w:rPr>
          <w:rFonts w:hAnsi="宋体"/>
          <w:color w:val="auto"/>
          <w:sz w:val="21"/>
          <w:highlight w:val="none"/>
          <w:u w:val="single"/>
        </w:rPr>
      </w:pPr>
      <w:r>
        <w:rPr>
          <w:rFonts w:hint="eastAsia" w:hAnsi="宋体"/>
          <w:color w:val="auto"/>
          <w:sz w:val="21"/>
          <w:highlight w:val="none"/>
        </w:rPr>
        <w:t>供应商</w:t>
      </w:r>
      <w:r>
        <w:rPr>
          <w:rFonts w:hint="eastAsia" w:hAnsi="宋体" w:cs="宋体;SimSun"/>
          <w:color w:val="auto"/>
          <w:sz w:val="21"/>
          <w:highlight w:val="none"/>
        </w:rPr>
        <w:t>名称</w:t>
      </w:r>
      <w:r>
        <w:rPr>
          <w:rFonts w:hint="eastAsia" w:hAnsi="宋体"/>
          <w:color w:val="auto"/>
          <w:sz w:val="21"/>
          <w:highlight w:val="none"/>
        </w:rPr>
        <w:t>（盖单位公章）：</w:t>
      </w:r>
    </w:p>
    <w:p>
      <w:pPr>
        <w:pStyle w:val="15"/>
        <w:spacing w:line="500" w:lineRule="exact"/>
        <w:ind w:firstLine="3465" w:firstLineChars="1650"/>
        <w:rPr>
          <w:rFonts w:hAnsi="宋体"/>
          <w:color w:val="auto"/>
          <w:sz w:val="21"/>
          <w:highlight w:val="none"/>
        </w:rPr>
      </w:pPr>
      <w:r>
        <w:rPr>
          <w:rFonts w:hint="eastAsia" w:hAnsi="宋体"/>
          <w:color w:val="auto"/>
          <w:sz w:val="21"/>
          <w:highlight w:val="none"/>
        </w:rPr>
        <w:t>法定代表人或其委托代理人（签字或盖章）：</w:t>
      </w:r>
    </w:p>
    <w:p>
      <w:pPr>
        <w:pStyle w:val="15"/>
        <w:spacing w:line="500" w:lineRule="exact"/>
        <w:jc w:val="both"/>
        <w:rPr>
          <w:rFonts w:hAnsi="宋体"/>
          <w:color w:val="auto"/>
          <w:sz w:val="21"/>
          <w:highlight w:val="none"/>
        </w:rPr>
      </w:pPr>
      <w:r>
        <w:rPr>
          <w:rFonts w:hint="eastAsia" w:hAnsi="宋体"/>
          <w:color w:val="auto"/>
          <w:sz w:val="21"/>
          <w:highlight w:val="none"/>
        </w:rPr>
        <w:t xml:space="preserve">                                 日期：年   月   日</w:t>
      </w: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r>
        <w:rPr>
          <w:rFonts w:hint="eastAsia" w:ascii="宋体" w:hAnsi="宋体" w:cs="宋体"/>
          <w:b/>
          <w:szCs w:val="21"/>
        </w:rPr>
        <w:br w:type="page"/>
      </w:r>
    </w:p>
    <w:p>
      <w:pPr>
        <w:pStyle w:val="15"/>
        <w:spacing w:line="360" w:lineRule="auto"/>
        <w:rPr>
          <w:rFonts w:hAnsi="宋体" w:cs="宋体"/>
          <w:b/>
        </w:rPr>
      </w:pPr>
      <w:r>
        <w:rPr>
          <w:rFonts w:hint="eastAsia" w:hAnsi="宋体" w:cs="宋体"/>
          <w:b/>
        </w:rPr>
        <w:t>格式</w:t>
      </w:r>
      <w:r>
        <w:rPr>
          <w:rFonts w:hint="eastAsia" w:hAnsi="宋体" w:cs="宋体"/>
          <w:b/>
          <w:lang w:val="en-US" w:eastAsia="zh-CN"/>
        </w:rPr>
        <w:t>10</w:t>
      </w:r>
      <w:r>
        <w:rPr>
          <w:rFonts w:hint="eastAsia" w:hAnsi="宋体" w:cs="宋体"/>
          <w:b/>
        </w:rPr>
        <w:t>：</w:t>
      </w:r>
    </w:p>
    <w:p>
      <w:pPr>
        <w:snapToGrid w:val="0"/>
        <w:spacing w:before="50" w:after="165" w:afterLines="50" w:line="360" w:lineRule="auto"/>
        <w:jc w:val="center"/>
        <w:rPr>
          <w:rFonts w:hint="eastAsia" w:ascii="宋体" w:hAnsi="宋体" w:cs="宋体"/>
          <w:b/>
          <w:kern w:val="0"/>
          <w:sz w:val="32"/>
          <w:szCs w:val="32"/>
          <w:lang w:eastAsia="zh-CN"/>
        </w:rPr>
      </w:pPr>
    </w:p>
    <w:p>
      <w:pPr>
        <w:snapToGrid w:val="0"/>
        <w:spacing w:before="50" w:after="165" w:afterLines="50" w:line="360" w:lineRule="auto"/>
        <w:jc w:val="center"/>
        <w:rPr>
          <w:rFonts w:hint="eastAsia" w:ascii="宋体" w:hAnsi="宋体" w:cs="宋体"/>
          <w:b/>
          <w:kern w:val="0"/>
          <w:sz w:val="32"/>
          <w:szCs w:val="32"/>
        </w:rPr>
      </w:pPr>
      <w:r>
        <w:rPr>
          <w:rFonts w:hint="eastAsia" w:ascii="宋体" w:hAnsi="宋体" w:cs="宋体"/>
          <w:b/>
          <w:kern w:val="0"/>
          <w:sz w:val="32"/>
          <w:szCs w:val="32"/>
          <w:lang w:eastAsia="zh-CN"/>
        </w:rPr>
        <w:t>供应商</w:t>
      </w:r>
      <w:r>
        <w:rPr>
          <w:rFonts w:hint="eastAsia" w:ascii="宋体" w:hAnsi="宋体" w:cs="宋体"/>
          <w:b/>
          <w:kern w:val="0"/>
          <w:sz w:val="32"/>
          <w:szCs w:val="32"/>
        </w:rPr>
        <w:t>直接控股股东信息表</w:t>
      </w:r>
    </w:p>
    <w:tbl>
      <w:tblPr>
        <w:tblStyle w:val="29"/>
        <w:tblW w:w="9476" w:type="dxa"/>
        <w:tblInd w:w="125" w:type="dxa"/>
        <w:shd w:val="clear" w:color="auto" w:fill="FBFBFB"/>
        <w:tblLayout w:type="fixed"/>
        <w:tblCellMar>
          <w:top w:w="0" w:type="dxa"/>
          <w:left w:w="0" w:type="dxa"/>
          <w:bottom w:w="0" w:type="dxa"/>
          <w:right w:w="0" w:type="dxa"/>
        </w:tblCellMar>
      </w:tblPr>
      <w:tblGrid>
        <w:gridCol w:w="828"/>
        <w:gridCol w:w="2269"/>
        <w:gridCol w:w="1239"/>
        <w:gridCol w:w="3355"/>
        <w:gridCol w:w="1785"/>
      </w:tblGrid>
      <w:tr>
        <w:tblPrEx>
          <w:shd w:val="clear" w:color="auto" w:fill="FBFBFB"/>
          <w:tblCellMar>
            <w:top w:w="0" w:type="dxa"/>
            <w:left w:w="0" w:type="dxa"/>
            <w:bottom w:w="0" w:type="dxa"/>
            <w:right w:w="0" w:type="dxa"/>
          </w:tblCellMar>
        </w:tblPrEx>
        <w:trPr>
          <w:tblHeader/>
        </w:trPr>
        <w:tc>
          <w:tcPr>
            <w:tcW w:w="828"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hint="eastAsia" w:ascii="宋体" w:hAnsi="宋体" w:cs="宋体"/>
                <w:b/>
                <w:bCs/>
                <w:kern w:val="0"/>
                <w:sz w:val="21"/>
                <w:szCs w:val="21"/>
              </w:rPr>
            </w:pPr>
            <w:r>
              <w:rPr>
                <w:rFonts w:hint="eastAsia" w:ascii="宋体" w:hAnsi="宋体" w:cs="宋体"/>
                <w:b/>
                <w:bCs/>
                <w:kern w:val="0"/>
                <w:sz w:val="21"/>
                <w:szCs w:val="21"/>
              </w:rPr>
              <w:t>序号</w:t>
            </w:r>
          </w:p>
        </w:tc>
        <w:tc>
          <w:tcPr>
            <w:tcW w:w="2269"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hint="eastAsia" w:ascii="宋体" w:hAnsi="宋体" w:cs="宋体"/>
                <w:b/>
                <w:bCs/>
                <w:kern w:val="0"/>
                <w:sz w:val="21"/>
                <w:szCs w:val="21"/>
              </w:rPr>
            </w:pPr>
            <w:r>
              <w:rPr>
                <w:rFonts w:hint="eastAsia" w:ascii="宋体" w:hAnsi="宋体" w:cs="宋体"/>
                <w:b/>
                <w:bCs/>
                <w:kern w:val="0"/>
                <w:sz w:val="21"/>
                <w:szCs w:val="21"/>
              </w:rPr>
              <w:t>直接控股股东名称</w:t>
            </w:r>
          </w:p>
        </w:tc>
        <w:tc>
          <w:tcPr>
            <w:tcW w:w="1239"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hint="eastAsia" w:ascii="宋体" w:hAnsi="宋体" w:cs="宋体"/>
                <w:b/>
                <w:bCs/>
                <w:kern w:val="0"/>
                <w:sz w:val="21"/>
                <w:szCs w:val="21"/>
              </w:rPr>
            </w:pPr>
            <w:r>
              <w:rPr>
                <w:rFonts w:hint="eastAsia" w:ascii="宋体" w:hAnsi="宋体" w:cs="宋体"/>
                <w:b/>
                <w:bCs/>
                <w:kern w:val="0"/>
                <w:sz w:val="21"/>
                <w:szCs w:val="21"/>
              </w:rPr>
              <w:t>出资比例</w:t>
            </w:r>
          </w:p>
        </w:tc>
        <w:tc>
          <w:tcPr>
            <w:tcW w:w="3355"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hint="eastAsia" w:ascii="宋体" w:hAnsi="宋体" w:cs="宋体"/>
                <w:b/>
                <w:bCs/>
                <w:kern w:val="0"/>
                <w:sz w:val="21"/>
                <w:szCs w:val="21"/>
              </w:rPr>
            </w:pPr>
            <w:r>
              <w:rPr>
                <w:rFonts w:hint="eastAsia" w:ascii="宋体" w:hAnsi="宋体" w:cs="宋体"/>
                <w:b/>
                <w:bCs/>
                <w:kern w:val="0"/>
                <w:sz w:val="21"/>
                <w:szCs w:val="21"/>
              </w:rPr>
              <w:t>身份证号码或者统一社会信用代码</w:t>
            </w:r>
          </w:p>
        </w:tc>
        <w:tc>
          <w:tcPr>
            <w:tcW w:w="1785"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hint="eastAsia" w:ascii="宋体" w:hAnsi="宋体" w:cs="宋体"/>
                <w:b/>
                <w:bCs/>
                <w:kern w:val="0"/>
                <w:sz w:val="21"/>
                <w:szCs w:val="21"/>
              </w:rPr>
            </w:pPr>
            <w:r>
              <w:rPr>
                <w:rFonts w:hint="eastAsia" w:ascii="宋体" w:hAnsi="宋体" w:cs="宋体"/>
                <w:b/>
                <w:bCs/>
                <w:kern w:val="0"/>
                <w:sz w:val="21"/>
                <w:szCs w:val="21"/>
              </w:rPr>
              <w:t>备注</w:t>
            </w:r>
          </w:p>
        </w:tc>
      </w:tr>
      <w:tr>
        <w:tblPrEx>
          <w:shd w:val="clear" w:color="auto" w:fill="FBFBFB"/>
          <w:tblCellMar>
            <w:top w:w="0" w:type="dxa"/>
            <w:left w:w="0" w:type="dxa"/>
            <w:bottom w:w="0" w:type="dxa"/>
            <w:right w:w="0" w:type="dxa"/>
          </w:tblCellMar>
        </w:tblPrEx>
        <w:tc>
          <w:tcPr>
            <w:tcW w:w="82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r>
              <w:rPr>
                <w:rFonts w:hint="eastAsia" w:ascii="宋体" w:hAnsi="宋体" w:cs="宋体"/>
                <w:kern w:val="0"/>
                <w:sz w:val="21"/>
                <w:szCs w:val="21"/>
              </w:rPr>
              <w:t>1</w:t>
            </w:r>
          </w:p>
        </w:tc>
        <w:tc>
          <w:tcPr>
            <w:tcW w:w="226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123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33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178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r>
      <w:tr>
        <w:tblPrEx>
          <w:shd w:val="clear" w:color="auto" w:fill="FBFBFB"/>
          <w:tblCellMar>
            <w:top w:w="0" w:type="dxa"/>
            <w:left w:w="0" w:type="dxa"/>
            <w:bottom w:w="0" w:type="dxa"/>
            <w:right w:w="0" w:type="dxa"/>
          </w:tblCellMar>
        </w:tblPrEx>
        <w:tc>
          <w:tcPr>
            <w:tcW w:w="82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r>
              <w:rPr>
                <w:rFonts w:hint="eastAsia" w:ascii="宋体" w:hAnsi="宋体" w:cs="宋体"/>
                <w:kern w:val="0"/>
                <w:sz w:val="21"/>
                <w:szCs w:val="21"/>
              </w:rPr>
              <w:t>2</w:t>
            </w:r>
          </w:p>
        </w:tc>
        <w:tc>
          <w:tcPr>
            <w:tcW w:w="226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123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33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178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r>
      <w:tr>
        <w:tblPrEx>
          <w:shd w:val="clear" w:color="auto" w:fill="FBFBFB"/>
          <w:tblCellMar>
            <w:top w:w="0" w:type="dxa"/>
            <w:left w:w="0" w:type="dxa"/>
            <w:bottom w:w="0" w:type="dxa"/>
            <w:right w:w="0" w:type="dxa"/>
          </w:tblCellMar>
        </w:tblPrEx>
        <w:tc>
          <w:tcPr>
            <w:tcW w:w="82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r>
              <w:rPr>
                <w:rFonts w:hint="eastAsia" w:ascii="宋体" w:hAnsi="宋体" w:cs="宋体"/>
                <w:kern w:val="0"/>
                <w:sz w:val="21"/>
                <w:szCs w:val="21"/>
              </w:rPr>
              <w:t>3</w:t>
            </w:r>
          </w:p>
        </w:tc>
        <w:tc>
          <w:tcPr>
            <w:tcW w:w="226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123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33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178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r>
      <w:tr>
        <w:tblPrEx>
          <w:shd w:val="clear" w:color="auto" w:fill="FBFBFB"/>
          <w:tblCellMar>
            <w:top w:w="0" w:type="dxa"/>
            <w:left w:w="0" w:type="dxa"/>
            <w:bottom w:w="0" w:type="dxa"/>
            <w:right w:w="0" w:type="dxa"/>
          </w:tblCellMar>
        </w:tblPrEx>
        <w:tc>
          <w:tcPr>
            <w:tcW w:w="82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r>
              <w:rPr>
                <w:rFonts w:hint="eastAsia" w:ascii="宋体" w:hAnsi="宋体" w:cs="宋体"/>
                <w:kern w:val="0"/>
                <w:sz w:val="21"/>
                <w:szCs w:val="21"/>
              </w:rPr>
              <w:t>……</w:t>
            </w:r>
          </w:p>
        </w:tc>
        <w:tc>
          <w:tcPr>
            <w:tcW w:w="226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123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335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178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r>
    </w:tbl>
    <w:p>
      <w:pPr>
        <w:snapToGrid w:val="0"/>
        <w:spacing w:line="360" w:lineRule="auto"/>
        <w:jc w:val="left"/>
        <w:rPr>
          <w:rFonts w:hint="eastAsia" w:ascii="宋体" w:hAnsi="宋体" w:cs="宋体"/>
          <w:sz w:val="21"/>
          <w:szCs w:val="21"/>
        </w:rPr>
      </w:pPr>
      <w:r>
        <w:rPr>
          <w:rFonts w:hint="eastAsia" w:ascii="宋体" w:hAnsi="宋体" w:cs="宋体"/>
          <w:sz w:val="21"/>
          <w:szCs w:val="21"/>
        </w:rPr>
        <w:t>注：</w:t>
      </w:r>
    </w:p>
    <w:p>
      <w:pPr>
        <w:snapToGrid w:val="0"/>
        <w:spacing w:line="360" w:lineRule="auto"/>
        <w:jc w:val="left"/>
        <w:rPr>
          <w:rFonts w:hint="eastAsia" w:ascii="宋体" w:hAnsi="宋体" w:cs="宋体"/>
          <w:sz w:val="21"/>
          <w:szCs w:val="21"/>
        </w:rPr>
      </w:pPr>
      <w:r>
        <w:rPr>
          <w:rFonts w:hint="eastAsia" w:ascii="宋体" w:hAnsi="宋体" w:cs="宋体"/>
          <w:sz w:val="21"/>
          <w:szCs w:val="21"/>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pPr>
        <w:snapToGrid w:val="0"/>
        <w:spacing w:line="360" w:lineRule="auto"/>
        <w:jc w:val="left"/>
        <w:rPr>
          <w:rFonts w:hint="eastAsia" w:ascii="宋体" w:hAnsi="宋体" w:cs="宋体"/>
          <w:sz w:val="21"/>
          <w:szCs w:val="21"/>
        </w:rPr>
      </w:pPr>
      <w:r>
        <w:rPr>
          <w:rFonts w:hint="eastAsia" w:ascii="宋体" w:hAnsi="宋体" w:cs="宋体"/>
          <w:sz w:val="21"/>
          <w:szCs w:val="21"/>
        </w:rPr>
        <w:t>2.本表所指的控股关系仅限于直接控股关系，不包括间接的控股关系。公司实际控制人与公司之间的关系不属于本表所指的直接控股关系。</w:t>
      </w:r>
    </w:p>
    <w:p>
      <w:pPr>
        <w:snapToGrid w:val="0"/>
        <w:spacing w:line="360" w:lineRule="auto"/>
        <w:jc w:val="left"/>
        <w:rPr>
          <w:rFonts w:hint="eastAsia" w:ascii="宋体" w:hAnsi="宋体" w:cs="宋体"/>
          <w:sz w:val="21"/>
          <w:szCs w:val="21"/>
        </w:rPr>
      </w:pPr>
      <w:r>
        <w:rPr>
          <w:rFonts w:hint="eastAsia" w:ascii="宋体" w:hAnsi="宋体" w:cs="宋体"/>
          <w:sz w:val="21"/>
          <w:szCs w:val="21"/>
        </w:rPr>
        <w:t>3.供应商不存在直接控股股东的，则填“无”。</w:t>
      </w:r>
    </w:p>
    <w:p>
      <w:pPr>
        <w:snapToGrid w:val="0"/>
        <w:spacing w:line="360" w:lineRule="auto"/>
        <w:jc w:val="left"/>
        <w:rPr>
          <w:rFonts w:hint="eastAsia" w:ascii="宋体" w:hAnsi="宋体" w:cs="宋体"/>
          <w:sz w:val="21"/>
          <w:szCs w:val="21"/>
        </w:rPr>
      </w:pPr>
    </w:p>
    <w:p>
      <w:pPr>
        <w:snapToGrid w:val="0"/>
        <w:spacing w:line="360" w:lineRule="auto"/>
        <w:jc w:val="left"/>
        <w:rPr>
          <w:rFonts w:hint="eastAsia" w:ascii="宋体" w:hAnsi="宋体" w:cs="宋体"/>
          <w:sz w:val="21"/>
          <w:szCs w:val="21"/>
        </w:rPr>
      </w:pPr>
    </w:p>
    <w:p>
      <w:pPr>
        <w:snapToGrid w:val="0"/>
        <w:spacing w:line="360" w:lineRule="auto"/>
        <w:jc w:val="left"/>
        <w:rPr>
          <w:rFonts w:hint="eastAsia" w:ascii="宋体" w:hAnsi="宋体" w:cs="宋体"/>
          <w:sz w:val="21"/>
          <w:szCs w:val="21"/>
        </w:rPr>
      </w:pPr>
    </w:p>
    <w:p>
      <w:pPr>
        <w:pStyle w:val="15"/>
        <w:spacing w:line="600" w:lineRule="exact"/>
        <w:ind w:firstLine="3465" w:firstLineChars="1650"/>
        <w:rPr>
          <w:rFonts w:hAnsi="宋体"/>
          <w:color w:val="auto"/>
          <w:sz w:val="21"/>
          <w:highlight w:val="none"/>
          <w:u w:val="single"/>
        </w:rPr>
      </w:pPr>
      <w:r>
        <w:rPr>
          <w:rFonts w:hint="eastAsia" w:hAnsi="宋体"/>
          <w:color w:val="auto"/>
          <w:sz w:val="21"/>
          <w:highlight w:val="none"/>
        </w:rPr>
        <w:t>供应商</w:t>
      </w:r>
      <w:r>
        <w:rPr>
          <w:rFonts w:hint="eastAsia" w:hAnsi="宋体" w:cs="宋体;SimSun"/>
          <w:color w:val="auto"/>
          <w:sz w:val="21"/>
          <w:highlight w:val="none"/>
        </w:rPr>
        <w:t>名称</w:t>
      </w:r>
      <w:r>
        <w:rPr>
          <w:rFonts w:hint="eastAsia" w:hAnsi="宋体"/>
          <w:color w:val="auto"/>
          <w:sz w:val="21"/>
          <w:highlight w:val="none"/>
        </w:rPr>
        <w:t>（盖单位公章）：</w:t>
      </w:r>
    </w:p>
    <w:p>
      <w:pPr>
        <w:pStyle w:val="15"/>
        <w:spacing w:line="500" w:lineRule="exact"/>
        <w:ind w:firstLine="3465" w:firstLineChars="1650"/>
        <w:rPr>
          <w:rFonts w:hAnsi="宋体"/>
          <w:color w:val="auto"/>
          <w:sz w:val="21"/>
          <w:highlight w:val="none"/>
        </w:rPr>
      </w:pPr>
      <w:r>
        <w:rPr>
          <w:rFonts w:hint="eastAsia" w:hAnsi="宋体"/>
          <w:color w:val="auto"/>
          <w:sz w:val="21"/>
          <w:highlight w:val="none"/>
        </w:rPr>
        <w:t>法定代表人或其委托代理人（签字或盖章）：</w:t>
      </w:r>
    </w:p>
    <w:p>
      <w:pPr>
        <w:pStyle w:val="15"/>
        <w:spacing w:line="500" w:lineRule="exact"/>
        <w:jc w:val="both"/>
        <w:rPr>
          <w:rFonts w:hAnsi="宋体"/>
          <w:color w:val="auto"/>
          <w:sz w:val="21"/>
          <w:highlight w:val="none"/>
        </w:rPr>
      </w:pPr>
      <w:r>
        <w:rPr>
          <w:rFonts w:hint="eastAsia" w:hAnsi="宋体"/>
          <w:color w:val="auto"/>
          <w:sz w:val="21"/>
          <w:highlight w:val="none"/>
        </w:rPr>
        <w:t xml:space="preserve">                                 日期：年   月   日</w:t>
      </w:r>
    </w:p>
    <w:p>
      <w:pPr>
        <w:snapToGrid w:val="0"/>
        <w:spacing w:line="360" w:lineRule="auto"/>
        <w:ind w:firstLine="5775" w:firstLineChars="2750"/>
        <w:rPr>
          <w:rFonts w:hint="eastAsia" w:ascii="宋体" w:hAnsi="宋体" w:cs="宋体"/>
          <w:kern w:val="0"/>
          <w:sz w:val="21"/>
          <w:szCs w:val="21"/>
          <w:lang w:val="zh-CN"/>
        </w:rPr>
      </w:pPr>
    </w:p>
    <w:p>
      <w:pPr>
        <w:snapToGrid w:val="0"/>
        <w:jc w:val="center"/>
        <w:rPr>
          <w:rFonts w:hint="eastAsia" w:ascii="宋体" w:hAnsi="宋体" w:cs="宋体"/>
          <w:b/>
          <w:sz w:val="28"/>
          <w:szCs w:val="28"/>
        </w:rPr>
      </w:pPr>
      <w:r>
        <w:rPr>
          <w:rFonts w:hint="eastAsia" w:ascii="宋体" w:hAnsi="宋体" w:cs="宋体"/>
          <w:b/>
          <w:sz w:val="21"/>
          <w:szCs w:val="21"/>
        </w:rPr>
        <w:br w:type="page"/>
      </w:r>
    </w:p>
    <w:p>
      <w:pPr>
        <w:snapToGrid w:val="0"/>
        <w:spacing w:line="360" w:lineRule="auto"/>
        <w:jc w:val="center"/>
        <w:rPr>
          <w:rFonts w:hint="eastAsia" w:ascii="宋体" w:hAnsi="宋体" w:cs="宋体"/>
          <w:sz w:val="32"/>
          <w:szCs w:val="32"/>
        </w:rPr>
      </w:pPr>
      <w:r>
        <w:rPr>
          <w:rFonts w:hint="eastAsia" w:ascii="宋体" w:hAnsi="宋体" w:cs="宋体"/>
          <w:b/>
          <w:kern w:val="0"/>
          <w:sz w:val="32"/>
          <w:szCs w:val="32"/>
          <w:lang w:eastAsia="zh-CN"/>
        </w:rPr>
        <w:t>供应商</w:t>
      </w:r>
      <w:r>
        <w:rPr>
          <w:rFonts w:hint="eastAsia" w:ascii="宋体" w:hAnsi="宋体" w:cs="宋体"/>
          <w:b/>
          <w:sz w:val="32"/>
          <w:szCs w:val="32"/>
        </w:rPr>
        <w:t>直接管理关系信息表</w:t>
      </w:r>
    </w:p>
    <w:tbl>
      <w:tblPr>
        <w:tblStyle w:val="29"/>
        <w:tblW w:w="0" w:type="auto"/>
        <w:tblInd w:w="125" w:type="dxa"/>
        <w:shd w:val="clear" w:color="auto" w:fill="FBFBFB"/>
        <w:tblLayout w:type="fixed"/>
        <w:tblCellMar>
          <w:top w:w="0" w:type="dxa"/>
          <w:left w:w="0" w:type="dxa"/>
          <w:bottom w:w="0" w:type="dxa"/>
          <w:right w:w="0" w:type="dxa"/>
        </w:tblCellMar>
      </w:tblPr>
      <w:tblGrid>
        <w:gridCol w:w="1005"/>
        <w:gridCol w:w="2659"/>
        <w:gridCol w:w="3924"/>
        <w:gridCol w:w="2064"/>
      </w:tblGrid>
      <w:tr>
        <w:tblPrEx>
          <w:shd w:val="clear" w:color="auto" w:fill="FBFBFB"/>
          <w:tblCellMar>
            <w:top w:w="0" w:type="dxa"/>
            <w:left w:w="0" w:type="dxa"/>
            <w:bottom w:w="0" w:type="dxa"/>
            <w:right w:w="0" w:type="dxa"/>
          </w:tblCellMar>
        </w:tblPrEx>
        <w:trPr>
          <w:tblHeader/>
        </w:trPr>
        <w:tc>
          <w:tcPr>
            <w:tcW w:w="1005"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hint="eastAsia" w:ascii="宋体" w:hAnsi="宋体" w:cs="宋体"/>
                <w:b/>
                <w:bCs/>
                <w:kern w:val="0"/>
                <w:sz w:val="21"/>
                <w:szCs w:val="21"/>
              </w:rPr>
            </w:pPr>
            <w:r>
              <w:rPr>
                <w:rFonts w:hint="eastAsia" w:ascii="宋体" w:hAnsi="宋体" w:cs="宋体"/>
                <w:b/>
                <w:bCs/>
                <w:kern w:val="0"/>
                <w:sz w:val="21"/>
                <w:szCs w:val="21"/>
              </w:rPr>
              <w:t>序号</w:t>
            </w:r>
          </w:p>
        </w:tc>
        <w:tc>
          <w:tcPr>
            <w:tcW w:w="2659"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hint="eastAsia" w:ascii="宋体" w:hAnsi="宋体" w:cs="宋体"/>
                <w:b/>
                <w:bCs/>
                <w:kern w:val="0"/>
                <w:sz w:val="21"/>
                <w:szCs w:val="21"/>
              </w:rPr>
            </w:pPr>
            <w:r>
              <w:rPr>
                <w:rFonts w:hint="eastAsia" w:ascii="宋体" w:hAnsi="宋体" w:cs="宋体"/>
                <w:b/>
                <w:bCs/>
                <w:kern w:val="0"/>
                <w:sz w:val="21"/>
                <w:szCs w:val="21"/>
              </w:rPr>
              <w:t>直接管理关系单位名称</w:t>
            </w:r>
          </w:p>
        </w:tc>
        <w:tc>
          <w:tcPr>
            <w:tcW w:w="3924"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hint="eastAsia" w:ascii="宋体" w:hAnsi="宋体" w:cs="宋体"/>
                <w:b/>
                <w:bCs/>
                <w:kern w:val="0"/>
                <w:sz w:val="21"/>
                <w:szCs w:val="21"/>
              </w:rPr>
            </w:pPr>
            <w:r>
              <w:rPr>
                <w:rFonts w:hint="eastAsia" w:ascii="宋体" w:hAnsi="宋体" w:cs="宋体"/>
                <w:b/>
                <w:bCs/>
                <w:kern w:val="0"/>
                <w:sz w:val="21"/>
                <w:szCs w:val="21"/>
              </w:rPr>
              <w:t>统一社会信用代码</w:t>
            </w:r>
          </w:p>
        </w:tc>
        <w:tc>
          <w:tcPr>
            <w:tcW w:w="2064"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spacing w:line="360" w:lineRule="auto"/>
              <w:jc w:val="center"/>
              <w:rPr>
                <w:rFonts w:hint="eastAsia" w:ascii="宋体" w:hAnsi="宋体" w:cs="宋体"/>
                <w:b/>
                <w:bCs/>
                <w:kern w:val="0"/>
                <w:sz w:val="21"/>
                <w:szCs w:val="21"/>
              </w:rPr>
            </w:pPr>
            <w:r>
              <w:rPr>
                <w:rFonts w:hint="eastAsia" w:ascii="宋体" w:hAnsi="宋体" w:cs="宋体"/>
                <w:b/>
                <w:bCs/>
                <w:kern w:val="0"/>
                <w:sz w:val="21"/>
                <w:szCs w:val="21"/>
              </w:rPr>
              <w:t>备注</w:t>
            </w:r>
          </w:p>
        </w:tc>
      </w:tr>
      <w:tr>
        <w:tblPrEx>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r>
              <w:rPr>
                <w:rFonts w:hint="eastAsia" w:ascii="宋体" w:hAnsi="宋体" w:cs="宋体"/>
                <w:kern w:val="0"/>
                <w:sz w:val="21"/>
                <w:szCs w:val="21"/>
              </w:rPr>
              <w:t>1</w:t>
            </w:r>
          </w:p>
        </w:tc>
        <w:tc>
          <w:tcPr>
            <w:tcW w:w="265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392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206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r>
      <w:tr>
        <w:tblPrEx>
          <w:shd w:val="clear" w:color="auto" w:fill="FBFBFB"/>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r>
              <w:rPr>
                <w:rFonts w:hint="eastAsia" w:ascii="宋体" w:hAnsi="宋体" w:cs="宋体"/>
                <w:kern w:val="0"/>
                <w:sz w:val="21"/>
                <w:szCs w:val="21"/>
              </w:rPr>
              <w:t>2</w:t>
            </w:r>
          </w:p>
        </w:tc>
        <w:tc>
          <w:tcPr>
            <w:tcW w:w="265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392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206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r>
      <w:tr>
        <w:tblPrEx>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r>
              <w:rPr>
                <w:rFonts w:hint="eastAsia" w:ascii="宋体" w:hAnsi="宋体" w:cs="宋体"/>
                <w:kern w:val="0"/>
                <w:sz w:val="21"/>
                <w:szCs w:val="21"/>
              </w:rPr>
              <w:t>3</w:t>
            </w:r>
          </w:p>
        </w:tc>
        <w:tc>
          <w:tcPr>
            <w:tcW w:w="265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392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206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r>
      <w:tr>
        <w:tblPrEx>
          <w:shd w:val="clear" w:color="auto" w:fill="FBFBFB"/>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r>
              <w:rPr>
                <w:rFonts w:hint="eastAsia" w:ascii="宋体" w:hAnsi="宋体" w:cs="宋体"/>
                <w:kern w:val="0"/>
                <w:sz w:val="21"/>
                <w:szCs w:val="21"/>
              </w:rPr>
              <w:t>……</w:t>
            </w:r>
          </w:p>
        </w:tc>
        <w:tc>
          <w:tcPr>
            <w:tcW w:w="265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392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c>
          <w:tcPr>
            <w:tcW w:w="206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spacing w:line="360" w:lineRule="auto"/>
              <w:jc w:val="center"/>
              <w:rPr>
                <w:rFonts w:hint="eastAsia" w:ascii="宋体" w:hAnsi="宋体" w:cs="宋体"/>
                <w:kern w:val="0"/>
                <w:sz w:val="21"/>
                <w:szCs w:val="21"/>
              </w:rPr>
            </w:pPr>
          </w:p>
        </w:tc>
      </w:tr>
    </w:tbl>
    <w:p>
      <w:pPr>
        <w:snapToGrid w:val="0"/>
        <w:spacing w:line="360" w:lineRule="auto"/>
        <w:jc w:val="left"/>
        <w:rPr>
          <w:rFonts w:hint="eastAsia" w:ascii="宋体" w:hAnsi="宋体" w:cs="宋体"/>
          <w:sz w:val="21"/>
          <w:szCs w:val="21"/>
        </w:rPr>
      </w:pPr>
      <w:r>
        <w:rPr>
          <w:rFonts w:hint="eastAsia" w:ascii="宋体" w:hAnsi="宋体" w:cs="宋体"/>
          <w:sz w:val="21"/>
          <w:szCs w:val="21"/>
        </w:rPr>
        <w:t>注：</w:t>
      </w:r>
    </w:p>
    <w:p>
      <w:pPr>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1.管理关系：是指不具有出资持股关系的其他单位之间存在的管理与被管理关系，如一些上下级关系的事业单位和团体组织。</w:t>
      </w:r>
    </w:p>
    <w:p>
      <w:pPr>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2.</w:t>
      </w:r>
      <w:r>
        <w:rPr>
          <w:rFonts w:hint="eastAsia" w:ascii="宋体" w:hAnsi="宋体" w:cs="宋体"/>
          <w:spacing w:val="-6"/>
          <w:sz w:val="21"/>
          <w:szCs w:val="21"/>
        </w:rPr>
        <w:t>本表所指的管理关系仅限于直接管理关系，不包括间接的管理关系。</w:t>
      </w:r>
    </w:p>
    <w:p>
      <w:pPr>
        <w:snapToGrid w:val="0"/>
        <w:spacing w:line="360" w:lineRule="auto"/>
        <w:ind w:firstLine="420" w:firstLineChars="200"/>
        <w:jc w:val="left"/>
        <w:rPr>
          <w:rFonts w:hint="eastAsia" w:ascii="宋体" w:hAnsi="宋体" w:cs="宋体"/>
          <w:sz w:val="21"/>
          <w:szCs w:val="21"/>
        </w:rPr>
      </w:pPr>
      <w:r>
        <w:rPr>
          <w:rFonts w:hint="eastAsia" w:ascii="宋体" w:hAnsi="宋体" w:cs="宋体"/>
          <w:sz w:val="21"/>
          <w:szCs w:val="21"/>
        </w:rPr>
        <w:t>3.供应商不存在直接管理关系的，则填“无”。</w:t>
      </w:r>
    </w:p>
    <w:p>
      <w:pPr>
        <w:snapToGrid w:val="0"/>
        <w:spacing w:line="360" w:lineRule="auto"/>
        <w:jc w:val="left"/>
        <w:rPr>
          <w:rFonts w:hint="eastAsia" w:ascii="宋体" w:hAnsi="宋体" w:cs="宋体"/>
          <w:sz w:val="21"/>
          <w:szCs w:val="21"/>
        </w:rPr>
      </w:pPr>
    </w:p>
    <w:p>
      <w:pPr>
        <w:snapToGrid w:val="0"/>
        <w:spacing w:line="360" w:lineRule="auto"/>
        <w:jc w:val="left"/>
        <w:rPr>
          <w:rFonts w:hint="eastAsia" w:ascii="宋体" w:hAnsi="宋体" w:cs="宋体"/>
          <w:sz w:val="21"/>
          <w:szCs w:val="21"/>
        </w:rPr>
      </w:pPr>
    </w:p>
    <w:p>
      <w:pPr>
        <w:pStyle w:val="15"/>
        <w:spacing w:line="600" w:lineRule="exact"/>
        <w:ind w:firstLine="3465" w:firstLineChars="1650"/>
        <w:rPr>
          <w:rFonts w:hAnsi="宋体"/>
          <w:color w:val="auto"/>
          <w:sz w:val="21"/>
          <w:highlight w:val="none"/>
          <w:u w:val="single"/>
        </w:rPr>
      </w:pPr>
      <w:r>
        <w:rPr>
          <w:rFonts w:hint="eastAsia" w:hAnsi="宋体"/>
          <w:color w:val="auto"/>
          <w:sz w:val="21"/>
          <w:highlight w:val="none"/>
        </w:rPr>
        <w:t>供应商</w:t>
      </w:r>
      <w:r>
        <w:rPr>
          <w:rFonts w:hint="eastAsia" w:hAnsi="宋体" w:cs="宋体;SimSun"/>
          <w:color w:val="auto"/>
          <w:sz w:val="21"/>
          <w:highlight w:val="none"/>
        </w:rPr>
        <w:t>名称</w:t>
      </w:r>
      <w:r>
        <w:rPr>
          <w:rFonts w:hint="eastAsia" w:hAnsi="宋体"/>
          <w:color w:val="auto"/>
          <w:sz w:val="21"/>
          <w:highlight w:val="none"/>
        </w:rPr>
        <w:t>（盖单位公章）：</w:t>
      </w:r>
    </w:p>
    <w:p>
      <w:pPr>
        <w:pStyle w:val="15"/>
        <w:spacing w:line="500" w:lineRule="exact"/>
        <w:ind w:firstLine="3465" w:firstLineChars="1650"/>
        <w:rPr>
          <w:rFonts w:hAnsi="宋体"/>
          <w:color w:val="auto"/>
          <w:sz w:val="21"/>
          <w:highlight w:val="none"/>
        </w:rPr>
      </w:pPr>
      <w:r>
        <w:rPr>
          <w:rFonts w:hint="eastAsia" w:hAnsi="宋体"/>
          <w:color w:val="auto"/>
          <w:sz w:val="21"/>
          <w:highlight w:val="none"/>
        </w:rPr>
        <w:t>法定代表人或其委托代理人（签字或盖章）：</w:t>
      </w:r>
    </w:p>
    <w:p>
      <w:pPr>
        <w:pStyle w:val="15"/>
        <w:spacing w:line="500" w:lineRule="exact"/>
        <w:jc w:val="both"/>
        <w:rPr>
          <w:rFonts w:hAnsi="宋体"/>
          <w:color w:val="auto"/>
          <w:sz w:val="21"/>
          <w:highlight w:val="none"/>
        </w:rPr>
      </w:pPr>
      <w:r>
        <w:rPr>
          <w:rFonts w:hint="eastAsia" w:hAnsi="宋体"/>
          <w:color w:val="auto"/>
          <w:sz w:val="21"/>
          <w:highlight w:val="none"/>
        </w:rPr>
        <w:t xml:space="preserve">                                 日期：年   月   日</w:t>
      </w:r>
    </w:p>
    <w:p>
      <w:pPr>
        <w:rPr>
          <w:rFonts w:hint="eastAsia"/>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b/>
          <w:szCs w:val="21"/>
        </w:rPr>
      </w:pPr>
    </w:p>
    <w:p>
      <w:pPr>
        <w:rPr>
          <w:rFonts w:hint="eastAsia" w:ascii="宋体" w:hAnsi="宋体" w:cs="宋体"/>
        </w:rPr>
      </w:pPr>
      <w:bookmarkStart w:id="119" w:name="_Toc18117"/>
      <w:bookmarkStart w:id="120" w:name="_Toc16770"/>
      <w:r>
        <w:rPr>
          <w:rFonts w:hint="eastAsia" w:ascii="宋体" w:hAnsi="宋体" w:cs="宋体"/>
        </w:rPr>
        <w:br w:type="page"/>
      </w:r>
    </w:p>
    <w:p>
      <w:pPr>
        <w:pStyle w:val="27"/>
        <w:spacing w:line="360" w:lineRule="auto"/>
        <w:rPr>
          <w:rFonts w:ascii="宋体" w:hAnsi="宋体" w:cs="宋体"/>
        </w:rPr>
      </w:pPr>
      <w:r>
        <w:rPr>
          <w:rFonts w:hint="eastAsia" w:ascii="宋体" w:hAnsi="宋体" w:cs="宋体"/>
        </w:rPr>
        <w:t>第五章  合同条款及格式</w:t>
      </w:r>
      <w:bookmarkEnd w:id="119"/>
      <w:bookmarkEnd w:id="120"/>
    </w:p>
    <w:p>
      <w:pPr>
        <w:spacing w:line="360" w:lineRule="auto"/>
        <w:rPr>
          <w:rFonts w:ascii="宋体" w:hAnsi="宋体" w:cs="宋体"/>
        </w:rPr>
      </w:pPr>
    </w:p>
    <w:p>
      <w:pPr>
        <w:spacing w:line="360" w:lineRule="auto"/>
        <w:ind w:firstLine="0" w:firstLineChars="0"/>
        <w:rPr>
          <w:rFonts w:hint="eastAsia" w:ascii="宋体" w:hAnsi="宋体" w:eastAsia="宋体" w:cs="宋体"/>
          <w:b w:val="0"/>
          <w:bCs w:val="0"/>
          <w:color w:val="auto"/>
          <w:sz w:val="24"/>
          <w:szCs w:val="24"/>
          <w:highlight w:val="none"/>
          <w:u w:val="single"/>
          <w:lang w:val="en-US" w:eastAsia="zh-CN"/>
        </w:rPr>
      </w:pPr>
      <w:r>
        <w:rPr>
          <w:rFonts w:hint="eastAsia" w:ascii="宋体" w:hAnsi="宋体" w:eastAsia="宋体" w:cs="宋体"/>
          <w:b w:val="0"/>
          <w:bCs w:val="0"/>
          <w:color w:val="auto"/>
          <w:sz w:val="24"/>
          <w:szCs w:val="24"/>
        </w:rPr>
        <w:t>合同编号：</w:t>
      </w:r>
      <w:r>
        <w:rPr>
          <w:rFonts w:hint="eastAsia" w:ascii="宋体" w:hAnsi="宋体" w:eastAsia="宋体" w:cs="宋体"/>
          <w:b w:val="0"/>
          <w:bCs w:val="0"/>
          <w:color w:val="auto"/>
          <w:sz w:val="24"/>
          <w:szCs w:val="24"/>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cs="Times New Roman"/>
          <w:color w:val="auto"/>
          <w:sz w:val="28"/>
          <w:szCs w:val="28"/>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cs="Times New Roman"/>
          <w:color w:val="auto"/>
          <w:kern w:val="0"/>
          <w:sz w:val="44"/>
          <w:szCs w:val="44"/>
        </w:rPr>
      </w:pPr>
      <w:r>
        <w:rPr>
          <w:rFonts w:hint="default" w:ascii="Times New Roman" w:hAnsi="Times New Roman" w:eastAsia="方正小标宋_GBK" w:cs="Times New Roman"/>
          <w:color w:val="auto"/>
          <w:kern w:val="0"/>
          <w:sz w:val="44"/>
          <w:szCs w:val="44"/>
        </w:rPr>
        <w:t>采购技术服务合同</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cs="Times New Roman"/>
          <w:color w:val="auto"/>
          <w:sz w:val="28"/>
          <w:szCs w:val="28"/>
        </w:rPr>
      </w:pPr>
    </w:p>
    <w:p>
      <w:pPr>
        <w:keepNext w:val="0"/>
        <w:keepLines w:val="0"/>
        <w:pageBreakBefore w:val="0"/>
        <w:widowControl/>
        <w:kinsoku/>
        <w:wordWrap/>
        <w:overflowPunct/>
        <w:topLinePunct w:val="0"/>
        <w:autoSpaceDE w:val="0"/>
        <w:autoSpaceDN w:val="0"/>
        <w:bidi w:val="0"/>
        <w:adjustRightInd w:val="0"/>
        <w:snapToGrid/>
        <w:spacing w:line="360" w:lineRule="auto"/>
        <w:textAlignment w:val="auto"/>
        <w:rPr>
          <w:rFonts w:hint="eastAsia" w:ascii="宋体" w:hAnsi="宋体" w:eastAsia="宋体" w:cs="宋体"/>
          <w:b w:val="0"/>
          <w:bCs w:val="0"/>
          <w:color w:val="auto"/>
          <w:kern w:val="0"/>
          <w:sz w:val="24"/>
          <w:szCs w:val="24"/>
          <w:lang w:val="en"/>
        </w:rPr>
      </w:pPr>
      <w:r>
        <w:rPr>
          <w:rFonts w:hint="eastAsia" w:ascii="宋体" w:hAnsi="宋体" w:eastAsia="宋体" w:cs="宋体"/>
          <w:b w:val="0"/>
          <w:bCs w:val="0"/>
          <w:color w:val="auto"/>
          <w:kern w:val="0"/>
          <w:sz w:val="24"/>
          <w:szCs w:val="24"/>
        </w:rPr>
        <w:t>甲方（采购人）：</w:t>
      </w:r>
      <w:r>
        <w:rPr>
          <w:rFonts w:hint="eastAsia" w:ascii="宋体" w:hAnsi="宋体" w:eastAsia="宋体" w:cs="宋体"/>
          <w:b w:val="0"/>
          <w:bCs w:val="0"/>
          <w:color w:val="auto"/>
          <w:kern w:val="0"/>
          <w:sz w:val="24"/>
          <w:szCs w:val="24"/>
          <w:highlight w:val="none"/>
          <w:u w:val="single"/>
          <w:lang w:val="en-US" w:eastAsia="zh-CN"/>
        </w:rPr>
        <w:t>广西壮族自治区生态环境监测中心</w:t>
      </w:r>
      <w:r>
        <w:rPr>
          <w:rFonts w:hint="eastAsia" w:ascii="宋体" w:hAnsi="宋体" w:eastAsia="宋体" w:cs="宋体"/>
          <w:b w:val="0"/>
          <w:bCs w:val="0"/>
          <w:color w:val="auto"/>
          <w:kern w:val="0"/>
          <w:sz w:val="24"/>
          <w:szCs w:val="24"/>
          <w:lang w:val="en"/>
        </w:rPr>
        <w:t xml:space="preserve">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住</w:t>
      </w:r>
      <w:r>
        <w:rPr>
          <w:rFonts w:hint="eastAsia" w:ascii="宋体" w:hAnsi="宋体" w:eastAsia="宋体" w:cs="宋体"/>
          <w:b w:val="0"/>
          <w:bCs w:val="0"/>
          <w:color w:val="auto"/>
          <w:kern w:val="0"/>
          <w:sz w:val="24"/>
          <w:szCs w:val="24"/>
          <w:lang w:val="en"/>
        </w:rPr>
        <w:t xml:space="preserve"> </w:t>
      </w:r>
      <w:r>
        <w:rPr>
          <w:rFonts w:hint="eastAsia" w:ascii="宋体" w:hAnsi="宋体" w:eastAsia="宋体" w:cs="宋体"/>
          <w:b w:val="0"/>
          <w:bCs w:val="0"/>
          <w:color w:val="auto"/>
          <w:kern w:val="0"/>
          <w:sz w:val="24"/>
          <w:szCs w:val="24"/>
        </w:rPr>
        <w:t>所</w:t>
      </w:r>
      <w:r>
        <w:rPr>
          <w:rFonts w:hint="eastAsia" w:ascii="宋体" w:hAnsi="宋体" w:eastAsia="宋体" w:cs="宋体"/>
          <w:b w:val="0"/>
          <w:bCs w:val="0"/>
          <w:color w:val="auto"/>
          <w:kern w:val="0"/>
          <w:sz w:val="24"/>
          <w:szCs w:val="24"/>
          <w:lang w:val="en"/>
        </w:rPr>
        <w:t xml:space="preserve"> </w:t>
      </w:r>
      <w:r>
        <w:rPr>
          <w:rFonts w:hint="eastAsia" w:ascii="宋体" w:hAnsi="宋体" w:eastAsia="宋体" w:cs="宋体"/>
          <w:b w:val="0"/>
          <w:bCs w:val="0"/>
          <w:color w:val="auto"/>
          <w:kern w:val="0"/>
          <w:sz w:val="24"/>
          <w:szCs w:val="24"/>
        </w:rPr>
        <w:t>地：</w:t>
      </w:r>
      <w:r>
        <w:rPr>
          <w:rFonts w:hint="eastAsia" w:ascii="宋体" w:hAnsi="宋体" w:eastAsia="宋体" w:cs="宋体"/>
          <w:b w:val="0"/>
          <w:bCs w:val="0"/>
          <w:color w:val="auto"/>
          <w:kern w:val="0"/>
          <w:sz w:val="24"/>
          <w:szCs w:val="24"/>
          <w:highlight w:val="none"/>
          <w:u w:val="single"/>
          <w:lang w:eastAsia="zh-CN"/>
        </w:rPr>
        <w:t>南宁市青秀区佛子岭路16号</w:t>
      </w:r>
      <w:r>
        <w:rPr>
          <w:rFonts w:hint="eastAsia" w:ascii="宋体" w:hAnsi="宋体" w:eastAsia="宋体" w:cs="宋体"/>
          <w:b w:val="0"/>
          <w:bCs w:val="0"/>
          <w:color w:val="auto"/>
          <w:kern w:val="0"/>
          <w:sz w:val="24"/>
          <w:szCs w:val="24"/>
        </w:rPr>
        <w:t xml:space="preserve">  </w:t>
      </w:r>
      <w:r>
        <w:rPr>
          <w:rFonts w:hint="eastAsia" w:ascii="宋体" w:hAnsi="宋体" w:eastAsia="宋体" w:cs="宋体"/>
          <w:b w:val="0"/>
          <w:bCs w:val="0"/>
          <w:color w:val="auto"/>
          <w:kern w:val="0"/>
          <w:sz w:val="24"/>
          <w:szCs w:val="24"/>
          <w:lang w:val="en"/>
        </w:rPr>
        <w:t xml:space="preserve">              </w:t>
      </w:r>
      <w:r>
        <w:rPr>
          <w:rFonts w:hint="eastAsia" w:ascii="宋体" w:hAnsi="宋体" w:eastAsia="宋体" w:cs="宋体"/>
          <w:b w:val="0"/>
          <w:bCs w:val="0"/>
          <w:color w:val="auto"/>
          <w:kern w:val="0"/>
          <w:sz w:val="24"/>
          <w:szCs w:val="24"/>
        </w:rPr>
        <w:t xml:space="preserve">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法 定 代 表 人：</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rPr>
        <w:t xml:space="preserve">     </w:t>
      </w:r>
      <w:r>
        <w:rPr>
          <w:rFonts w:hint="eastAsia" w:ascii="宋体" w:hAnsi="宋体" w:eastAsia="宋体" w:cs="宋体"/>
          <w:b w:val="0"/>
          <w:bCs w:val="0"/>
          <w:color w:val="auto"/>
          <w:kern w:val="0"/>
          <w:sz w:val="24"/>
          <w:szCs w:val="24"/>
          <w:lang w:val="en"/>
        </w:rPr>
        <w:t xml:space="preserve">                  </w:t>
      </w:r>
      <w:r>
        <w:rPr>
          <w:rFonts w:hint="eastAsia" w:ascii="宋体" w:hAnsi="宋体" w:eastAsia="宋体" w:cs="宋体"/>
          <w:b w:val="0"/>
          <w:bCs w:val="0"/>
          <w:color w:val="auto"/>
          <w:kern w:val="0"/>
          <w:sz w:val="24"/>
          <w:szCs w:val="24"/>
        </w:rPr>
        <w:t xml:space="preserve">  </w:t>
      </w:r>
      <w:r>
        <w:rPr>
          <w:rFonts w:hint="eastAsia" w:ascii="宋体" w:hAnsi="宋体" w:eastAsia="宋体" w:cs="宋体"/>
          <w:b w:val="0"/>
          <w:bCs w:val="0"/>
          <w:color w:val="auto"/>
          <w:kern w:val="0"/>
          <w:sz w:val="24"/>
          <w:szCs w:val="24"/>
          <w:lang w:val="en"/>
        </w:rPr>
        <w:t xml:space="preserve"> </w:t>
      </w:r>
      <w:r>
        <w:rPr>
          <w:rFonts w:hint="eastAsia" w:ascii="宋体" w:hAnsi="宋体" w:eastAsia="宋体" w:cs="宋体"/>
          <w:b w:val="0"/>
          <w:bCs w:val="0"/>
          <w:color w:val="auto"/>
          <w:kern w:val="0"/>
          <w:sz w:val="24"/>
          <w:szCs w:val="24"/>
        </w:rPr>
        <w:t xml:space="preserve">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spacing w:val="21"/>
          <w:sz w:val="24"/>
          <w:szCs w:val="24"/>
        </w:rPr>
        <w:t>通</w:t>
      </w:r>
      <w:r>
        <w:rPr>
          <w:rFonts w:hint="eastAsia" w:ascii="宋体" w:hAnsi="宋体" w:eastAsia="宋体" w:cs="宋体"/>
          <w:b w:val="0"/>
          <w:bCs w:val="0"/>
          <w:color w:val="auto"/>
          <w:spacing w:val="21"/>
          <w:sz w:val="24"/>
          <w:szCs w:val="24"/>
          <w:lang w:val="en"/>
        </w:rPr>
        <w:t xml:space="preserve"> </w:t>
      </w:r>
      <w:r>
        <w:rPr>
          <w:rFonts w:hint="eastAsia" w:ascii="宋体" w:hAnsi="宋体" w:eastAsia="宋体" w:cs="宋体"/>
          <w:b w:val="0"/>
          <w:bCs w:val="0"/>
          <w:color w:val="auto"/>
          <w:spacing w:val="21"/>
          <w:sz w:val="24"/>
          <w:szCs w:val="24"/>
        </w:rPr>
        <w:t>讯</w:t>
      </w:r>
      <w:r>
        <w:rPr>
          <w:rFonts w:hint="eastAsia" w:ascii="宋体" w:hAnsi="宋体" w:eastAsia="宋体" w:cs="宋体"/>
          <w:b w:val="0"/>
          <w:bCs w:val="0"/>
          <w:color w:val="auto"/>
          <w:spacing w:val="21"/>
          <w:sz w:val="24"/>
          <w:szCs w:val="24"/>
          <w:lang w:val="en"/>
        </w:rPr>
        <w:t xml:space="preserve"> </w:t>
      </w:r>
      <w:r>
        <w:rPr>
          <w:rFonts w:hint="eastAsia" w:ascii="宋体" w:hAnsi="宋体" w:eastAsia="宋体" w:cs="宋体"/>
          <w:b w:val="0"/>
          <w:bCs w:val="0"/>
          <w:color w:val="auto"/>
          <w:spacing w:val="21"/>
          <w:sz w:val="24"/>
          <w:szCs w:val="24"/>
        </w:rPr>
        <w:t>地</w:t>
      </w:r>
      <w:r>
        <w:rPr>
          <w:rFonts w:hint="eastAsia" w:ascii="宋体" w:hAnsi="宋体" w:eastAsia="宋体" w:cs="宋体"/>
          <w:b w:val="0"/>
          <w:bCs w:val="0"/>
          <w:color w:val="auto"/>
          <w:spacing w:val="21"/>
          <w:sz w:val="24"/>
          <w:szCs w:val="24"/>
          <w:lang w:val="en"/>
        </w:rPr>
        <w:t xml:space="preserve"> </w:t>
      </w:r>
      <w:r>
        <w:rPr>
          <w:rFonts w:hint="eastAsia" w:ascii="宋体" w:hAnsi="宋体" w:eastAsia="宋体" w:cs="宋体"/>
          <w:b w:val="0"/>
          <w:bCs w:val="0"/>
          <w:color w:val="auto"/>
          <w:spacing w:val="21"/>
          <w:sz w:val="24"/>
          <w:szCs w:val="24"/>
        </w:rPr>
        <w:t>址</w:t>
      </w:r>
      <w:r>
        <w:rPr>
          <w:rFonts w:hint="eastAsia" w:ascii="宋体" w:hAnsi="宋体" w:eastAsia="宋体" w:cs="宋体"/>
          <w:b w:val="0"/>
          <w:bCs w:val="0"/>
          <w:color w:val="auto"/>
          <w:spacing w:val="21"/>
          <w:sz w:val="24"/>
          <w:szCs w:val="24"/>
          <w:lang w:eastAsia="zh-CN"/>
        </w:rPr>
        <w:t>：</w:t>
      </w:r>
      <w:r>
        <w:rPr>
          <w:rFonts w:hint="eastAsia" w:ascii="宋体" w:hAnsi="宋体" w:eastAsia="宋体" w:cs="宋体"/>
          <w:b w:val="0"/>
          <w:bCs w:val="0"/>
          <w:color w:val="auto"/>
          <w:kern w:val="0"/>
          <w:sz w:val="24"/>
          <w:szCs w:val="24"/>
          <w:highlight w:val="none"/>
          <w:u w:val="single"/>
          <w:lang w:eastAsia="zh-CN"/>
        </w:rPr>
        <w:t>南宁市青秀区佛子岭路16号</w:t>
      </w:r>
      <w:r>
        <w:rPr>
          <w:rFonts w:hint="eastAsia" w:ascii="宋体" w:hAnsi="宋体" w:eastAsia="宋体" w:cs="宋体"/>
          <w:b w:val="0"/>
          <w:bCs w:val="0"/>
          <w:color w:val="auto"/>
          <w:kern w:val="0"/>
          <w:sz w:val="24"/>
          <w:szCs w:val="24"/>
        </w:rPr>
        <w:t xml:space="preserve">   </w:t>
      </w:r>
      <w:r>
        <w:rPr>
          <w:rFonts w:hint="eastAsia" w:ascii="宋体" w:hAnsi="宋体" w:eastAsia="宋体" w:cs="宋体"/>
          <w:b w:val="0"/>
          <w:bCs w:val="0"/>
          <w:color w:val="auto"/>
          <w:kern w:val="0"/>
          <w:sz w:val="24"/>
          <w:szCs w:val="24"/>
          <w:lang w:val="en"/>
        </w:rPr>
        <w:t xml:space="preserve">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b w:val="0"/>
          <w:bCs w:val="0"/>
          <w:color w:val="auto"/>
          <w:sz w:val="24"/>
          <w:szCs w:val="24"/>
          <w:lang w:val="en-US"/>
        </w:rPr>
      </w:pPr>
      <w:r>
        <w:rPr>
          <w:rFonts w:hint="eastAsia" w:ascii="宋体" w:hAnsi="宋体" w:eastAsia="宋体" w:cs="宋体"/>
          <w:b w:val="0"/>
          <w:bCs w:val="0"/>
          <w:color w:val="auto"/>
          <w:spacing w:val="21"/>
          <w:sz w:val="24"/>
          <w:szCs w:val="24"/>
        </w:rPr>
        <w:t>电</w:t>
      </w:r>
      <w:r>
        <w:rPr>
          <w:rFonts w:hint="eastAsia" w:ascii="宋体" w:hAnsi="宋体" w:eastAsia="宋体" w:cs="宋体"/>
          <w:b w:val="0"/>
          <w:bCs w:val="0"/>
          <w:color w:val="auto"/>
          <w:spacing w:val="21"/>
          <w:sz w:val="24"/>
          <w:szCs w:val="24"/>
          <w:lang w:val="en" w:eastAsia="zh-CN"/>
        </w:rPr>
        <w:t xml:space="preserve"> </w:t>
      </w:r>
      <w:r>
        <w:rPr>
          <w:rFonts w:hint="eastAsia" w:ascii="宋体" w:hAnsi="宋体" w:eastAsia="宋体" w:cs="宋体"/>
          <w:b w:val="0"/>
          <w:bCs w:val="0"/>
          <w:color w:val="auto"/>
          <w:spacing w:val="21"/>
          <w:sz w:val="24"/>
          <w:szCs w:val="24"/>
        </w:rPr>
        <w:t>话：</w:t>
      </w:r>
      <w:r>
        <w:rPr>
          <w:rFonts w:hint="eastAsia" w:ascii="宋体" w:hAnsi="宋体" w:eastAsia="宋体" w:cs="宋体"/>
          <w:b w:val="0"/>
          <w:bCs w:val="0"/>
          <w:color w:val="auto"/>
          <w:spacing w:val="0"/>
          <w:kern w:val="0"/>
          <w:sz w:val="24"/>
          <w:szCs w:val="24"/>
          <w:highlight w:val="none"/>
          <w:u w:val="single"/>
          <w:lang w:val="en-US" w:eastAsia="zh-CN"/>
        </w:rPr>
        <w:t xml:space="preserve">   </w:t>
      </w:r>
      <w:r>
        <w:rPr>
          <w:rFonts w:hint="eastAsia" w:ascii="宋体" w:hAnsi="宋体" w:eastAsia="宋体" w:cs="宋体"/>
          <w:b w:val="0"/>
          <w:bCs w:val="0"/>
          <w:color w:val="auto"/>
          <w:spacing w:val="0"/>
          <w:kern w:val="0"/>
          <w:sz w:val="24"/>
          <w:szCs w:val="24"/>
          <w:highlight w:val="none"/>
          <w:u w:val="single"/>
          <w:lang w:val="en" w:eastAsia="zh-CN"/>
        </w:rPr>
        <w:t xml:space="preserve">       </w:t>
      </w:r>
      <w:r>
        <w:rPr>
          <w:rFonts w:hint="eastAsia" w:ascii="宋体" w:hAnsi="宋体" w:eastAsia="宋体" w:cs="宋体"/>
          <w:b w:val="0"/>
          <w:bCs w:val="0"/>
          <w:color w:val="auto"/>
          <w:spacing w:val="0"/>
          <w:kern w:val="0"/>
          <w:sz w:val="24"/>
          <w:szCs w:val="24"/>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spacing w:val="21"/>
          <w:sz w:val="24"/>
          <w:szCs w:val="24"/>
        </w:rPr>
        <w:t>电</w:t>
      </w:r>
      <w:r>
        <w:rPr>
          <w:rFonts w:hint="eastAsia" w:ascii="宋体" w:hAnsi="宋体" w:eastAsia="宋体" w:cs="宋体"/>
          <w:b w:val="0"/>
          <w:bCs w:val="0"/>
          <w:color w:val="auto"/>
          <w:spacing w:val="21"/>
          <w:sz w:val="24"/>
          <w:szCs w:val="24"/>
          <w:lang w:val="en" w:eastAsia="zh-CN"/>
        </w:rPr>
        <w:t xml:space="preserve"> </w:t>
      </w:r>
      <w:r>
        <w:rPr>
          <w:rFonts w:hint="eastAsia" w:ascii="宋体" w:hAnsi="宋体" w:eastAsia="宋体" w:cs="宋体"/>
          <w:b w:val="0"/>
          <w:bCs w:val="0"/>
          <w:color w:val="auto"/>
          <w:spacing w:val="21"/>
          <w:sz w:val="24"/>
          <w:szCs w:val="24"/>
        </w:rPr>
        <w:t>子</w:t>
      </w:r>
      <w:r>
        <w:rPr>
          <w:rFonts w:hint="eastAsia" w:ascii="宋体" w:hAnsi="宋体" w:eastAsia="宋体" w:cs="宋体"/>
          <w:b w:val="0"/>
          <w:bCs w:val="0"/>
          <w:color w:val="auto"/>
          <w:spacing w:val="21"/>
          <w:sz w:val="24"/>
          <w:szCs w:val="24"/>
          <w:lang w:val="en" w:eastAsia="zh-CN"/>
        </w:rPr>
        <w:t xml:space="preserve"> </w:t>
      </w:r>
      <w:r>
        <w:rPr>
          <w:rFonts w:hint="eastAsia" w:ascii="宋体" w:hAnsi="宋体" w:eastAsia="宋体" w:cs="宋体"/>
          <w:b w:val="0"/>
          <w:bCs w:val="0"/>
          <w:color w:val="auto"/>
          <w:spacing w:val="21"/>
          <w:sz w:val="24"/>
          <w:szCs w:val="24"/>
        </w:rPr>
        <w:t>邮</w:t>
      </w:r>
      <w:r>
        <w:rPr>
          <w:rFonts w:hint="eastAsia" w:ascii="宋体" w:hAnsi="宋体" w:eastAsia="宋体" w:cs="宋体"/>
          <w:b w:val="0"/>
          <w:bCs w:val="0"/>
          <w:color w:val="auto"/>
          <w:spacing w:val="21"/>
          <w:sz w:val="24"/>
          <w:szCs w:val="24"/>
          <w:lang w:val="en" w:eastAsia="zh-CN"/>
        </w:rPr>
        <w:t xml:space="preserve"> </w:t>
      </w:r>
      <w:r>
        <w:rPr>
          <w:rFonts w:hint="eastAsia" w:ascii="宋体" w:hAnsi="宋体" w:eastAsia="宋体" w:cs="宋体"/>
          <w:b w:val="0"/>
          <w:bCs w:val="0"/>
          <w:color w:val="auto"/>
          <w:spacing w:val="21"/>
          <w:sz w:val="24"/>
          <w:szCs w:val="24"/>
        </w:rPr>
        <w:t>箱：</w:t>
      </w:r>
      <w:r>
        <w:rPr>
          <w:rFonts w:hint="eastAsia" w:ascii="宋体" w:hAnsi="宋体" w:eastAsia="宋体" w:cs="宋体"/>
          <w:b w:val="0"/>
          <w:bCs w:val="0"/>
          <w:color w:val="auto"/>
          <w:spacing w:val="0"/>
          <w:kern w:val="0"/>
          <w:sz w:val="24"/>
          <w:szCs w:val="24"/>
          <w:highlight w:val="none"/>
          <w:u w:val="single"/>
          <w:lang w:eastAsia="zh-CN"/>
        </w:rPr>
        <w:t xml:space="preserve"> </w:t>
      </w:r>
      <w:r>
        <w:rPr>
          <w:rFonts w:hint="eastAsia" w:ascii="宋体" w:hAnsi="宋体" w:eastAsia="宋体" w:cs="宋体"/>
          <w:b w:val="0"/>
          <w:bCs w:val="0"/>
          <w:color w:val="auto"/>
          <w:kern w:val="0"/>
          <w:sz w:val="24"/>
          <w:szCs w:val="24"/>
          <w:u w:val="single"/>
        </w:rPr>
        <w:t xml:space="preserve">  </w:t>
      </w:r>
      <w:r>
        <w:rPr>
          <w:rFonts w:hint="eastAsia" w:ascii="宋体" w:hAnsi="宋体" w:eastAsia="宋体" w:cs="宋体"/>
          <w:b w:val="0"/>
          <w:bCs w:val="0"/>
          <w:color w:val="auto"/>
          <w:kern w:val="0"/>
          <w:sz w:val="24"/>
          <w:szCs w:val="24"/>
          <w:u w:val="single"/>
          <w:lang w:val="en"/>
        </w:rPr>
        <w:t xml:space="preserve">     </w:t>
      </w:r>
      <w:r>
        <w:rPr>
          <w:rFonts w:hint="eastAsia" w:ascii="宋体" w:hAnsi="宋体" w:eastAsia="宋体" w:cs="宋体"/>
          <w:b w:val="0"/>
          <w:bCs w:val="0"/>
          <w:color w:val="auto"/>
          <w:kern w:val="0"/>
          <w:sz w:val="24"/>
          <w:szCs w:val="24"/>
          <w:lang w:val="en"/>
        </w:rPr>
        <w:t xml:space="preserve"> </w:t>
      </w:r>
      <w:r>
        <w:rPr>
          <w:rFonts w:hint="eastAsia" w:ascii="宋体" w:hAnsi="宋体" w:eastAsia="宋体" w:cs="宋体"/>
          <w:b w:val="0"/>
          <w:bCs w:val="0"/>
          <w:color w:val="auto"/>
          <w:kern w:val="0"/>
          <w:sz w:val="24"/>
          <w:szCs w:val="24"/>
        </w:rPr>
        <w:t xml:space="preserve">        </w:t>
      </w:r>
      <w:r>
        <w:rPr>
          <w:rFonts w:hint="eastAsia" w:ascii="宋体" w:hAnsi="宋体" w:eastAsia="宋体" w:cs="宋体"/>
          <w:b w:val="0"/>
          <w:bCs w:val="0"/>
          <w:color w:val="auto"/>
          <w:kern w:val="0"/>
          <w:sz w:val="24"/>
          <w:szCs w:val="24"/>
          <w:lang w:val="en"/>
        </w:rPr>
        <w:t xml:space="preserve"> </w:t>
      </w:r>
      <w:r>
        <w:rPr>
          <w:rFonts w:hint="eastAsia" w:ascii="宋体" w:hAnsi="宋体" w:eastAsia="宋体" w:cs="宋体"/>
          <w:b w:val="0"/>
          <w:bCs w:val="0"/>
          <w:color w:val="auto"/>
          <w:kern w:val="0"/>
          <w:sz w:val="24"/>
          <w:szCs w:val="24"/>
        </w:rPr>
        <w:t xml:space="preserve"> </w:t>
      </w:r>
      <w:r>
        <w:rPr>
          <w:rFonts w:hint="eastAsia" w:ascii="宋体" w:hAnsi="宋体" w:eastAsia="宋体" w:cs="宋体"/>
          <w:b w:val="0"/>
          <w:bCs w:val="0"/>
          <w:color w:val="auto"/>
          <w:kern w:val="0"/>
          <w:sz w:val="24"/>
          <w:szCs w:val="24"/>
          <w:lang w:val="en"/>
        </w:rPr>
        <w:t xml:space="preserve"> </w:t>
      </w:r>
    </w:p>
    <w:p>
      <w:pPr>
        <w:pStyle w:val="43"/>
        <w:numPr>
          <w:ilvl w:val="1"/>
          <w:numId w:val="0"/>
        </w:num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p>
      <w:pPr>
        <w:keepNext w:val="0"/>
        <w:keepLines w:val="0"/>
        <w:pageBreakBefore w:val="0"/>
        <w:widowControl/>
        <w:kinsoku/>
        <w:wordWrap/>
        <w:overflowPunct/>
        <w:topLinePunct w:val="0"/>
        <w:autoSpaceDE w:val="0"/>
        <w:autoSpaceDN w:val="0"/>
        <w:bidi w:val="0"/>
        <w:adjustRightInd w:val="0"/>
        <w:snapToGrid/>
        <w:spacing w:line="360" w:lineRule="auto"/>
        <w:textAlignment w:val="auto"/>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乙方（供应商）：</w:t>
      </w:r>
      <w:r>
        <w:rPr>
          <w:rFonts w:hint="eastAsia" w:ascii="宋体" w:hAnsi="宋体" w:eastAsia="宋体" w:cs="宋体"/>
          <w:b w:val="0"/>
          <w:bCs w:val="0"/>
          <w:color w:val="auto"/>
          <w:kern w:val="0"/>
          <w:sz w:val="24"/>
          <w:szCs w:val="24"/>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住</w:t>
      </w:r>
      <w:r>
        <w:rPr>
          <w:rFonts w:hint="eastAsia" w:ascii="宋体" w:hAnsi="宋体" w:eastAsia="宋体" w:cs="宋体"/>
          <w:b w:val="0"/>
          <w:bCs w:val="0"/>
          <w:color w:val="auto"/>
          <w:kern w:val="0"/>
          <w:sz w:val="24"/>
          <w:szCs w:val="24"/>
          <w:lang w:val="en" w:eastAsia="zh-CN"/>
        </w:rPr>
        <w:t xml:space="preserve"> </w:t>
      </w:r>
      <w:r>
        <w:rPr>
          <w:rFonts w:hint="eastAsia" w:ascii="宋体" w:hAnsi="宋体" w:eastAsia="宋体" w:cs="宋体"/>
          <w:b w:val="0"/>
          <w:bCs w:val="0"/>
          <w:color w:val="auto"/>
          <w:kern w:val="0"/>
          <w:sz w:val="24"/>
          <w:szCs w:val="24"/>
        </w:rPr>
        <w:t>所</w:t>
      </w:r>
      <w:r>
        <w:rPr>
          <w:rFonts w:hint="eastAsia" w:ascii="宋体" w:hAnsi="宋体" w:eastAsia="宋体" w:cs="宋体"/>
          <w:b w:val="0"/>
          <w:bCs w:val="0"/>
          <w:color w:val="auto"/>
          <w:kern w:val="0"/>
          <w:sz w:val="24"/>
          <w:szCs w:val="24"/>
          <w:lang w:val="en" w:eastAsia="zh-CN"/>
        </w:rPr>
        <w:t xml:space="preserve"> </w:t>
      </w:r>
      <w:r>
        <w:rPr>
          <w:rFonts w:hint="eastAsia" w:ascii="宋体" w:hAnsi="宋体" w:eastAsia="宋体" w:cs="宋体"/>
          <w:b w:val="0"/>
          <w:bCs w:val="0"/>
          <w:color w:val="auto"/>
          <w:kern w:val="0"/>
          <w:sz w:val="24"/>
          <w:szCs w:val="24"/>
        </w:rPr>
        <w:t>地：</w:t>
      </w:r>
      <w:r>
        <w:rPr>
          <w:rFonts w:hint="eastAsia" w:ascii="宋体" w:hAnsi="宋体" w:eastAsia="宋体" w:cs="宋体"/>
          <w:b w:val="0"/>
          <w:bCs w:val="0"/>
          <w:color w:val="auto"/>
          <w:sz w:val="24"/>
          <w:szCs w:val="24"/>
          <w:highlight w:val="none"/>
          <w:u w:val="single"/>
          <w:lang w:val="en-US" w:eastAsia="zh-CN"/>
        </w:rPr>
        <w:t xml:space="preserve">                       </w:t>
      </w:r>
      <w:r>
        <w:rPr>
          <w:rFonts w:hint="eastAsia" w:ascii="宋体" w:hAnsi="宋体" w:eastAsia="宋体" w:cs="宋体"/>
          <w:b w:val="0"/>
          <w:bCs w:val="0"/>
          <w:color w:val="auto"/>
          <w:kern w:val="0"/>
          <w:sz w:val="24"/>
          <w:szCs w:val="24"/>
        </w:rPr>
        <w:t xml:space="preserve">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法 定 代 表 人：</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lang w:val="en"/>
        </w:rPr>
        <w:t xml:space="preserve">    </w:t>
      </w:r>
      <w:r>
        <w:rPr>
          <w:rFonts w:hint="eastAsia" w:ascii="宋体" w:hAnsi="宋体" w:eastAsia="宋体" w:cs="宋体"/>
          <w:b w:val="0"/>
          <w:bCs w:val="0"/>
          <w:color w:val="auto"/>
          <w:kern w:val="0"/>
          <w:sz w:val="24"/>
          <w:szCs w:val="24"/>
          <w:lang w:val="en"/>
        </w:rPr>
        <w:t xml:space="preserve">           </w:t>
      </w:r>
      <w:r>
        <w:rPr>
          <w:rFonts w:hint="eastAsia" w:ascii="宋体" w:hAnsi="宋体" w:eastAsia="宋体" w:cs="宋体"/>
          <w:b w:val="0"/>
          <w:bCs w:val="0"/>
          <w:color w:val="auto"/>
          <w:kern w:val="0"/>
          <w:sz w:val="24"/>
          <w:szCs w:val="24"/>
        </w:rPr>
        <w:t xml:space="preserve">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b w:val="0"/>
          <w:bCs w:val="0"/>
          <w:color w:val="auto"/>
          <w:kern w:val="0"/>
          <w:sz w:val="24"/>
          <w:szCs w:val="24"/>
          <w:u w:val="single"/>
          <w:lang w:val="en-US"/>
        </w:rPr>
      </w:pPr>
      <w:r>
        <w:rPr>
          <w:rFonts w:hint="eastAsia" w:ascii="宋体" w:hAnsi="宋体" w:eastAsia="宋体" w:cs="宋体"/>
          <w:b w:val="0"/>
          <w:bCs w:val="0"/>
          <w:color w:val="auto"/>
          <w:spacing w:val="21"/>
          <w:sz w:val="24"/>
          <w:szCs w:val="24"/>
        </w:rPr>
        <w:t>通</w:t>
      </w:r>
      <w:r>
        <w:rPr>
          <w:rFonts w:hint="eastAsia" w:ascii="宋体" w:hAnsi="宋体" w:eastAsia="宋体" w:cs="宋体"/>
          <w:b w:val="0"/>
          <w:bCs w:val="0"/>
          <w:color w:val="auto"/>
          <w:spacing w:val="21"/>
          <w:sz w:val="24"/>
          <w:szCs w:val="24"/>
          <w:lang w:val="en" w:eastAsia="zh-CN"/>
        </w:rPr>
        <w:t xml:space="preserve"> </w:t>
      </w:r>
      <w:r>
        <w:rPr>
          <w:rFonts w:hint="eastAsia" w:ascii="宋体" w:hAnsi="宋体" w:eastAsia="宋体" w:cs="宋体"/>
          <w:b w:val="0"/>
          <w:bCs w:val="0"/>
          <w:color w:val="auto"/>
          <w:spacing w:val="21"/>
          <w:sz w:val="24"/>
          <w:szCs w:val="24"/>
        </w:rPr>
        <w:t>讯</w:t>
      </w:r>
      <w:r>
        <w:rPr>
          <w:rFonts w:hint="eastAsia" w:ascii="宋体" w:hAnsi="宋体" w:eastAsia="宋体" w:cs="宋体"/>
          <w:b w:val="0"/>
          <w:bCs w:val="0"/>
          <w:color w:val="auto"/>
          <w:spacing w:val="21"/>
          <w:sz w:val="24"/>
          <w:szCs w:val="24"/>
          <w:lang w:val="en" w:eastAsia="zh-CN"/>
        </w:rPr>
        <w:t xml:space="preserve"> </w:t>
      </w:r>
      <w:r>
        <w:rPr>
          <w:rFonts w:hint="eastAsia" w:ascii="宋体" w:hAnsi="宋体" w:eastAsia="宋体" w:cs="宋体"/>
          <w:b w:val="0"/>
          <w:bCs w:val="0"/>
          <w:color w:val="auto"/>
          <w:spacing w:val="21"/>
          <w:sz w:val="24"/>
          <w:szCs w:val="24"/>
        </w:rPr>
        <w:t>地</w:t>
      </w:r>
      <w:r>
        <w:rPr>
          <w:rFonts w:hint="eastAsia" w:ascii="宋体" w:hAnsi="宋体" w:eastAsia="宋体" w:cs="宋体"/>
          <w:b w:val="0"/>
          <w:bCs w:val="0"/>
          <w:color w:val="auto"/>
          <w:spacing w:val="21"/>
          <w:sz w:val="24"/>
          <w:szCs w:val="24"/>
          <w:lang w:val="en" w:eastAsia="zh-CN"/>
        </w:rPr>
        <w:t xml:space="preserve"> </w:t>
      </w:r>
      <w:r>
        <w:rPr>
          <w:rFonts w:hint="eastAsia" w:ascii="宋体" w:hAnsi="宋体" w:eastAsia="宋体" w:cs="宋体"/>
          <w:b w:val="0"/>
          <w:bCs w:val="0"/>
          <w:color w:val="auto"/>
          <w:spacing w:val="21"/>
          <w:sz w:val="24"/>
          <w:szCs w:val="24"/>
        </w:rPr>
        <w:t>址：</w:t>
      </w:r>
      <w:r>
        <w:rPr>
          <w:rFonts w:hint="eastAsia" w:ascii="宋体" w:hAnsi="宋体" w:eastAsia="宋体" w:cs="宋体"/>
          <w:b w:val="0"/>
          <w:bCs w:val="0"/>
          <w:color w:val="auto"/>
          <w:sz w:val="24"/>
          <w:szCs w:val="24"/>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pacing w:val="21"/>
          <w:sz w:val="24"/>
          <w:szCs w:val="24"/>
        </w:rPr>
        <w:t>电 话：</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lang w:val="en"/>
        </w:rPr>
        <w:t xml:space="preserve">   </w:t>
      </w:r>
      <w:r>
        <w:rPr>
          <w:rFonts w:hint="eastAsia" w:ascii="宋体" w:hAnsi="宋体" w:eastAsia="宋体" w:cs="宋体"/>
          <w:b w:val="0"/>
          <w:bCs w:val="0"/>
          <w:color w:val="auto"/>
          <w:kern w:val="0"/>
          <w:sz w:val="24"/>
          <w:szCs w:val="24"/>
          <w:highlight w:val="none"/>
          <w:lang w:val="en"/>
        </w:rPr>
        <w:t xml:space="preserve">   </w:t>
      </w:r>
      <w:r>
        <w:rPr>
          <w:rFonts w:hint="eastAsia" w:ascii="宋体" w:hAnsi="宋体" w:eastAsia="宋体" w:cs="宋体"/>
          <w:b w:val="0"/>
          <w:bCs w:val="0"/>
          <w:color w:val="auto"/>
          <w:kern w:val="0"/>
          <w:sz w:val="24"/>
          <w:szCs w:val="24"/>
          <w:lang w:val="en"/>
        </w:rPr>
        <w:t xml:space="preserve">             </w:t>
      </w:r>
      <w:r>
        <w:rPr>
          <w:rFonts w:hint="eastAsia" w:ascii="宋体" w:hAnsi="宋体" w:eastAsia="宋体" w:cs="宋体"/>
          <w:b w:val="0"/>
          <w:bCs w:val="0"/>
          <w:color w:val="auto"/>
          <w:kern w:val="0"/>
          <w:sz w:val="24"/>
          <w:szCs w:val="24"/>
        </w:rPr>
        <w:t xml:space="preserve">       </w:t>
      </w:r>
    </w:p>
    <w:p>
      <w:pPr>
        <w:spacing w:line="360" w:lineRule="auto"/>
        <w:rPr>
          <w:rFonts w:hint="eastAsia" w:ascii="宋体" w:hAnsi="宋体" w:eastAsia="宋体" w:cs="宋体"/>
          <w:sz w:val="24"/>
          <w:szCs w:val="24"/>
        </w:rPr>
      </w:pPr>
      <w:r>
        <w:rPr>
          <w:rFonts w:hint="eastAsia" w:ascii="宋体" w:hAnsi="宋体" w:eastAsia="宋体" w:cs="宋体"/>
          <w:b w:val="0"/>
          <w:bCs w:val="0"/>
          <w:color w:val="auto"/>
          <w:spacing w:val="21"/>
          <w:sz w:val="24"/>
          <w:szCs w:val="24"/>
        </w:rPr>
        <w:t>电</w:t>
      </w:r>
      <w:r>
        <w:rPr>
          <w:rFonts w:hint="eastAsia" w:ascii="宋体" w:hAnsi="宋体" w:eastAsia="宋体" w:cs="宋体"/>
          <w:b w:val="0"/>
          <w:bCs w:val="0"/>
          <w:color w:val="auto"/>
          <w:spacing w:val="21"/>
          <w:sz w:val="24"/>
          <w:szCs w:val="24"/>
          <w:lang w:val="en"/>
        </w:rPr>
        <w:t xml:space="preserve"> </w:t>
      </w:r>
      <w:r>
        <w:rPr>
          <w:rFonts w:hint="eastAsia" w:ascii="宋体" w:hAnsi="宋体" w:eastAsia="宋体" w:cs="宋体"/>
          <w:b w:val="0"/>
          <w:bCs w:val="0"/>
          <w:color w:val="auto"/>
          <w:spacing w:val="21"/>
          <w:sz w:val="24"/>
          <w:szCs w:val="24"/>
        </w:rPr>
        <w:t>子</w:t>
      </w:r>
      <w:r>
        <w:rPr>
          <w:rFonts w:hint="eastAsia" w:ascii="宋体" w:hAnsi="宋体" w:eastAsia="宋体" w:cs="宋体"/>
          <w:b w:val="0"/>
          <w:bCs w:val="0"/>
          <w:color w:val="auto"/>
          <w:spacing w:val="21"/>
          <w:sz w:val="24"/>
          <w:szCs w:val="24"/>
          <w:lang w:val="en"/>
        </w:rPr>
        <w:t xml:space="preserve"> </w:t>
      </w:r>
      <w:r>
        <w:rPr>
          <w:rFonts w:hint="eastAsia" w:ascii="宋体" w:hAnsi="宋体" w:eastAsia="宋体" w:cs="宋体"/>
          <w:b w:val="0"/>
          <w:bCs w:val="0"/>
          <w:color w:val="auto"/>
          <w:spacing w:val="21"/>
          <w:sz w:val="24"/>
          <w:szCs w:val="24"/>
        </w:rPr>
        <w:t>邮</w:t>
      </w:r>
      <w:r>
        <w:rPr>
          <w:rFonts w:hint="eastAsia" w:ascii="宋体" w:hAnsi="宋体" w:eastAsia="宋体" w:cs="宋体"/>
          <w:b w:val="0"/>
          <w:bCs w:val="0"/>
          <w:color w:val="auto"/>
          <w:spacing w:val="21"/>
          <w:sz w:val="24"/>
          <w:szCs w:val="24"/>
          <w:lang w:val="en"/>
        </w:rPr>
        <w:t xml:space="preserve"> </w:t>
      </w:r>
      <w:r>
        <w:rPr>
          <w:rFonts w:hint="eastAsia" w:ascii="宋体" w:hAnsi="宋体" w:eastAsia="宋体" w:cs="宋体"/>
          <w:b w:val="0"/>
          <w:bCs w:val="0"/>
          <w:color w:val="auto"/>
          <w:spacing w:val="21"/>
          <w:sz w:val="24"/>
          <w:szCs w:val="24"/>
        </w:rPr>
        <w:t>箱：</w:t>
      </w:r>
      <w:r>
        <w:rPr>
          <w:rFonts w:hint="eastAsia" w:ascii="宋体" w:hAnsi="宋体" w:eastAsia="宋体" w:cs="宋体"/>
          <w:b w:val="0"/>
          <w:bCs w:val="0"/>
          <w:color w:val="auto"/>
          <w:spacing w:val="21"/>
          <w:sz w:val="24"/>
          <w:szCs w:val="24"/>
          <w:lang w:val="en"/>
        </w:rPr>
        <w:t xml:space="preserve"> </w:t>
      </w:r>
      <w:r>
        <w:rPr>
          <w:rFonts w:hint="eastAsia" w:ascii="宋体" w:hAnsi="宋体" w:eastAsia="宋体" w:cs="宋体"/>
          <w:b w:val="0"/>
          <w:bCs w:val="0"/>
          <w:color w:val="auto"/>
          <w:spacing w:val="21"/>
          <w:sz w:val="24"/>
          <w:szCs w:val="24"/>
          <w:u w:val="single"/>
          <w:lang w:val="en"/>
        </w:rPr>
        <w:t xml:space="preserve"> </w:t>
      </w:r>
      <w:r>
        <w:rPr>
          <w:rFonts w:hint="eastAsia" w:ascii="宋体" w:hAnsi="宋体" w:eastAsia="宋体" w:cs="宋体"/>
          <w:b w:val="0"/>
          <w:bCs w:val="0"/>
          <w:color w:val="auto"/>
          <w:spacing w:val="21"/>
          <w:sz w:val="24"/>
          <w:szCs w:val="24"/>
          <w:u w:val="single"/>
          <w:lang w:val="en-US" w:eastAsia="zh-CN"/>
        </w:rPr>
        <w:t xml:space="preserve">         </w:t>
      </w:r>
      <w:r>
        <w:rPr>
          <w:rFonts w:hint="eastAsia" w:ascii="宋体" w:hAnsi="宋体" w:eastAsia="宋体" w:cs="宋体"/>
          <w:b w:val="0"/>
          <w:bCs w:val="0"/>
          <w:color w:val="auto"/>
          <w:spacing w:val="21"/>
          <w:sz w:val="24"/>
          <w:szCs w:val="24"/>
          <w:highlight w:val="none"/>
          <w:u w:val="single"/>
          <w:lang w:val="en"/>
        </w:rPr>
        <w:t xml:space="preserve">   </w:t>
      </w:r>
    </w:p>
    <w:p>
      <w:pPr>
        <w:pStyle w:val="15"/>
        <w:spacing w:line="360" w:lineRule="auto"/>
        <w:ind w:firstLine="482" w:firstLineChars="200"/>
        <w:rPr>
          <w:rFonts w:hint="eastAsia" w:ascii="宋体" w:hAnsi="宋体" w:eastAsia="宋体" w:cs="宋体"/>
          <w:sz w:val="24"/>
          <w:szCs w:val="24"/>
        </w:rPr>
      </w:pPr>
      <w:r>
        <w:rPr>
          <w:rFonts w:hint="eastAsia" w:ascii="宋体" w:hAnsi="宋体" w:eastAsia="宋体" w:cs="宋体"/>
          <w:b/>
          <w:sz w:val="24"/>
          <w:szCs w:val="24"/>
        </w:rPr>
        <w:br w:type="page"/>
      </w:r>
    </w:p>
    <w:p>
      <w:pPr>
        <w:pStyle w:val="15"/>
        <w:spacing w:line="720" w:lineRule="auto"/>
        <w:ind w:right="420"/>
        <w:jc w:val="center"/>
        <w:rPr>
          <w:rFonts w:hint="eastAsia" w:hAnsi="宋体" w:cs="宋体"/>
          <w:b/>
          <w:bCs/>
          <w:sz w:val="32"/>
          <w:szCs w:val="32"/>
        </w:rPr>
      </w:pPr>
      <w:r>
        <w:rPr>
          <w:rFonts w:hint="eastAsia" w:hAnsi="宋体" w:cs="宋体"/>
          <w:b/>
          <w:bCs/>
          <w:sz w:val="32"/>
          <w:szCs w:val="32"/>
          <w:lang w:val="en-US" w:eastAsia="zh-CN"/>
        </w:rPr>
        <w:t xml:space="preserve">   </w:t>
      </w:r>
      <w:r>
        <w:rPr>
          <w:rFonts w:hint="eastAsia" w:hAnsi="宋体" w:cs="宋体"/>
          <w:b/>
          <w:bCs/>
          <w:sz w:val="32"/>
          <w:szCs w:val="32"/>
          <w:lang w:eastAsia="zh-CN"/>
        </w:rPr>
        <w:t>一、</w:t>
      </w:r>
      <w:r>
        <w:rPr>
          <w:rFonts w:hint="eastAsia" w:hAnsi="宋体" w:cs="宋体"/>
          <w:b/>
          <w:bCs/>
          <w:sz w:val="32"/>
          <w:szCs w:val="32"/>
        </w:rPr>
        <w:t>采购</w:t>
      </w:r>
      <w:r>
        <w:rPr>
          <w:rFonts w:hint="eastAsia" w:hAnsi="宋体" w:cs="宋体"/>
          <w:b/>
          <w:bCs/>
          <w:sz w:val="32"/>
          <w:szCs w:val="32"/>
          <w:lang w:eastAsia="zh-CN"/>
        </w:rPr>
        <w:t>技术服务</w:t>
      </w:r>
      <w:r>
        <w:rPr>
          <w:rFonts w:hint="eastAsia" w:hAnsi="宋体" w:cs="宋体"/>
          <w:b/>
          <w:bCs/>
          <w:sz w:val="32"/>
          <w:szCs w:val="32"/>
        </w:rPr>
        <w:t>合同</w:t>
      </w:r>
    </w:p>
    <w:p>
      <w:pPr>
        <w:widowControl w:val="0"/>
        <w:spacing w:line="360" w:lineRule="auto"/>
        <w:rPr>
          <w:rFonts w:hint="eastAsia" w:ascii="宋体" w:hAnsi="宋体" w:cs="宋体"/>
          <w:color w:val="auto"/>
          <w:kern w:val="0"/>
          <w:sz w:val="24"/>
          <w:szCs w:val="24"/>
          <w:highlight w:val="none"/>
          <w:lang w:eastAsia="zh-CN"/>
        </w:rPr>
      </w:pPr>
    </w:p>
    <w:p>
      <w:pPr>
        <w:widowControl w:val="0"/>
        <w:spacing w:line="360" w:lineRule="auto"/>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eastAsia="zh-CN"/>
        </w:rPr>
        <w:t>合同编号：</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lang w:val="en-US" w:eastAsia="zh-CN"/>
        </w:rPr>
        <w:t xml:space="preserve">    </w:t>
      </w:r>
    </w:p>
    <w:p>
      <w:pPr>
        <w:widowControl w:val="0"/>
        <w:spacing w:line="360" w:lineRule="auto"/>
        <w:ind w:firstLine="480" w:firstLineChars="200"/>
        <w:rPr>
          <w:rFonts w:hint="default" w:ascii="宋体" w:hAnsi="宋体" w:eastAsia="宋体" w:cs="宋体"/>
          <w:color w:val="auto"/>
          <w:kern w:val="0"/>
          <w:sz w:val="24"/>
          <w:szCs w:val="24"/>
          <w:highlight w:val="none"/>
          <w:u w:val="single"/>
          <w:lang w:val="en-US" w:eastAsia="zh-CN"/>
        </w:rPr>
      </w:pPr>
      <w:r>
        <w:rPr>
          <w:rFonts w:hint="eastAsia" w:ascii="宋体" w:hAnsi="宋体" w:eastAsia="宋体" w:cs="宋体"/>
          <w:color w:val="auto"/>
          <w:kern w:val="0"/>
          <w:sz w:val="24"/>
          <w:szCs w:val="24"/>
          <w:highlight w:val="none"/>
        </w:rPr>
        <w:t>甲方（采购人）：</w:t>
      </w:r>
      <w:r>
        <w:rPr>
          <w:rFonts w:hint="eastAsia" w:ascii="宋体" w:hAnsi="宋体" w:cs="宋体"/>
          <w:color w:val="auto"/>
          <w:kern w:val="0"/>
          <w:sz w:val="24"/>
          <w:szCs w:val="24"/>
          <w:highlight w:val="none"/>
          <w:u w:val="single"/>
          <w:lang w:val="en-US" w:eastAsia="zh-CN"/>
        </w:rPr>
        <w:t xml:space="preserve">           </w:t>
      </w:r>
    </w:p>
    <w:p>
      <w:pPr>
        <w:widowControl w:val="0"/>
        <w:spacing w:line="360" w:lineRule="auto"/>
        <w:ind w:firstLine="480" w:firstLineChars="200"/>
        <w:rPr>
          <w:rFonts w:hint="default" w:ascii="宋体" w:hAnsi="宋体" w:eastAsia="宋体" w:cs="宋体"/>
          <w:color w:val="auto"/>
          <w:kern w:val="0"/>
          <w:sz w:val="24"/>
          <w:szCs w:val="24"/>
          <w:highlight w:val="none"/>
          <w:lang w:val="en-US"/>
        </w:rPr>
      </w:pPr>
      <w:r>
        <w:rPr>
          <w:rFonts w:hint="eastAsia" w:ascii="宋体" w:hAnsi="宋体" w:eastAsia="宋体" w:cs="宋体"/>
          <w:color w:val="auto"/>
          <w:kern w:val="0"/>
          <w:sz w:val="24"/>
          <w:szCs w:val="24"/>
          <w:highlight w:val="none"/>
        </w:rPr>
        <w:t>乙方（供应商）：</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 xml:space="preserve"> </w:t>
      </w:r>
    </w:p>
    <w:p>
      <w:pPr>
        <w:widowControl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项目名称：</w:t>
      </w:r>
      <w:r>
        <w:rPr>
          <w:rFonts w:hint="eastAsia" w:ascii="宋体" w:hAnsi="宋体" w:eastAsia="宋体" w:cs="宋体"/>
          <w:color w:val="auto"/>
          <w:kern w:val="0"/>
          <w:sz w:val="24"/>
          <w:szCs w:val="24"/>
          <w:highlight w:val="none"/>
          <w:u w:val="single"/>
          <w:lang w:val="en-US" w:eastAsia="zh-CN"/>
        </w:rPr>
        <w:t xml:space="preserve">                 </w:t>
      </w:r>
    </w:p>
    <w:p>
      <w:pPr>
        <w:widowControl w:val="0"/>
        <w:spacing w:line="360" w:lineRule="auto"/>
        <w:ind w:firstLine="480" w:firstLineChars="200"/>
        <w:rPr>
          <w:rFonts w:hint="eastAsia" w:ascii="宋体" w:hAnsi="宋体" w:eastAsia="宋体" w:cs="宋体"/>
          <w:color w:val="auto"/>
          <w:kern w:val="0"/>
          <w:sz w:val="24"/>
          <w:szCs w:val="24"/>
          <w:highlight w:val="none"/>
          <w:u w:val="single"/>
          <w:lang w:val="en-US" w:eastAsia="zh-CN"/>
        </w:rPr>
      </w:pPr>
      <w:r>
        <w:rPr>
          <w:rFonts w:hint="eastAsia" w:ascii="宋体" w:hAnsi="宋体" w:eastAsia="宋体" w:cs="宋体"/>
          <w:color w:val="auto"/>
          <w:kern w:val="0"/>
          <w:sz w:val="24"/>
          <w:szCs w:val="24"/>
          <w:highlight w:val="none"/>
        </w:rPr>
        <w:t>项目编号：</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 xml:space="preserve">     </w:t>
      </w:r>
    </w:p>
    <w:p>
      <w:pPr>
        <w:widowControl w:val="0"/>
        <w:spacing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签订地点：</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lang w:val="en-US" w:eastAsia="zh-CN"/>
        </w:rPr>
        <w:t xml:space="preserve">        </w:t>
      </w:r>
    </w:p>
    <w:p>
      <w:pPr>
        <w:widowControl w:val="0"/>
        <w:spacing w:line="360" w:lineRule="auto"/>
        <w:ind w:firstLine="480" w:firstLineChars="200"/>
        <w:rPr>
          <w:rFonts w:hint="eastAsia" w:ascii="宋体" w:hAnsi="宋体" w:eastAsia="宋体" w:cs="宋体"/>
          <w:color w:val="auto"/>
          <w:kern w:val="0"/>
          <w:sz w:val="24"/>
          <w:szCs w:val="24"/>
          <w:highlight w:val="none"/>
          <w:u w:val="single"/>
          <w:lang w:val="en-US" w:eastAsia="zh-CN"/>
        </w:rPr>
      </w:pPr>
      <w:r>
        <w:rPr>
          <w:rFonts w:hint="eastAsia" w:ascii="宋体" w:hAnsi="宋体" w:eastAsia="宋体" w:cs="宋体"/>
          <w:color w:val="auto"/>
          <w:kern w:val="0"/>
          <w:sz w:val="24"/>
          <w:szCs w:val="24"/>
          <w:highlight w:val="none"/>
        </w:rPr>
        <w:t>签订时间：</w:t>
      </w:r>
      <w:r>
        <w:rPr>
          <w:rFonts w:hint="eastAsia" w:ascii="宋体" w:hAnsi="宋体" w:eastAsia="宋体" w:cs="宋体"/>
          <w:color w:val="auto"/>
          <w:kern w:val="0"/>
          <w:sz w:val="24"/>
          <w:szCs w:val="24"/>
          <w:highlight w:val="none"/>
          <w:u w:val="single"/>
          <w:lang w:val="en-US" w:eastAsia="zh-CN"/>
        </w:rPr>
        <w:t xml:space="preserve">                 </w:t>
      </w:r>
    </w:p>
    <w:p>
      <w:pPr>
        <w:widowControl w:val="0"/>
        <w:spacing w:line="360" w:lineRule="auto"/>
        <w:rPr>
          <w:rFonts w:hint="eastAsia" w:ascii="宋体" w:hAnsi="宋体" w:eastAsia="宋体" w:cs="宋体"/>
          <w:color w:val="auto"/>
          <w:kern w:val="0"/>
          <w:sz w:val="24"/>
          <w:szCs w:val="24"/>
          <w:highlight w:val="none"/>
          <w:u w:val="single"/>
          <w:lang w:val="en-US" w:eastAsia="zh-CN"/>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en-US" w:eastAsia="zh-CN"/>
        </w:rPr>
        <w:t xml:space="preserve">  </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根据《中华人民共和国政府采购法》《中华人民共和国民法典》等法律、法规规定，按照采购文件（采购文件）规定条款和响应文件及承诺，采购人（甲方）与中标人（乙方）双方签订本合同。</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第一条　合同标的</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1.服务一览表</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9"/>
        <w:gridCol w:w="1350"/>
        <w:gridCol w:w="2483"/>
        <w:gridCol w:w="1035"/>
        <w:gridCol w:w="1425"/>
        <w:gridCol w:w="14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979" w:type="dxa"/>
            <w:noWrap w:val="0"/>
            <w:vAlign w:val="center"/>
          </w:tcPr>
          <w:p>
            <w:pPr>
              <w:widowControl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350" w:type="dxa"/>
            <w:noWrap w:val="0"/>
            <w:vAlign w:val="center"/>
          </w:tcPr>
          <w:p>
            <w:pPr>
              <w:widowControl w:val="0"/>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服务</w:t>
            </w:r>
            <w:r>
              <w:rPr>
                <w:rFonts w:hint="eastAsia" w:ascii="宋体" w:hAnsi="宋体" w:eastAsia="宋体" w:cs="宋体"/>
                <w:color w:val="auto"/>
                <w:sz w:val="24"/>
                <w:szCs w:val="24"/>
                <w:highlight w:val="none"/>
              </w:rPr>
              <w:t>名称</w:t>
            </w:r>
          </w:p>
        </w:tc>
        <w:tc>
          <w:tcPr>
            <w:tcW w:w="2483" w:type="dxa"/>
            <w:noWrap w:val="0"/>
            <w:vAlign w:val="center"/>
          </w:tcPr>
          <w:p>
            <w:pPr>
              <w:widowControl w:val="0"/>
              <w:spacing w:line="360" w:lineRule="auto"/>
              <w:jc w:val="center"/>
              <w:rPr>
                <w:rFonts w:hint="eastAsia" w:ascii="宋体" w:hAnsi="宋体" w:eastAsia="宋体" w:cs="宋体"/>
                <w:color w:val="auto"/>
                <w:sz w:val="24"/>
                <w:szCs w:val="24"/>
                <w:highlight w:val="none"/>
              </w:rPr>
            </w:pPr>
            <w:bookmarkStart w:id="121" w:name="OLE_LINK207"/>
            <w:bookmarkStart w:id="122" w:name="OLE_LINK208"/>
            <w:r>
              <w:rPr>
                <w:rFonts w:hint="eastAsia" w:ascii="宋体" w:hAnsi="宋体" w:cs="宋体"/>
                <w:color w:val="auto"/>
                <w:sz w:val="24"/>
                <w:szCs w:val="24"/>
                <w:highlight w:val="none"/>
                <w:lang w:eastAsia="zh-CN"/>
              </w:rPr>
              <w:t>具体</w:t>
            </w:r>
            <w:r>
              <w:rPr>
                <w:rFonts w:hint="eastAsia" w:ascii="宋体" w:hAnsi="宋体" w:eastAsia="宋体" w:cs="宋体"/>
                <w:color w:val="auto"/>
                <w:sz w:val="24"/>
                <w:szCs w:val="24"/>
                <w:highlight w:val="none"/>
              </w:rPr>
              <w:t>服务内容</w:t>
            </w:r>
            <w:bookmarkEnd w:id="121"/>
            <w:bookmarkEnd w:id="122"/>
          </w:p>
        </w:tc>
        <w:tc>
          <w:tcPr>
            <w:tcW w:w="1035" w:type="dxa"/>
            <w:noWrap w:val="0"/>
            <w:vAlign w:val="center"/>
          </w:tcPr>
          <w:p>
            <w:pPr>
              <w:widowControl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1425" w:type="dxa"/>
            <w:noWrap w:val="0"/>
            <w:vAlign w:val="center"/>
          </w:tcPr>
          <w:p>
            <w:pPr>
              <w:widowControl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单价（元）</w:t>
            </w:r>
          </w:p>
        </w:tc>
        <w:tc>
          <w:tcPr>
            <w:tcW w:w="1405" w:type="dxa"/>
            <w:noWrap w:val="0"/>
            <w:vAlign w:val="center"/>
          </w:tcPr>
          <w:p>
            <w:pPr>
              <w:widowControl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979" w:type="dxa"/>
            <w:noWrap w:val="0"/>
            <w:vAlign w:val="center"/>
          </w:tcPr>
          <w:p>
            <w:pPr>
              <w:widowControl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50" w:type="dxa"/>
            <w:noWrap w:val="0"/>
            <w:vAlign w:val="center"/>
          </w:tcPr>
          <w:p>
            <w:pPr>
              <w:widowControl w:val="0"/>
              <w:spacing w:line="360" w:lineRule="auto"/>
              <w:rPr>
                <w:rFonts w:hint="eastAsia" w:ascii="宋体" w:hAnsi="宋体" w:eastAsia="宋体" w:cs="宋体"/>
                <w:color w:val="auto"/>
                <w:sz w:val="24"/>
                <w:szCs w:val="24"/>
                <w:highlight w:val="none"/>
              </w:rPr>
            </w:pPr>
          </w:p>
        </w:tc>
        <w:tc>
          <w:tcPr>
            <w:tcW w:w="2483" w:type="dxa"/>
            <w:noWrap w:val="0"/>
            <w:vAlign w:val="center"/>
          </w:tcPr>
          <w:p>
            <w:pPr>
              <w:widowControl w:val="0"/>
              <w:spacing w:line="360" w:lineRule="auto"/>
              <w:rPr>
                <w:rFonts w:hint="eastAsia" w:ascii="宋体" w:hAnsi="宋体" w:eastAsia="宋体" w:cs="宋体"/>
                <w:color w:val="auto"/>
                <w:sz w:val="24"/>
                <w:szCs w:val="24"/>
                <w:highlight w:val="none"/>
              </w:rPr>
            </w:pPr>
          </w:p>
        </w:tc>
        <w:tc>
          <w:tcPr>
            <w:tcW w:w="1035" w:type="dxa"/>
            <w:noWrap w:val="0"/>
            <w:vAlign w:val="center"/>
          </w:tcPr>
          <w:p>
            <w:pPr>
              <w:widowControl w:val="0"/>
              <w:spacing w:line="360" w:lineRule="auto"/>
              <w:rPr>
                <w:rFonts w:hint="eastAsia" w:ascii="宋体" w:hAnsi="宋体" w:eastAsia="宋体" w:cs="宋体"/>
                <w:color w:val="auto"/>
                <w:sz w:val="24"/>
                <w:szCs w:val="24"/>
                <w:highlight w:val="none"/>
              </w:rPr>
            </w:pPr>
          </w:p>
        </w:tc>
        <w:tc>
          <w:tcPr>
            <w:tcW w:w="1425" w:type="dxa"/>
            <w:noWrap w:val="0"/>
            <w:vAlign w:val="center"/>
          </w:tcPr>
          <w:p>
            <w:pPr>
              <w:widowControl w:val="0"/>
              <w:spacing w:line="360" w:lineRule="auto"/>
              <w:rPr>
                <w:rFonts w:hint="eastAsia" w:ascii="宋体" w:hAnsi="宋体" w:eastAsia="宋体" w:cs="宋体"/>
                <w:color w:val="auto"/>
                <w:sz w:val="24"/>
                <w:szCs w:val="24"/>
                <w:highlight w:val="none"/>
              </w:rPr>
            </w:pPr>
          </w:p>
        </w:tc>
        <w:tc>
          <w:tcPr>
            <w:tcW w:w="1405" w:type="dxa"/>
            <w:noWrap w:val="0"/>
            <w:vAlign w:val="center"/>
          </w:tcPr>
          <w:p>
            <w:pPr>
              <w:widowControl w:val="0"/>
              <w:spacing w:line="360" w:lineRule="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979" w:type="dxa"/>
            <w:noWrap w:val="0"/>
            <w:vAlign w:val="center"/>
          </w:tcPr>
          <w:p>
            <w:pPr>
              <w:widowControl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350" w:type="dxa"/>
            <w:noWrap w:val="0"/>
            <w:vAlign w:val="center"/>
          </w:tcPr>
          <w:p>
            <w:pPr>
              <w:widowControl w:val="0"/>
              <w:spacing w:line="360" w:lineRule="auto"/>
              <w:rPr>
                <w:rFonts w:hint="eastAsia" w:ascii="宋体" w:hAnsi="宋体" w:eastAsia="宋体" w:cs="宋体"/>
                <w:color w:val="auto"/>
                <w:sz w:val="24"/>
                <w:szCs w:val="24"/>
                <w:highlight w:val="none"/>
              </w:rPr>
            </w:pPr>
          </w:p>
        </w:tc>
        <w:tc>
          <w:tcPr>
            <w:tcW w:w="2483" w:type="dxa"/>
            <w:noWrap w:val="0"/>
            <w:vAlign w:val="center"/>
          </w:tcPr>
          <w:p>
            <w:pPr>
              <w:widowControl w:val="0"/>
              <w:spacing w:line="360" w:lineRule="auto"/>
              <w:rPr>
                <w:rFonts w:hint="eastAsia" w:ascii="宋体" w:hAnsi="宋体" w:eastAsia="宋体" w:cs="宋体"/>
                <w:color w:val="auto"/>
                <w:sz w:val="24"/>
                <w:szCs w:val="24"/>
                <w:highlight w:val="none"/>
              </w:rPr>
            </w:pPr>
          </w:p>
        </w:tc>
        <w:tc>
          <w:tcPr>
            <w:tcW w:w="1035" w:type="dxa"/>
            <w:noWrap w:val="0"/>
            <w:vAlign w:val="center"/>
          </w:tcPr>
          <w:p>
            <w:pPr>
              <w:widowControl w:val="0"/>
              <w:spacing w:line="360" w:lineRule="auto"/>
              <w:rPr>
                <w:rFonts w:hint="eastAsia" w:ascii="宋体" w:hAnsi="宋体" w:eastAsia="宋体" w:cs="宋体"/>
                <w:color w:val="auto"/>
                <w:sz w:val="24"/>
                <w:szCs w:val="24"/>
                <w:highlight w:val="none"/>
              </w:rPr>
            </w:pPr>
          </w:p>
        </w:tc>
        <w:tc>
          <w:tcPr>
            <w:tcW w:w="1425" w:type="dxa"/>
            <w:noWrap w:val="0"/>
            <w:vAlign w:val="center"/>
          </w:tcPr>
          <w:p>
            <w:pPr>
              <w:widowControl w:val="0"/>
              <w:spacing w:line="360" w:lineRule="auto"/>
              <w:rPr>
                <w:rFonts w:hint="eastAsia" w:ascii="宋体" w:hAnsi="宋体" w:eastAsia="宋体" w:cs="宋体"/>
                <w:color w:val="auto"/>
                <w:sz w:val="24"/>
                <w:szCs w:val="24"/>
                <w:highlight w:val="none"/>
              </w:rPr>
            </w:pPr>
          </w:p>
        </w:tc>
        <w:tc>
          <w:tcPr>
            <w:tcW w:w="1405" w:type="dxa"/>
            <w:noWrap w:val="0"/>
            <w:vAlign w:val="center"/>
          </w:tcPr>
          <w:p>
            <w:pPr>
              <w:widowControl w:val="0"/>
              <w:spacing w:line="360" w:lineRule="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979" w:type="dxa"/>
            <w:noWrap w:val="0"/>
            <w:vAlign w:val="center"/>
          </w:tcPr>
          <w:p>
            <w:pPr>
              <w:widowControl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350" w:type="dxa"/>
            <w:noWrap w:val="0"/>
            <w:vAlign w:val="center"/>
          </w:tcPr>
          <w:p>
            <w:pPr>
              <w:widowControl w:val="0"/>
              <w:spacing w:line="360" w:lineRule="auto"/>
              <w:rPr>
                <w:rFonts w:hint="eastAsia" w:ascii="宋体" w:hAnsi="宋体" w:eastAsia="宋体" w:cs="宋体"/>
                <w:color w:val="auto"/>
                <w:sz w:val="24"/>
                <w:szCs w:val="24"/>
                <w:highlight w:val="none"/>
              </w:rPr>
            </w:pPr>
          </w:p>
        </w:tc>
        <w:tc>
          <w:tcPr>
            <w:tcW w:w="2483" w:type="dxa"/>
            <w:noWrap w:val="0"/>
            <w:vAlign w:val="center"/>
          </w:tcPr>
          <w:p>
            <w:pPr>
              <w:widowControl w:val="0"/>
              <w:spacing w:line="360" w:lineRule="auto"/>
              <w:rPr>
                <w:rFonts w:hint="eastAsia" w:ascii="宋体" w:hAnsi="宋体" w:eastAsia="宋体" w:cs="宋体"/>
                <w:color w:val="auto"/>
                <w:sz w:val="24"/>
                <w:szCs w:val="24"/>
                <w:highlight w:val="none"/>
              </w:rPr>
            </w:pPr>
          </w:p>
        </w:tc>
        <w:tc>
          <w:tcPr>
            <w:tcW w:w="1035" w:type="dxa"/>
            <w:noWrap w:val="0"/>
            <w:vAlign w:val="center"/>
          </w:tcPr>
          <w:p>
            <w:pPr>
              <w:widowControl w:val="0"/>
              <w:spacing w:line="360" w:lineRule="auto"/>
              <w:rPr>
                <w:rFonts w:hint="eastAsia" w:ascii="宋体" w:hAnsi="宋体" w:eastAsia="宋体" w:cs="宋体"/>
                <w:color w:val="auto"/>
                <w:sz w:val="24"/>
                <w:szCs w:val="24"/>
                <w:highlight w:val="none"/>
              </w:rPr>
            </w:pPr>
          </w:p>
        </w:tc>
        <w:tc>
          <w:tcPr>
            <w:tcW w:w="1425" w:type="dxa"/>
            <w:noWrap w:val="0"/>
            <w:vAlign w:val="center"/>
          </w:tcPr>
          <w:p>
            <w:pPr>
              <w:widowControl w:val="0"/>
              <w:spacing w:line="360" w:lineRule="auto"/>
              <w:rPr>
                <w:rFonts w:hint="eastAsia" w:ascii="宋体" w:hAnsi="宋体" w:eastAsia="宋体" w:cs="宋体"/>
                <w:color w:val="auto"/>
                <w:sz w:val="24"/>
                <w:szCs w:val="24"/>
                <w:highlight w:val="none"/>
              </w:rPr>
            </w:pPr>
          </w:p>
        </w:tc>
        <w:tc>
          <w:tcPr>
            <w:tcW w:w="1405" w:type="dxa"/>
            <w:noWrap w:val="0"/>
            <w:vAlign w:val="center"/>
          </w:tcPr>
          <w:p>
            <w:pPr>
              <w:widowControl w:val="0"/>
              <w:spacing w:line="360" w:lineRule="auto"/>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8677" w:type="dxa"/>
            <w:gridSpan w:val="6"/>
            <w:noWrap w:val="0"/>
            <w:vAlign w:val="top"/>
          </w:tcPr>
          <w:p>
            <w:pPr>
              <w:widowControl w:val="0"/>
              <w:tabs>
                <w:tab w:val="center" w:pos="4153"/>
                <w:tab w:val="right" w:pos="8306"/>
              </w:tabs>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合同合计金额（人民币，大写）：元整（￥）</w:t>
            </w:r>
          </w:p>
        </w:tc>
      </w:tr>
    </w:tbl>
    <w:p>
      <w:pPr>
        <w:widowControl w:val="0"/>
        <w:spacing w:line="360" w:lineRule="auto"/>
        <w:ind w:firstLine="480" w:firstLineChars="200"/>
        <w:rPr>
          <w:rFonts w:hint="eastAsia" w:ascii="宋体" w:hAnsi="宋体" w:eastAsia="宋体" w:cs="宋体"/>
          <w:color w:val="auto"/>
          <w:sz w:val="24"/>
          <w:szCs w:val="24"/>
          <w:highlight w:val="none"/>
        </w:rPr>
      </w:pPr>
      <w:bookmarkStart w:id="123" w:name="OLE_LINK204"/>
      <w:r>
        <w:rPr>
          <w:rFonts w:hint="eastAsia" w:ascii="宋体" w:hAnsi="宋体" w:eastAsia="宋体" w:cs="宋体"/>
          <w:color w:val="auto"/>
          <w:sz w:val="24"/>
          <w:szCs w:val="24"/>
          <w:highlight w:val="none"/>
          <w:lang w:val="en-US" w:eastAsia="zh-CN"/>
        </w:rPr>
        <w:t>2.合同合计金额包括但不限于满足本次招标全部采购需求所应提供的服务，以及伴随的货物和工程（如有）的价格，包括但不限于服务、货物、工程的成本、运输（含保险）、安装（如有）、调试、检验、技术服务、培训、税费、版权使用费（如有）等所有费用。</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第二条　质量保证</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1.乙方应建立和完善履行合同的内部质量保证体系，并提供相关内部规章制度给甲方，以便甲方进行监督检查；</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2.乙方应保证履行合同的人员数量和素质、软件和硬件设备的配置、场地、环境和设施等满足全面履行合同的要求，并应接受甲方的监督检查。</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乙方所提供的服务、服务质量及服务内容必须与合同、采购文件、响应文件及承诺相一致。有国家强制性标准的，还必须符合国家强制性标准的规定；没有国家强制性标准但有其他标准的，必须符合其他标准的规定。</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第三条　权利保证</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1.甲方根据工作需要，可为乙方提供相关资料等。</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2.甲方有权随时向乙方了解服务进度和对服务资金使用情况进行监督、检查，并要求乙方提供相关资料。</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甲方有权按照合同约定或有关法律法规、政府管理的相关职能规定，对乙方服务进行监督和检查，有权要求乙方按照监督检查情况制定相应措施并加以整改。甲方不因行使该监督和检查权而承担任何责任，也不因此而减轻或免除乙方根据合同约定或相关法律法规规定应承担的任何义务或责任。</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4.乙方应保证所提供服务在使用时不会侵犯任何第三方的专利权、商标权、工业设计权等知识产权及其他合法权利，且所有权、处分权等没有受到任何限制。</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没有甲方事先书面同意，乙方不得将由甲方提供的有关合同或者任何合同条文、规格、计划、图纸、样品或者资料提供给与履行本合同无关的任何其他人。即使向履行合同有关的人员提供，也应注意保密并限于履行合同的必需范围。乙方的保密义务持续有效，不因为本合同履行终止、解除或者无效而解除。</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乙方保证所交付的服务成果的所有权完全属于乙方且无任何抵押、质押、查封等产权瑕疵。如乙方所交付服务成果有产权瑕疵的，视为乙方违约。但在已经全部支付完合同款后才发现有产权瑕疵的，乙方除了支付违约金，还应负担甲方由此产生的一切损失。</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第四条　交付和验收</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1.服务时间：</w:t>
      </w:r>
    </w:p>
    <w:p>
      <w:pPr>
        <w:widowControl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分包一：</w:t>
      </w:r>
      <w:r>
        <w:rPr>
          <w:rFonts w:hint="eastAsia" w:ascii="宋体" w:hAnsi="宋体" w:eastAsia="宋体" w:cs="宋体"/>
          <w:color w:val="auto"/>
          <w:sz w:val="24"/>
          <w:szCs w:val="24"/>
          <w:highlight w:val="none"/>
          <w:u w:val="single"/>
          <w:lang w:val="en-US" w:eastAsia="zh-CN"/>
        </w:rPr>
        <w:t>2025年5月20日—2026年3月20日</w:t>
      </w:r>
      <w:r>
        <w:rPr>
          <w:rFonts w:hint="default" w:ascii="宋体" w:hAnsi="宋体" w:eastAsia="宋体" w:cs="宋体"/>
          <w:color w:val="auto"/>
          <w:sz w:val="24"/>
          <w:szCs w:val="24"/>
          <w:highlight w:val="none"/>
          <w:lang w:val="en-US" w:eastAsia="zh-CN"/>
        </w:rPr>
        <w:t>。</w:t>
      </w:r>
    </w:p>
    <w:p>
      <w:pPr>
        <w:widowControl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分包二：</w:t>
      </w:r>
      <w:r>
        <w:rPr>
          <w:rFonts w:hint="eastAsia" w:ascii="宋体" w:hAnsi="宋体" w:eastAsia="宋体" w:cs="宋体"/>
          <w:color w:val="auto"/>
          <w:sz w:val="24"/>
          <w:szCs w:val="24"/>
          <w:highlight w:val="none"/>
          <w:u w:val="single"/>
          <w:lang w:val="en-US" w:eastAsia="zh-CN"/>
        </w:rPr>
        <w:t>2025年3月20日—2026年3月20日</w:t>
      </w:r>
      <w:r>
        <w:rPr>
          <w:rFonts w:hint="default" w:ascii="宋体" w:hAnsi="宋体" w:eastAsia="宋体" w:cs="宋体"/>
          <w:color w:val="auto"/>
          <w:sz w:val="24"/>
          <w:szCs w:val="24"/>
          <w:highlight w:val="none"/>
          <w:lang w:val="en-US" w:eastAsia="zh-CN"/>
        </w:rPr>
        <w:t>。</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2.服务地点：</w:t>
      </w:r>
      <w:r>
        <w:rPr>
          <w:rFonts w:hint="eastAsia" w:ascii="宋体" w:hAnsi="宋体" w:eastAsia="宋体" w:cs="宋体"/>
          <w:color w:val="auto"/>
          <w:sz w:val="24"/>
          <w:szCs w:val="24"/>
          <w:highlight w:val="none"/>
          <w:u w:val="single"/>
          <w:lang w:val="en-US" w:eastAsia="zh-CN"/>
        </w:rPr>
        <w:t>广西壮族自治区生态环境监测中心（南宁市青秀区佛子岭路16号）及采购人因工作需要而指定的工作地点</w:t>
      </w:r>
      <w:r>
        <w:rPr>
          <w:rFonts w:hint="eastAsia" w:ascii="宋体" w:hAnsi="宋体" w:eastAsia="宋体" w:cs="宋体"/>
          <w:color w:val="auto"/>
          <w:sz w:val="24"/>
          <w:szCs w:val="24"/>
          <w:highlight w:val="none"/>
          <w:lang w:val="en-US" w:eastAsia="zh-CN"/>
        </w:rPr>
        <w:t>。</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3.乙方应按合同、采购文件、响应文件及承诺向甲方提供相应的服务，并提供服务质量和服务内容的相关技术资料。</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4.乙方提供不符合合同、采购文件、响应文件规定的服务成果，甲方有权拒绝接受，</w:t>
      </w:r>
      <w:r>
        <w:rPr>
          <w:rFonts w:hint="eastAsia" w:ascii="宋体" w:hAnsi="宋体" w:eastAsia="宋体" w:cs="宋体"/>
          <w:color w:val="auto"/>
          <w:sz w:val="24"/>
          <w:szCs w:val="24"/>
          <w:highlight w:val="none"/>
        </w:rPr>
        <w:t>并要求乙方</w:t>
      </w:r>
      <w:r>
        <w:rPr>
          <w:rFonts w:hint="eastAsia" w:ascii="宋体" w:hAnsi="宋体" w:eastAsia="宋体" w:cs="宋体"/>
          <w:color w:val="auto"/>
          <w:sz w:val="24"/>
          <w:szCs w:val="24"/>
          <w:highlight w:val="none"/>
          <w:lang w:eastAsia="zh-CN"/>
        </w:rPr>
        <w:t>五个工作日内</w:t>
      </w:r>
      <w:r>
        <w:rPr>
          <w:rFonts w:hint="eastAsia" w:ascii="宋体" w:hAnsi="宋体" w:eastAsia="宋体" w:cs="宋体"/>
          <w:color w:val="auto"/>
          <w:sz w:val="24"/>
          <w:szCs w:val="24"/>
          <w:highlight w:val="none"/>
        </w:rPr>
        <w:t>进行</w:t>
      </w:r>
      <w:r>
        <w:rPr>
          <w:rFonts w:hint="eastAsia" w:ascii="宋体" w:hAnsi="宋体" w:eastAsia="宋体" w:cs="宋体"/>
          <w:color w:val="auto"/>
          <w:sz w:val="24"/>
          <w:szCs w:val="24"/>
          <w:highlight w:val="none"/>
          <w:lang w:eastAsia="zh-CN"/>
        </w:rPr>
        <w:t>修改、重做</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直至服务成果符合规定，如乙方在限期整改的时间内仍不能提供符合采购文件、响应文件和本合同规定的，则按乙方逾期交付服务成果处理</w:t>
      </w:r>
      <w:r>
        <w:rPr>
          <w:rFonts w:hint="eastAsia" w:ascii="宋体" w:hAnsi="宋体" w:eastAsia="宋体" w:cs="宋体"/>
          <w:color w:val="auto"/>
          <w:sz w:val="24"/>
          <w:szCs w:val="24"/>
          <w:highlight w:val="none"/>
          <w:lang w:val="en-US" w:eastAsia="zh-CN"/>
        </w:rPr>
        <w:t>。</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5.乙方在完成服务前应对服务作出全面检查和对验收文件进行整理，并列出清单，作为甲方服务验收的技术依据，清单应随提交的服务成果交给甲方。</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6.乙方完成服务后应及时书面通知甲方进行验收，甲方应在收到通知后七个工作日内进行验收，逾期不开始验收的，乙方可视同验收合格。</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甲乙双方应按照《广西壮族自治区政府采购项目履约验收管理办法》、合同、采购文件、响应文件验收，验收时乙方必须在现场，验收费用由乙方负责。服务质量和服务内容符合合同、采购文件、响应文件规定的要求的，由甲乙双方签署合同验收书并加盖甲方公章，甲乙双方各执一份。</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甲方在初步验收或者最终验收过程中发现乙方提供的服务、服务质量或服务内容不满足合同、采购文件、响应文件规定的，可暂缓向乙方付款，直到乙方及时完善并提交相应的服务成果且经甲方验收合格后，方可办理付款。</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甲方验收时发现乙方提供的服务、服务质量或服务内容不满足合同、采购文件、响应文件规定并以书面形式提出异议的，乙方应自收到甲方书面异议后五个工作日内予以解决，否则甲方有权不出具合同验收书。乙方因解决异议问题而造成逾期的，按乙方逾期交付处理。</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第五条　售后服务、服务质量保证期及培训</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1.乙方应按照国家有关法律法规、合同、采购文件、响应文件所附的《服务承诺》要求为甲方提供相应的服务。</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2.乙方提供服务的质量保证期按交付服务成果验收合格并签署合同验收书之日起计算，为365日，在质量保证期内因服务成果本身的技术问题，乙方应对服务出现的问题负责处理解决，并承担一切费用。</w:t>
      </w:r>
    </w:p>
    <w:p>
      <w:pPr>
        <w:widowControl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val="en-US" w:eastAsia="zh-CN"/>
        </w:rPr>
        <w:t>3.在质量保证期内发生技术服务问题，乙方应在接到甲方通知后2小时内到达甲方现场，在甲方指定的期限内解决问题。</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第六条　付款方式</w:t>
      </w:r>
    </w:p>
    <w:p>
      <w:pPr>
        <w:widowControl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1.资金性质：</w:t>
      </w:r>
      <w:r>
        <w:rPr>
          <w:rFonts w:hint="eastAsia" w:ascii="宋体" w:hAnsi="宋体" w:eastAsia="宋体" w:cs="宋体"/>
          <w:color w:val="auto"/>
          <w:sz w:val="24"/>
          <w:szCs w:val="24"/>
          <w:highlight w:val="none"/>
          <w:u w:val="single"/>
        </w:rPr>
        <w:t>　财政资金　</w:t>
      </w:r>
      <w:r>
        <w:rPr>
          <w:rFonts w:hint="eastAsia" w:ascii="宋体" w:hAnsi="宋体" w:eastAsia="宋体" w:cs="宋体"/>
          <w:color w:val="auto"/>
          <w:sz w:val="24"/>
          <w:szCs w:val="24"/>
          <w:highlight w:val="none"/>
        </w:rPr>
        <w:t>。</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2.付款方式，甲乙双方同意按以下方式支付合同合计金额：</w:t>
      </w:r>
    </w:p>
    <w:p>
      <w:pPr>
        <w:widowControl w:val="0"/>
        <w:spacing w:line="360" w:lineRule="auto"/>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分包一：</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（1）.待采购人完成第一季度运维考核且收到请款材料后，向成交人支付合同总额的30%。</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（2）.待采购人完成第三季度运维考核且收到请款材料后，向成交人支付合同总额的60%。</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（3）.服务期届满，采购人完成项目验收且受到请款材料后，向成交人支付合同总额的10%。</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（4）.每季度考核得分大于等于85分的，不扣款；低于85分的，每低1分扣除合同总额的1%，每季度扣款最高不超过合同总额的10%。</w:t>
      </w:r>
      <w:r>
        <w:rPr>
          <w:rFonts w:hint="default" w:ascii="宋体" w:hAnsi="宋体" w:eastAsia="宋体" w:cs="宋体"/>
          <w:color w:val="auto"/>
          <w:sz w:val="24"/>
          <w:szCs w:val="24"/>
          <w:highlight w:val="none"/>
          <w:lang w:val="en-US" w:eastAsia="zh-CN"/>
        </w:rPr>
        <w:t>低于</w:t>
      </w:r>
      <w:r>
        <w:rPr>
          <w:rFonts w:hint="eastAsia" w:ascii="宋体" w:hAnsi="宋体" w:eastAsia="宋体" w:cs="宋体"/>
          <w:color w:val="auto"/>
          <w:sz w:val="24"/>
          <w:szCs w:val="24"/>
          <w:highlight w:val="none"/>
          <w:lang w:val="en-US" w:eastAsia="zh-CN"/>
        </w:rPr>
        <w:t>70</w:t>
      </w:r>
      <w:r>
        <w:rPr>
          <w:rFonts w:hint="default" w:ascii="宋体" w:hAnsi="宋体" w:eastAsia="宋体" w:cs="宋体"/>
          <w:color w:val="auto"/>
          <w:sz w:val="24"/>
          <w:szCs w:val="24"/>
          <w:highlight w:val="none"/>
          <w:lang w:val="en-US" w:eastAsia="zh-CN"/>
        </w:rPr>
        <w:t>分的，</w:t>
      </w:r>
      <w:r>
        <w:rPr>
          <w:rFonts w:hint="eastAsia" w:ascii="宋体" w:hAnsi="宋体" w:eastAsia="宋体" w:cs="宋体"/>
          <w:color w:val="auto"/>
          <w:sz w:val="24"/>
          <w:szCs w:val="24"/>
          <w:highlight w:val="none"/>
          <w:lang w:val="en-US" w:eastAsia="zh-CN"/>
        </w:rPr>
        <w:t>采购人有权终止服务合同，</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不再支付项目</w:t>
      </w:r>
      <w:r>
        <w:rPr>
          <w:rFonts w:hint="eastAsia" w:ascii="宋体" w:hAnsi="宋体" w:cs="宋体"/>
          <w:color w:val="auto"/>
          <w:sz w:val="24"/>
          <w:szCs w:val="24"/>
          <w:highlight w:val="none"/>
          <w:lang w:val="en-US" w:eastAsia="zh-CN"/>
        </w:rPr>
        <w:t>全部剩余</w:t>
      </w:r>
      <w:r>
        <w:rPr>
          <w:rFonts w:hint="eastAsia" w:ascii="宋体" w:hAnsi="宋体" w:eastAsia="宋体" w:cs="宋体"/>
          <w:color w:val="auto"/>
          <w:sz w:val="24"/>
          <w:szCs w:val="24"/>
          <w:highlight w:val="none"/>
          <w:lang w:val="en-US" w:eastAsia="zh-CN"/>
        </w:rPr>
        <w:t>尾款</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highlight w:val="none"/>
        </w:rPr>
        <w:t>保留向成交供应商追究责任和赔偿的权利</w:t>
      </w:r>
      <w:r>
        <w:rPr>
          <w:rFonts w:hint="eastAsia" w:ascii="宋体" w:hAnsi="宋体" w:eastAsia="宋体" w:cs="宋体"/>
          <w:color w:val="auto"/>
          <w:sz w:val="24"/>
          <w:szCs w:val="24"/>
          <w:highlight w:val="none"/>
          <w:lang w:val="en-US" w:eastAsia="zh-CN"/>
        </w:rPr>
        <w:t>。</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5.每次付款前，成交人须提交请款函和对应支付金额的合法发票等请款材料。</w:t>
      </w:r>
    </w:p>
    <w:p>
      <w:pPr>
        <w:widowControl w:val="0"/>
        <w:spacing w:line="360" w:lineRule="auto"/>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分包二：</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（1）.自双方签订合同生效起，采购人收到请款材料后支付合同总额70%的预付款；</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（2）.待采购人完成第三季度运维考核且收到请款材料后，向成交人支付合同总额的25%。</w:t>
      </w:r>
    </w:p>
    <w:p>
      <w:pPr>
        <w:widowControl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（3）.服务期届满，采购人完成项目验收且受到请款材料后，向成交人支付</w:t>
      </w:r>
      <w:r>
        <w:rPr>
          <w:rFonts w:hint="default" w:ascii="宋体" w:hAnsi="宋体" w:eastAsia="宋体" w:cs="宋体"/>
          <w:color w:val="auto"/>
          <w:sz w:val="24"/>
          <w:szCs w:val="24"/>
          <w:highlight w:val="none"/>
          <w:lang w:val="en-US" w:eastAsia="zh-CN"/>
        </w:rPr>
        <w:t>合同总额</w:t>
      </w:r>
      <w:r>
        <w:rPr>
          <w:rFonts w:hint="eastAsia" w:ascii="宋体" w:hAnsi="宋体" w:eastAsia="宋体" w:cs="宋体"/>
          <w:color w:val="auto"/>
          <w:sz w:val="24"/>
          <w:szCs w:val="24"/>
          <w:highlight w:val="none"/>
          <w:lang w:val="en-US" w:eastAsia="zh-CN"/>
        </w:rPr>
        <w:t>5</w:t>
      </w:r>
      <w:r>
        <w:rPr>
          <w:rFonts w:hint="default"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lang w:val="en-US" w:eastAsia="zh-CN"/>
        </w:rPr>
        <w:t>尾款。</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（4）.每季度考核得分大于等于85分的，不扣款；低于85分的，每低1分扣除合同总额的1%，每季度扣款最高不超过合同总额的10%。</w:t>
      </w:r>
      <w:r>
        <w:rPr>
          <w:rFonts w:hint="default" w:ascii="宋体" w:hAnsi="宋体" w:eastAsia="宋体" w:cs="宋体"/>
          <w:color w:val="auto"/>
          <w:sz w:val="24"/>
          <w:szCs w:val="24"/>
          <w:highlight w:val="none"/>
          <w:lang w:val="en-US" w:eastAsia="zh-CN"/>
        </w:rPr>
        <w:t>低于</w:t>
      </w:r>
      <w:r>
        <w:rPr>
          <w:rFonts w:hint="eastAsia" w:ascii="宋体" w:hAnsi="宋体" w:eastAsia="宋体" w:cs="宋体"/>
          <w:color w:val="auto"/>
          <w:sz w:val="24"/>
          <w:szCs w:val="24"/>
          <w:highlight w:val="none"/>
          <w:lang w:val="en-US" w:eastAsia="zh-CN"/>
        </w:rPr>
        <w:t>70</w:t>
      </w:r>
      <w:r>
        <w:rPr>
          <w:rFonts w:hint="default" w:ascii="宋体" w:hAnsi="宋体" w:eastAsia="宋体" w:cs="宋体"/>
          <w:color w:val="auto"/>
          <w:sz w:val="24"/>
          <w:szCs w:val="24"/>
          <w:highlight w:val="none"/>
          <w:lang w:val="en-US" w:eastAsia="zh-CN"/>
        </w:rPr>
        <w:t>分的，</w:t>
      </w:r>
      <w:r>
        <w:rPr>
          <w:rFonts w:hint="eastAsia" w:ascii="宋体" w:hAnsi="宋体" w:eastAsia="宋体" w:cs="宋体"/>
          <w:color w:val="auto"/>
          <w:sz w:val="24"/>
          <w:szCs w:val="24"/>
          <w:highlight w:val="none"/>
          <w:lang w:val="en-US" w:eastAsia="zh-CN"/>
        </w:rPr>
        <w:t>采购人有权终止服务合同，</w:t>
      </w:r>
      <w:r>
        <w:rPr>
          <w:rFonts w:hint="eastAsia" w:ascii="宋体" w:hAnsi="宋体" w:cs="宋体"/>
          <w:color w:val="auto"/>
          <w:sz w:val="24"/>
          <w:szCs w:val="24"/>
          <w:highlight w:val="none"/>
          <w:lang w:val="en-US" w:eastAsia="zh-CN"/>
        </w:rPr>
        <w:t>且</w:t>
      </w:r>
      <w:r>
        <w:rPr>
          <w:rFonts w:hint="eastAsia" w:ascii="宋体" w:hAnsi="宋体" w:eastAsia="宋体" w:cs="宋体"/>
          <w:color w:val="auto"/>
          <w:sz w:val="24"/>
          <w:szCs w:val="24"/>
          <w:highlight w:val="none"/>
          <w:lang w:val="en-US" w:eastAsia="zh-CN"/>
        </w:rPr>
        <w:t>不再支付项目</w:t>
      </w:r>
      <w:r>
        <w:rPr>
          <w:rFonts w:hint="eastAsia" w:ascii="宋体" w:hAnsi="宋体" w:cs="宋体"/>
          <w:color w:val="auto"/>
          <w:sz w:val="24"/>
          <w:szCs w:val="24"/>
          <w:highlight w:val="none"/>
          <w:lang w:val="en-US" w:eastAsia="zh-CN"/>
        </w:rPr>
        <w:t>全部剩余</w:t>
      </w:r>
      <w:r>
        <w:rPr>
          <w:rFonts w:hint="eastAsia" w:ascii="宋体" w:hAnsi="宋体" w:eastAsia="宋体" w:cs="宋体"/>
          <w:color w:val="auto"/>
          <w:sz w:val="24"/>
          <w:szCs w:val="24"/>
          <w:highlight w:val="none"/>
          <w:lang w:val="en-US" w:eastAsia="zh-CN"/>
        </w:rPr>
        <w:t>尾款，</w:t>
      </w:r>
      <w:r>
        <w:rPr>
          <w:rFonts w:hint="eastAsia" w:ascii="宋体" w:hAnsi="宋体" w:eastAsia="宋体" w:cs="宋体"/>
          <w:color w:val="auto"/>
          <w:sz w:val="24"/>
          <w:highlight w:val="none"/>
        </w:rPr>
        <w:t>保留向成交供应商追究责任和赔偿的权利</w:t>
      </w:r>
      <w:r>
        <w:rPr>
          <w:rFonts w:hint="eastAsia" w:ascii="宋体" w:hAnsi="宋体" w:eastAsia="宋体" w:cs="宋体"/>
          <w:color w:val="auto"/>
          <w:sz w:val="24"/>
          <w:szCs w:val="24"/>
          <w:highlight w:val="none"/>
          <w:lang w:val="en-US" w:eastAsia="zh-CN"/>
        </w:rPr>
        <w:t>。</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（5）.每次付款前，中标人须提供的请款材料包括请款函和对应金额的增值税发票。</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甲方开具发票信息如下：</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账户名称：</w:t>
      </w:r>
      <w:r>
        <w:rPr>
          <w:rFonts w:hint="eastAsia" w:ascii="宋体" w:hAnsi="宋体" w:eastAsia="宋体" w:cs="宋体"/>
          <w:color w:val="auto"/>
          <w:sz w:val="24"/>
          <w:szCs w:val="24"/>
          <w:highlight w:val="none"/>
          <w:u w:val="single"/>
          <w:lang w:val="en-US" w:eastAsia="zh-CN"/>
        </w:rPr>
        <w:t>广西壮族自治区生态环境监测中心</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纳税人识别号：</w:t>
      </w:r>
      <w:r>
        <w:rPr>
          <w:rFonts w:hint="eastAsia" w:ascii="宋体" w:hAnsi="宋体" w:eastAsia="宋体" w:cs="宋体"/>
          <w:color w:val="auto"/>
          <w:sz w:val="24"/>
          <w:szCs w:val="24"/>
          <w:highlight w:val="none"/>
          <w:u w:val="single"/>
          <w:lang w:val="en-US" w:eastAsia="zh-CN"/>
        </w:rPr>
        <w:t>12450000739971905W</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开户银行：</w:t>
      </w:r>
      <w:r>
        <w:rPr>
          <w:rFonts w:hint="eastAsia" w:ascii="宋体" w:hAnsi="宋体" w:eastAsia="宋体" w:cs="宋体"/>
          <w:color w:val="auto"/>
          <w:sz w:val="24"/>
          <w:szCs w:val="24"/>
          <w:highlight w:val="none"/>
          <w:u w:val="single"/>
          <w:lang w:val="en-US" w:eastAsia="zh-CN"/>
        </w:rPr>
        <w:t>农行南宁航洋国际支行</w:t>
      </w:r>
    </w:p>
    <w:p>
      <w:pPr>
        <w:widowControl w:val="0"/>
        <w:spacing w:line="360" w:lineRule="auto"/>
        <w:ind w:firstLine="480" w:firstLineChars="200"/>
        <w:rPr>
          <w:rFonts w:hint="eastAsia"/>
          <w:lang w:val="en-US" w:eastAsia="zh-CN"/>
        </w:rPr>
      </w:pPr>
      <w:r>
        <w:rPr>
          <w:rFonts w:hint="eastAsia" w:ascii="宋体" w:hAnsi="宋体" w:eastAsia="宋体" w:cs="宋体"/>
          <w:color w:val="auto"/>
          <w:sz w:val="24"/>
          <w:szCs w:val="24"/>
          <w:highlight w:val="none"/>
          <w:lang w:val="en-US" w:eastAsia="zh-CN"/>
        </w:rPr>
        <w:t>银行账号：</w:t>
      </w:r>
      <w:r>
        <w:rPr>
          <w:rFonts w:hint="eastAsia" w:ascii="宋体" w:hAnsi="宋体" w:eastAsia="宋体" w:cs="宋体"/>
          <w:color w:val="auto"/>
          <w:sz w:val="24"/>
          <w:szCs w:val="24"/>
          <w:highlight w:val="none"/>
          <w:u w:val="single"/>
          <w:lang w:val="en-US" w:eastAsia="zh-CN"/>
        </w:rPr>
        <w:t>20023601040008912</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3.乙方指定以下账户为接受本合同价款的账户，并对其指定的下列账户信息真实性、安全性、准确性负责。</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账户名称：</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pPr>
        <w:widowControl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开户银行：</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pPr>
        <w:widowControl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银行账号：</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pPr>
        <w:widowControl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如乙方上述账户信息发生变更，乙方应提前向甲方发送书面通知，未能提前书面通知而产生的不利后果由乙方自行承担。</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第七条　履约保证金</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乙方提供的履约保证金金额为：本项目不收取履约保证金。</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第八条　税费</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合同执行中相关的一切税费均由乙方负担。</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第九条　违约责任</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除不可抵抗力等原因外，乙方没有按照合同、采购文件、响应文件规定的时间或期限提供服务的，每逾期一日，应按合同合计金额的3‰向甲方支付逾期提供服务的违约金；逾期超过十日的，甲方有权单方解除合同，并要求乙方退还已收取的款项，同时乙方应按照合同合计金额的10%向甲方支付违约金并承担因此给甲方造成的经济损失。</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乙方所提供的服务、服务质量、服务内容等不符合合同、采购文件、响应文件规定的要求的，应按甲方的要求，在甲方指定的期限内予以更换或改进，未在甲方指定的期限内更换或改进的，按乙方逾期提供服务承担违约责任。</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乙方提供的服务如侵犯了第三方合法权益而引发的任何纠纷或者诉讼，均由乙方负责交涉并承担全部责任。如甲方为解决纠纷矛盾先期支付了费用的，乙方应当自收到甲方要求偿还费用的函之日起五日内向甲方偿还完毕。</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4.乙方因履行合同所发生的其他违约行为，每违约一次，应按合同合计金额的5%向甲方支付违约金，并赔偿甲方因此所造成全部损失。</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5.乙方支付的违约金不足以弥补甲方损失的，应承担赔偿责任，甲方有权继续向乙方追偿。乙方应支付给甲方的任何款项，甲方有权从任何应支付未支付给乙方的款项中直接抵扣。</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6.本合同所称的甲方经济损失或者甲方损失，包括甲方遭受的全部直接经济损失及为此支出的合理费用（包括但不限于为此支出的调查费、诉讼费、保全费、</w:t>
      </w:r>
      <w:r>
        <w:rPr>
          <w:rFonts w:hint="eastAsia" w:ascii="宋体" w:hAnsi="宋体" w:cs="宋体"/>
          <w:color w:val="auto"/>
          <w:sz w:val="24"/>
          <w:szCs w:val="24"/>
          <w:highlight w:val="none"/>
          <w:lang w:val="en-US" w:eastAsia="zh-CN"/>
        </w:rPr>
        <w:t>保全保险费、</w:t>
      </w:r>
      <w:r>
        <w:rPr>
          <w:rFonts w:hint="eastAsia" w:ascii="宋体" w:hAnsi="宋体" w:eastAsia="宋体" w:cs="宋体"/>
          <w:color w:val="auto"/>
          <w:sz w:val="24"/>
          <w:szCs w:val="24"/>
          <w:highlight w:val="none"/>
          <w:lang w:val="en-US" w:eastAsia="zh-CN"/>
        </w:rPr>
        <w:t>律师费、差旅费</w:t>
      </w:r>
      <w:r>
        <w:rPr>
          <w:rFonts w:hint="eastAsia" w:ascii="宋体" w:hAnsi="宋体" w:cs="宋体"/>
          <w:color w:val="auto"/>
          <w:sz w:val="24"/>
          <w:szCs w:val="24"/>
          <w:highlight w:val="none"/>
          <w:lang w:val="en-US" w:eastAsia="zh-CN"/>
        </w:rPr>
        <w:t>、鉴定费</w:t>
      </w:r>
      <w:r>
        <w:rPr>
          <w:rFonts w:hint="eastAsia" w:ascii="宋体" w:hAnsi="宋体" w:eastAsia="宋体" w:cs="宋体"/>
          <w:color w:val="auto"/>
          <w:sz w:val="24"/>
          <w:szCs w:val="24"/>
          <w:highlight w:val="none"/>
          <w:lang w:val="en-US" w:eastAsia="zh-CN"/>
        </w:rPr>
        <w:t>等）。</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7.甲方延期付款的，每天向乙方偿付延期款额3‰的违约金，但违约金累计不得超过延期款额的5%。</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8.由于甲方的原因造成合同不能如期履行的，双方可根据具体情况顺延合同的履行期。</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第十条　知识产权归属</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乙方保证，甲乙双方在本合同执行中形成的任何成果或知识产权的所有权，归甲方所有，而且乙方应当完成甲方知识产权所有权确认所必需的全部行为、证书和文件等，并提供相应的支持和协助。</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第十一条　保密条款</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1.甲乙双方都负有保守对方的单位机密或商业秘密的义务，保密范围包括但不限于技术情报、数据资料及其他公开后对对方造成影响或损失的秘密。</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2.任何一方违反保密条款，给对方造成损失，应按对方的实际损失承担赔偿责任。</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3.本条款不因合同的变更、解除和终止而失效。</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第十二条　不可抗力事件处理</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1.在合同有效期内，任何一方因不可抗力事件导致不能履行合同，则合同履行期可延长，其延长期与不可抗力影响期相同。</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2.不可抗力事件发生后，应立即通知对方，并寄送有关权威机构出具的证明。</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3.不可抗力事件延续一百二十天以上，双方应通过友好协商，确定是否继续履行合同。</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4.合同履行过程中，因接受政府行政指令而无法履行的，接受政府行政指令的一方可以免除责任。</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第十三条　合同争议解决</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1.因服务质量问题发生争议的，甲方应提交具有相应资质的机构进行鉴定。服务符合标准的，鉴定费由甲方承担；服务不符合标准的，鉴定费由乙方承担。</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2.因履行本合同引起的或者与本合同有关的争议，甲乙双方应首先通过友好协商解决，如果协商不能解决，可向甲方所在地有管辖权人民法院提起诉讼。</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第十四条　合同生效及其他</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1.合同经甲乙双方法定代表人或者授权代表签字并加盖单位公章后生效。</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2.合同执行中涉及采购资金和采购内容修改或者补充的，须经政府采购监管部门审批，并签书面补充协议报政府采购监管部门备案，方可作为主合同不可分割的一部分。</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3.合同未尽事宜，遵照《中华人民共和国民法典》等相关法律、法规规定有关条文执行。</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第十五条　合同的变更、终止与转让</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1.除《中华人民共和国政府采购法》第五十条规定的情形外，本合同一经签订，甲乙双方不得擅自变更、中止或者终止。</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2.未经甲方书面同意，乙方不得擅自转让其应履行的合同义务。</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第十六条　本合同与下列文件一起构成合同文件</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1.成交通知书；</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2.竞标报价表；</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3.采购需求；</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4.竞标函；</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5.商务条款偏离表和服务需求偏离表；</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6.服务方案；</w:t>
      </w:r>
    </w:p>
    <w:p>
      <w:pPr>
        <w:widowControl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7.响应文件中的其他相关文件。</w:t>
      </w:r>
    </w:p>
    <w:p>
      <w:pPr>
        <w:widowControl w:val="0"/>
        <w:spacing w:line="360" w:lineRule="auto"/>
        <w:ind w:firstLine="480" w:firstLineChars="200"/>
        <w:rPr>
          <w:rFonts w:hint="eastAsia" w:ascii="仿宋" w:hAnsi="仿宋" w:eastAsia="仿宋" w:cs="仿宋"/>
          <w:color w:val="000000"/>
          <w:sz w:val="32"/>
          <w:szCs w:val="32"/>
          <w:highlight w:val="none"/>
          <w:u w:val="none"/>
          <w:lang w:val="en-US" w:eastAsia="zh-CN"/>
        </w:rPr>
      </w:pPr>
      <w:r>
        <w:rPr>
          <w:rFonts w:hint="eastAsia" w:ascii="宋体" w:hAnsi="宋体" w:eastAsia="宋体" w:cs="宋体"/>
          <w:color w:val="auto"/>
          <w:sz w:val="24"/>
          <w:szCs w:val="24"/>
          <w:highlight w:val="none"/>
          <w:lang w:val="en-US" w:eastAsia="zh-CN"/>
        </w:rPr>
        <w:t>上述合同文件互相补充和解释。如果合同文件之间存在矛盾或者不一致之处，以本合同、上述文件的排列顺序在先者为准。</w:t>
      </w:r>
    </w:p>
    <w:p>
      <w:pPr>
        <w:widowControl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第十七条　其他约定事项</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1.本合同所有附件及相关文件均为本合同的有效组成部分，与本合同具有同等法律效力。若合同附件与本合同存在不一致的，则以本合同为准。</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2.在履行本合同过程中，所有经甲乙双方签署确认的文件（包括会议纪要、补充协议、往来信函、电子邮件等）即成为本合同的有效组成部分。</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3.甲乙双方确认，以下为各方真实有效通讯地址：</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，收件人：</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，电子邮箱：</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，收件人：</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，电子邮箱：</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方向对方发出的任何通知、信函和文件，以挂号信函或快递信函方式向对方地址邮寄有关通知、信函和文件的，自发出之日起第三日视为送达对方，挂号信函或快递信函的邮寄凭证即视为成功送达的有效凭证。一方地址变更的，应及时书面通知对方，否则上述地址仍为真实有效通讯地址。</w:t>
      </w:r>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4.本合同一式</w:t>
      </w:r>
      <w:r>
        <w:rPr>
          <w:rFonts w:hint="eastAsia" w:ascii="宋体" w:hAnsi="宋体" w:cs="宋体"/>
          <w:b/>
          <w:color w:val="auto"/>
          <w:sz w:val="24"/>
          <w:szCs w:val="24"/>
          <w:highlight w:val="none"/>
          <w:u w:val="single"/>
          <w:lang w:eastAsia="zh-CN"/>
        </w:rPr>
        <w:t>五</w:t>
      </w:r>
      <w:r>
        <w:rPr>
          <w:rFonts w:hint="eastAsia" w:ascii="宋体" w:hAnsi="宋体" w:eastAsia="宋体" w:cs="宋体"/>
          <w:color w:val="auto"/>
          <w:sz w:val="24"/>
          <w:szCs w:val="24"/>
          <w:highlight w:val="none"/>
        </w:rPr>
        <w:t>份，具有同等法律效力，</w:t>
      </w:r>
      <w:bookmarkStart w:id="124" w:name="OLE_LINK42"/>
      <w:bookmarkStart w:id="125" w:name="OLE_LINK43"/>
      <w:r>
        <w:rPr>
          <w:rFonts w:hint="eastAsia" w:ascii="宋体" w:hAnsi="宋体" w:eastAsia="宋体" w:cs="宋体"/>
          <w:color w:val="auto"/>
          <w:sz w:val="24"/>
          <w:szCs w:val="24"/>
          <w:highlight w:val="none"/>
        </w:rPr>
        <w:t>甲方</w:t>
      </w:r>
      <w:r>
        <w:rPr>
          <w:rFonts w:hint="eastAsia" w:ascii="宋体" w:hAnsi="宋体" w:cs="宋体"/>
          <w:b/>
          <w:color w:val="auto"/>
          <w:sz w:val="24"/>
          <w:szCs w:val="24"/>
          <w:highlight w:val="none"/>
          <w:u w:val="single"/>
          <w:lang w:eastAsia="zh-CN"/>
        </w:rPr>
        <w:t>贰</w:t>
      </w:r>
      <w:r>
        <w:rPr>
          <w:rFonts w:hint="eastAsia" w:ascii="宋体" w:hAnsi="宋体" w:eastAsia="宋体" w:cs="宋体"/>
          <w:color w:val="auto"/>
          <w:sz w:val="24"/>
          <w:szCs w:val="24"/>
          <w:highlight w:val="none"/>
        </w:rPr>
        <w:t>份，乙方</w:t>
      </w:r>
      <w:r>
        <w:rPr>
          <w:rFonts w:hint="eastAsia" w:ascii="宋体" w:hAnsi="宋体" w:eastAsia="宋体" w:cs="宋体"/>
          <w:b/>
          <w:color w:val="auto"/>
          <w:sz w:val="24"/>
          <w:szCs w:val="24"/>
          <w:highlight w:val="none"/>
          <w:u w:val="single"/>
        </w:rPr>
        <w:t>贰</w:t>
      </w:r>
      <w:r>
        <w:rPr>
          <w:rFonts w:hint="eastAsia" w:ascii="宋体" w:hAnsi="宋体" w:eastAsia="宋体" w:cs="宋体"/>
          <w:color w:val="auto"/>
          <w:sz w:val="24"/>
          <w:szCs w:val="24"/>
          <w:highlight w:val="none"/>
        </w:rPr>
        <w:t>份，采购代理机构</w:t>
      </w:r>
      <w:r>
        <w:rPr>
          <w:rFonts w:hint="eastAsia" w:ascii="宋体" w:hAnsi="宋体" w:eastAsia="宋体" w:cs="宋体"/>
          <w:b/>
          <w:color w:val="auto"/>
          <w:sz w:val="24"/>
          <w:szCs w:val="24"/>
          <w:highlight w:val="none"/>
          <w:u w:val="single"/>
        </w:rPr>
        <w:t>壹</w:t>
      </w:r>
      <w:r>
        <w:rPr>
          <w:rFonts w:hint="eastAsia" w:ascii="宋体" w:hAnsi="宋体" w:eastAsia="宋体" w:cs="宋体"/>
          <w:color w:val="auto"/>
          <w:sz w:val="24"/>
          <w:szCs w:val="24"/>
          <w:highlight w:val="none"/>
        </w:rPr>
        <w:t>份。</w:t>
      </w:r>
      <w:bookmarkEnd w:id="124"/>
      <w:bookmarkEnd w:id="125"/>
    </w:p>
    <w:p>
      <w:pPr>
        <w:widowControl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本条款不因合同的变更、解除和终止而失效。</w:t>
      </w:r>
    </w:p>
    <w:bookmarkEnd w:id="123"/>
    <w:p>
      <w:pPr>
        <w:widowControl w:val="0"/>
        <w:spacing w:line="360" w:lineRule="auto"/>
        <w:ind w:firstLine="482" w:firstLineChars="200"/>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第十八条　合同附件</w:t>
      </w:r>
    </w:p>
    <w:p>
      <w:pPr>
        <w:widowControl w:val="0"/>
        <w:spacing w:line="360" w:lineRule="auto"/>
        <w:ind w:firstLine="480" w:firstLineChars="200"/>
        <w:rPr>
          <w:rFonts w:hint="default" w:ascii="宋体" w:hAnsi="宋体" w:eastAsia="宋体" w:cs="宋体"/>
          <w:color w:val="auto"/>
          <w:sz w:val="24"/>
          <w:szCs w:val="24"/>
          <w:highlight w:val="none"/>
          <w:lang w:eastAsia="zh-CN"/>
        </w:rPr>
      </w:pPr>
      <w:r>
        <w:rPr>
          <w:rFonts w:hint="default" w:ascii="宋体" w:hAnsi="宋体" w:eastAsia="宋体" w:cs="宋体"/>
          <w:color w:val="auto"/>
          <w:sz w:val="24"/>
          <w:szCs w:val="24"/>
          <w:highlight w:val="none"/>
          <w:lang w:eastAsia="zh-CN"/>
        </w:rPr>
        <w:t>附件一：</w:t>
      </w:r>
      <w:r>
        <w:rPr>
          <w:rFonts w:hint="default" w:ascii="宋体" w:hAnsi="宋体" w:eastAsia="宋体" w:cs="宋体"/>
          <w:color w:val="auto"/>
          <w:sz w:val="24"/>
          <w:szCs w:val="24"/>
          <w:highlight w:val="none"/>
          <w:lang w:val="en-US" w:eastAsia="zh-CN"/>
        </w:rPr>
        <w:t>成交通知书</w:t>
      </w:r>
    </w:p>
    <w:p>
      <w:pPr>
        <w:widowControl w:val="0"/>
        <w:spacing w:line="360" w:lineRule="auto"/>
        <w:ind w:firstLine="480" w:firstLineChars="200"/>
        <w:rPr>
          <w:rFonts w:hint="default" w:ascii="宋体" w:hAnsi="宋体" w:eastAsia="宋体" w:cs="宋体"/>
          <w:color w:val="auto"/>
          <w:sz w:val="24"/>
          <w:szCs w:val="24"/>
          <w:highlight w:val="none"/>
        </w:rPr>
      </w:pPr>
      <w:r>
        <w:rPr>
          <w:rFonts w:hint="default" w:ascii="宋体" w:hAnsi="宋体" w:eastAsia="宋体" w:cs="宋体"/>
          <w:color w:val="auto"/>
          <w:sz w:val="24"/>
          <w:szCs w:val="24"/>
          <w:highlight w:val="none"/>
          <w:lang w:eastAsia="zh-CN"/>
        </w:rPr>
        <w:t>附件二：</w:t>
      </w:r>
      <w:r>
        <w:rPr>
          <w:rFonts w:hint="default" w:ascii="宋体" w:hAnsi="宋体" w:eastAsia="宋体" w:cs="宋体"/>
          <w:color w:val="auto"/>
          <w:sz w:val="24"/>
          <w:szCs w:val="24"/>
          <w:highlight w:val="none"/>
        </w:rPr>
        <w:t>服务需求一览表</w:t>
      </w:r>
    </w:p>
    <w:p>
      <w:pPr>
        <w:widowControl w:val="0"/>
        <w:spacing w:line="360" w:lineRule="auto"/>
        <w:ind w:firstLine="480" w:firstLineChars="200"/>
        <w:rPr>
          <w:rFonts w:hint="default" w:ascii="宋体" w:hAnsi="宋体" w:eastAsia="宋体" w:cs="宋体"/>
          <w:color w:val="auto"/>
          <w:sz w:val="24"/>
          <w:szCs w:val="24"/>
          <w:highlight w:val="none"/>
          <w:lang w:eastAsia="zh-CN"/>
        </w:rPr>
      </w:pPr>
      <w:r>
        <w:rPr>
          <w:rFonts w:hint="default" w:ascii="宋体" w:hAnsi="宋体" w:eastAsia="宋体" w:cs="宋体"/>
          <w:color w:val="auto"/>
          <w:sz w:val="24"/>
          <w:szCs w:val="24"/>
          <w:highlight w:val="none"/>
          <w:lang w:eastAsia="zh-CN"/>
        </w:rPr>
        <w:t>附件三：响应</w:t>
      </w:r>
      <w:r>
        <w:rPr>
          <w:rFonts w:hint="eastAsia" w:ascii="宋体" w:hAnsi="宋体" w:eastAsia="宋体" w:cs="宋体"/>
          <w:color w:val="auto"/>
          <w:sz w:val="24"/>
          <w:szCs w:val="24"/>
          <w:highlight w:val="none"/>
          <w:lang w:eastAsia="zh-CN"/>
        </w:rPr>
        <w:t>函</w:t>
      </w:r>
    </w:p>
    <w:p>
      <w:pPr>
        <w:widowControl w:val="0"/>
        <w:spacing w:line="360" w:lineRule="auto"/>
        <w:ind w:firstLine="480" w:firstLineChars="200"/>
        <w:rPr>
          <w:rFonts w:hint="default" w:ascii="宋体" w:hAnsi="宋体" w:eastAsia="宋体" w:cs="宋体"/>
          <w:color w:val="auto"/>
          <w:sz w:val="24"/>
          <w:szCs w:val="24"/>
          <w:highlight w:val="none"/>
          <w:lang w:eastAsia="zh-CN"/>
        </w:rPr>
      </w:pPr>
      <w:r>
        <w:rPr>
          <w:rFonts w:hint="default" w:ascii="宋体" w:hAnsi="宋体" w:eastAsia="宋体" w:cs="宋体"/>
          <w:color w:val="auto"/>
          <w:sz w:val="24"/>
          <w:szCs w:val="24"/>
          <w:highlight w:val="none"/>
          <w:lang w:eastAsia="zh-CN"/>
        </w:rPr>
        <w:t>附件四：响应报价表</w:t>
      </w:r>
    </w:p>
    <w:p>
      <w:pPr>
        <w:widowControl w:val="0"/>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附件五：响应服务技术</w:t>
      </w:r>
      <w:r>
        <w:rPr>
          <w:rFonts w:hint="eastAsia" w:ascii="宋体" w:hAnsi="宋体" w:cs="宋体"/>
          <w:color w:val="auto"/>
          <w:sz w:val="24"/>
          <w:szCs w:val="24"/>
          <w:highlight w:val="none"/>
          <w:lang w:val="en-US" w:eastAsia="zh-CN"/>
        </w:rPr>
        <w:t>偏离</w:t>
      </w:r>
      <w:r>
        <w:rPr>
          <w:rFonts w:hint="default" w:ascii="宋体" w:hAnsi="宋体" w:eastAsia="宋体" w:cs="宋体"/>
          <w:color w:val="auto"/>
          <w:sz w:val="24"/>
          <w:szCs w:val="24"/>
          <w:highlight w:val="none"/>
          <w:lang w:val="en-US" w:eastAsia="zh-CN"/>
        </w:rPr>
        <w:t>表</w:t>
      </w:r>
    </w:p>
    <w:p>
      <w:pPr>
        <w:widowControl w:val="0"/>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附件六：商务条款偏离表</w:t>
      </w:r>
    </w:p>
    <w:p>
      <w:pPr>
        <w:widowControl w:val="0"/>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附件七：售后服务承诺</w:t>
      </w:r>
    </w:p>
    <w:p>
      <w:pPr>
        <w:widowControl w:val="0"/>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附件八：协商内容</w:t>
      </w:r>
    </w:p>
    <w:p>
      <w:pPr>
        <w:widowControl w:val="0"/>
        <w:spacing w:line="36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附件九：最终报价</w:t>
      </w:r>
    </w:p>
    <w:p>
      <w:pPr>
        <w:widowControl w:val="0"/>
        <w:spacing w:line="360" w:lineRule="auto"/>
        <w:ind w:firstLine="480" w:firstLineChars="200"/>
        <w:rPr>
          <w:rFonts w:hint="eastAsia" w:ascii="宋体" w:hAnsi="宋体" w:eastAsia="宋体" w:cs="宋体"/>
          <w:color w:val="auto"/>
          <w:sz w:val="24"/>
          <w:szCs w:val="24"/>
          <w:highlight w:val="none"/>
        </w:rPr>
      </w:pPr>
    </w:p>
    <w:tbl>
      <w:tblPr>
        <w:tblStyle w:val="29"/>
        <w:tblW w:w="9360"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680"/>
        <w:gridCol w:w="468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575" w:hRule="atLeast"/>
        </w:trPr>
        <w:tc>
          <w:tcPr>
            <w:tcW w:w="4680"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line="400" w:lineRule="exact"/>
              <w:rPr>
                <w:rStyle w:val="108"/>
                <w:rFonts w:ascii="宋体" w:hAnsi="宋体"/>
                <w:color w:val="auto"/>
                <w:szCs w:val="21"/>
                <w:highlight w:val="none"/>
              </w:rPr>
            </w:pPr>
            <w:r>
              <w:rPr>
                <w:rStyle w:val="108"/>
                <w:rFonts w:ascii="宋体" w:hAnsi="宋体"/>
                <w:color w:val="auto"/>
                <w:szCs w:val="21"/>
                <w:highlight w:val="none"/>
              </w:rPr>
              <w:t xml:space="preserve">甲方（章）           </w:t>
            </w:r>
          </w:p>
          <w:p>
            <w:pPr>
              <w:snapToGrid w:val="0"/>
              <w:spacing w:line="400" w:lineRule="exact"/>
              <w:rPr>
                <w:rStyle w:val="108"/>
                <w:rFonts w:ascii="宋体" w:hAnsi="宋体"/>
                <w:color w:val="auto"/>
                <w:szCs w:val="21"/>
                <w:highlight w:val="none"/>
              </w:rPr>
            </w:pPr>
          </w:p>
          <w:p>
            <w:pPr>
              <w:snapToGrid w:val="0"/>
              <w:spacing w:line="400" w:lineRule="exact"/>
              <w:ind w:firstLine="945" w:firstLineChars="450"/>
              <w:jc w:val="right"/>
              <w:rPr>
                <w:rStyle w:val="108"/>
                <w:rFonts w:ascii="宋体" w:hAnsi="宋体"/>
                <w:color w:val="auto"/>
                <w:szCs w:val="21"/>
                <w:highlight w:val="none"/>
              </w:rPr>
            </w:pPr>
            <w:r>
              <w:rPr>
                <w:rStyle w:val="108"/>
                <w:rFonts w:ascii="宋体" w:hAnsi="宋体"/>
                <w:color w:val="auto"/>
                <w:szCs w:val="21"/>
                <w:highlight w:val="none"/>
              </w:rPr>
              <w:t>年   月   日</w:t>
            </w:r>
          </w:p>
        </w:tc>
        <w:tc>
          <w:tcPr>
            <w:tcW w:w="4680"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line="400" w:lineRule="exact"/>
              <w:rPr>
                <w:rStyle w:val="108"/>
                <w:rFonts w:ascii="宋体" w:hAnsi="宋体"/>
                <w:color w:val="auto"/>
                <w:szCs w:val="21"/>
                <w:highlight w:val="none"/>
              </w:rPr>
            </w:pPr>
            <w:r>
              <w:rPr>
                <w:rStyle w:val="108"/>
                <w:rFonts w:ascii="宋体" w:hAnsi="宋体"/>
                <w:color w:val="auto"/>
                <w:szCs w:val="21"/>
                <w:highlight w:val="none"/>
              </w:rPr>
              <w:t xml:space="preserve">乙方（章）              </w:t>
            </w:r>
          </w:p>
          <w:p>
            <w:pPr>
              <w:snapToGrid w:val="0"/>
              <w:spacing w:line="400" w:lineRule="exact"/>
              <w:rPr>
                <w:rStyle w:val="108"/>
                <w:rFonts w:ascii="宋体" w:hAnsi="宋体"/>
                <w:color w:val="auto"/>
                <w:szCs w:val="21"/>
                <w:highlight w:val="none"/>
              </w:rPr>
            </w:pPr>
          </w:p>
          <w:p>
            <w:pPr>
              <w:snapToGrid w:val="0"/>
              <w:spacing w:line="400" w:lineRule="exact"/>
              <w:jc w:val="right"/>
              <w:rPr>
                <w:rStyle w:val="108"/>
                <w:rFonts w:ascii="宋体" w:hAnsi="宋体"/>
                <w:color w:val="auto"/>
                <w:szCs w:val="21"/>
                <w:highlight w:val="none"/>
              </w:rPr>
            </w:pPr>
            <w:r>
              <w:rPr>
                <w:rStyle w:val="108"/>
                <w:rFonts w:ascii="宋体" w:hAnsi="宋体"/>
                <w:color w:val="auto"/>
                <w:szCs w:val="21"/>
                <w:highlight w:val="none"/>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58" w:hRule="atLeast"/>
        </w:trPr>
        <w:tc>
          <w:tcPr>
            <w:tcW w:w="4680"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line="400" w:lineRule="exact"/>
              <w:rPr>
                <w:rStyle w:val="108"/>
                <w:rFonts w:ascii="宋体" w:hAnsi="宋体"/>
                <w:color w:val="auto"/>
                <w:szCs w:val="21"/>
                <w:highlight w:val="none"/>
              </w:rPr>
            </w:pPr>
            <w:r>
              <w:rPr>
                <w:rStyle w:val="108"/>
                <w:rFonts w:ascii="宋体" w:hAnsi="宋体"/>
                <w:color w:val="auto"/>
                <w:szCs w:val="21"/>
                <w:highlight w:val="none"/>
              </w:rPr>
              <w:t>单位地址：</w:t>
            </w:r>
          </w:p>
        </w:tc>
        <w:tc>
          <w:tcPr>
            <w:tcW w:w="4680"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line="400" w:lineRule="exact"/>
              <w:rPr>
                <w:rStyle w:val="108"/>
                <w:rFonts w:ascii="宋体" w:hAnsi="宋体"/>
                <w:color w:val="auto"/>
                <w:szCs w:val="21"/>
                <w:highlight w:val="none"/>
              </w:rPr>
            </w:pPr>
            <w:r>
              <w:rPr>
                <w:rStyle w:val="108"/>
                <w:rFonts w:ascii="宋体" w:hAnsi="宋体"/>
                <w:color w:val="auto"/>
                <w:szCs w:val="21"/>
                <w:highlight w:val="none"/>
              </w:rPr>
              <w:t>单位地址：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08" w:hRule="atLeast"/>
        </w:trPr>
        <w:tc>
          <w:tcPr>
            <w:tcW w:w="4680"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line="400" w:lineRule="exact"/>
              <w:rPr>
                <w:rStyle w:val="108"/>
                <w:rFonts w:ascii="宋体" w:hAnsi="宋体"/>
                <w:color w:val="auto"/>
                <w:szCs w:val="21"/>
                <w:highlight w:val="none"/>
              </w:rPr>
            </w:pPr>
            <w:r>
              <w:rPr>
                <w:rStyle w:val="108"/>
                <w:rFonts w:ascii="宋体" w:hAnsi="宋体"/>
                <w:color w:val="auto"/>
                <w:szCs w:val="21"/>
                <w:highlight w:val="none"/>
              </w:rPr>
              <w:t>法定代表人（或委托代理人）：</w:t>
            </w:r>
          </w:p>
        </w:tc>
        <w:tc>
          <w:tcPr>
            <w:tcW w:w="4680"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line="400" w:lineRule="exact"/>
              <w:rPr>
                <w:rStyle w:val="108"/>
                <w:rFonts w:ascii="宋体" w:hAnsi="宋体"/>
                <w:color w:val="auto"/>
                <w:szCs w:val="21"/>
                <w:highlight w:val="none"/>
              </w:rPr>
            </w:pPr>
            <w:r>
              <w:rPr>
                <w:rStyle w:val="108"/>
                <w:rFonts w:ascii="宋体" w:hAnsi="宋体"/>
                <w:color w:val="auto"/>
                <w:szCs w:val="21"/>
                <w:highlight w:val="none"/>
              </w:rPr>
              <w:t>法定代表人（或委托代理人）：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48" w:hRule="atLeast"/>
        </w:trPr>
        <w:tc>
          <w:tcPr>
            <w:tcW w:w="4680"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line="400" w:lineRule="exact"/>
              <w:rPr>
                <w:rStyle w:val="108"/>
                <w:rFonts w:ascii="宋体" w:hAnsi="宋体"/>
                <w:color w:val="auto"/>
                <w:szCs w:val="21"/>
                <w:highlight w:val="none"/>
              </w:rPr>
            </w:pPr>
            <w:r>
              <w:rPr>
                <w:rStyle w:val="108"/>
                <w:rFonts w:hint="eastAsia" w:ascii="宋体" w:hAnsi="宋体"/>
                <w:color w:val="auto"/>
                <w:szCs w:val="21"/>
                <w:highlight w:val="none"/>
                <w:lang w:eastAsia="zh-CN"/>
              </w:rPr>
              <w:t>联系</w:t>
            </w:r>
            <w:r>
              <w:rPr>
                <w:rStyle w:val="108"/>
                <w:rFonts w:ascii="宋体" w:hAnsi="宋体"/>
                <w:color w:val="auto"/>
                <w:szCs w:val="21"/>
                <w:highlight w:val="none"/>
              </w:rPr>
              <w:t>电话：</w:t>
            </w:r>
          </w:p>
        </w:tc>
        <w:tc>
          <w:tcPr>
            <w:tcW w:w="4680" w:type="dxa"/>
            <w:tcBorders>
              <w:top w:val="single" w:color="000000" w:sz="4" w:space="0"/>
              <w:left w:val="single" w:color="000000" w:sz="4" w:space="0"/>
              <w:bottom w:val="single" w:color="000000" w:sz="4" w:space="0"/>
              <w:right w:val="single" w:color="000000" w:sz="4" w:space="0"/>
            </w:tcBorders>
            <w:noWrap w:val="0"/>
            <w:vAlign w:val="center"/>
          </w:tcPr>
          <w:p>
            <w:pPr>
              <w:snapToGrid w:val="0"/>
              <w:spacing w:line="400" w:lineRule="exact"/>
              <w:rPr>
                <w:rStyle w:val="108"/>
                <w:rFonts w:ascii="宋体" w:hAnsi="宋体"/>
                <w:color w:val="auto"/>
                <w:szCs w:val="21"/>
                <w:highlight w:val="none"/>
              </w:rPr>
            </w:pPr>
            <w:r>
              <w:rPr>
                <w:rStyle w:val="108"/>
                <w:rFonts w:hint="eastAsia" w:ascii="宋体" w:hAnsi="宋体"/>
                <w:color w:val="auto"/>
                <w:szCs w:val="21"/>
                <w:highlight w:val="none"/>
                <w:lang w:eastAsia="zh-CN"/>
              </w:rPr>
              <w:t>联系</w:t>
            </w:r>
            <w:r>
              <w:rPr>
                <w:rStyle w:val="108"/>
                <w:rFonts w:ascii="宋体" w:hAnsi="宋体"/>
                <w:color w:val="auto"/>
                <w:szCs w:val="21"/>
                <w:highlight w:val="none"/>
              </w:rPr>
              <w:t>电话：</w:t>
            </w:r>
          </w:p>
        </w:tc>
      </w:tr>
    </w:tbl>
    <w:p>
      <w:pPr>
        <w:pStyle w:val="27"/>
        <w:keepNext/>
        <w:spacing w:line="360" w:lineRule="auto"/>
        <w:jc w:val="both"/>
        <w:rPr>
          <w:rFonts w:hint="eastAsia" w:ascii="宋体" w:hAnsi="宋体" w:cs="宋体"/>
        </w:rPr>
      </w:pPr>
      <w:bookmarkStart w:id="126" w:name="_Toc12075"/>
      <w:bookmarkStart w:id="127" w:name="_Toc7881"/>
    </w:p>
    <w:p>
      <w:pPr>
        <w:rPr>
          <w:rFonts w:hint="eastAsia"/>
        </w:rPr>
      </w:pPr>
    </w:p>
    <w:p>
      <w:pPr>
        <w:pStyle w:val="19"/>
        <w:rPr>
          <w:rFonts w:hint="eastAsia"/>
        </w:rPr>
      </w:pPr>
    </w:p>
    <w:p>
      <w:pPr>
        <w:rPr>
          <w:rFonts w:hint="eastAsia"/>
        </w:rPr>
      </w:pPr>
    </w:p>
    <w:p>
      <w:pPr>
        <w:pStyle w:val="19"/>
        <w:rPr>
          <w:rFonts w:hint="eastAsia"/>
        </w:rPr>
      </w:pPr>
    </w:p>
    <w:p>
      <w:pPr>
        <w:rPr>
          <w:rFonts w:hint="eastAsia"/>
        </w:rPr>
      </w:pPr>
    </w:p>
    <w:p>
      <w:pPr>
        <w:pStyle w:val="19"/>
        <w:rPr>
          <w:rFonts w:hint="eastAsia"/>
        </w:rPr>
      </w:pPr>
    </w:p>
    <w:p>
      <w:pPr>
        <w:rPr>
          <w:rFonts w:hint="eastAsia"/>
        </w:rPr>
      </w:pPr>
    </w:p>
    <w:p>
      <w:pPr>
        <w:pStyle w:val="19"/>
        <w:rPr>
          <w:rFonts w:hint="eastAsia"/>
        </w:rPr>
      </w:pPr>
    </w:p>
    <w:p>
      <w:pPr>
        <w:rPr>
          <w:rFonts w:hint="eastAsia"/>
        </w:rPr>
      </w:pPr>
    </w:p>
    <w:p>
      <w:pPr>
        <w:pStyle w:val="19"/>
        <w:rPr>
          <w:rFonts w:hint="eastAsia"/>
        </w:rPr>
      </w:pPr>
    </w:p>
    <w:p>
      <w:pPr>
        <w:rPr>
          <w:rFonts w:hint="eastAsia"/>
        </w:rPr>
      </w:pPr>
    </w:p>
    <w:p>
      <w:pPr>
        <w:pStyle w:val="19"/>
        <w:rPr>
          <w:rFonts w:hint="eastAsia"/>
        </w:rPr>
      </w:pPr>
    </w:p>
    <w:p>
      <w:pPr>
        <w:rPr>
          <w:rFonts w:hint="eastAsia"/>
        </w:rPr>
      </w:pPr>
    </w:p>
    <w:p>
      <w:pPr>
        <w:pStyle w:val="19"/>
        <w:rPr>
          <w:rFonts w:hint="eastAsia"/>
        </w:rPr>
      </w:pPr>
    </w:p>
    <w:p>
      <w:pPr>
        <w:rPr>
          <w:rFonts w:hint="eastAsia"/>
        </w:rPr>
      </w:pPr>
    </w:p>
    <w:p>
      <w:pPr>
        <w:pStyle w:val="27"/>
        <w:keepNext/>
        <w:spacing w:line="360" w:lineRule="auto"/>
        <w:ind w:firstLine="3534" w:firstLineChars="1100"/>
        <w:jc w:val="both"/>
        <w:rPr>
          <w:rFonts w:ascii="宋体" w:hAnsi="宋体" w:cs="宋体"/>
        </w:rPr>
      </w:pPr>
      <w:r>
        <w:rPr>
          <w:rFonts w:hint="eastAsia" w:ascii="宋体" w:hAnsi="宋体" w:cs="宋体"/>
        </w:rPr>
        <w:t>第六章  评审方法</w:t>
      </w:r>
      <w:bookmarkEnd w:id="126"/>
      <w:bookmarkEnd w:id="127"/>
    </w:p>
    <w:p>
      <w:pPr>
        <w:pStyle w:val="15"/>
        <w:keepNext/>
        <w:spacing w:line="440" w:lineRule="exact"/>
        <w:ind w:firstLine="4216" w:firstLineChars="1500"/>
        <w:rPr>
          <w:rFonts w:hAnsi="宋体" w:cs="宋体"/>
          <w:b/>
          <w:sz w:val="28"/>
          <w:szCs w:val="28"/>
        </w:rPr>
      </w:pPr>
      <w:r>
        <w:rPr>
          <w:rFonts w:hint="eastAsia" w:hAnsi="宋体" w:cs="宋体"/>
          <w:b/>
          <w:sz w:val="28"/>
          <w:szCs w:val="28"/>
        </w:rPr>
        <w:t>综合评分法</w:t>
      </w:r>
    </w:p>
    <w:p>
      <w:pPr>
        <w:keepNext/>
        <w:rPr>
          <w:rFonts w:ascii="宋体" w:hAnsi="宋体" w:cs="宋体"/>
        </w:rPr>
      </w:pPr>
    </w:p>
    <w:bookmarkEnd w:id="3"/>
    <w:bookmarkEnd w:id="4"/>
    <w:bookmarkEnd w:id="103"/>
    <w:bookmarkEnd w:id="104"/>
    <w:bookmarkEnd w:id="105"/>
    <w:bookmarkEnd w:id="106"/>
    <w:bookmarkEnd w:id="107"/>
    <w:bookmarkEnd w:id="108"/>
    <w:p>
      <w:pPr>
        <w:pStyle w:val="15"/>
        <w:keepNext/>
        <w:spacing w:line="380" w:lineRule="exact"/>
        <w:ind w:firstLine="455" w:firstLineChars="216"/>
        <w:rPr>
          <w:rFonts w:hAnsi="宋体" w:cs="宋体"/>
          <w:b/>
        </w:rPr>
      </w:pPr>
      <w:bookmarkStart w:id="128" w:name="_Toc213326414"/>
      <w:bookmarkStart w:id="129" w:name="_Toc485920212"/>
      <w:bookmarkStart w:id="130" w:name="_Toc460253701"/>
      <w:bookmarkStart w:id="131" w:name="_Toc213325923"/>
      <w:bookmarkStart w:id="132" w:name="_Toc213206174"/>
      <w:r>
        <w:rPr>
          <w:rFonts w:hint="eastAsia" w:hAnsi="宋体" w:cs="宋体"/>
          <w:b/>
        </w:rPr>
        <w:t>一、评标原则</w:t>
      </w:r>
    </w:p>
    <w:p>
      <w:pPr>
        <w:keepNext/>
        <w:spacing w:line="380" w:lineRule="exact"/>
        <w:ind w:firstLine="420" w:firstLineChars="200"/>
        <w:rPr>
          <w:rFonts w:ascii="宋体" w:hAnsi="宋体" w:cs="宋体"/>
          <w:szCs w:val="21"/>
        </w:rPr>
      </w:pPr>
      <w:r>
        <w:rPr>
          <w:rFonts w:hint="eastAsia" w:ascii="宋体" w:hAnsi="宋体" w:cs="宋体"/>
          <w:szCs w:val="21"/>
        </w:rPr>
        <w:t>（一）磋商小组成：磋商小组由采购人代表和评审专家共3人以上单数组成，其中评审专家人数不得少于磋商小组成员总数的三分之二。</w:t>
      </w:r>
    </w:p>
    <w:p>
      <w:pPr>
        <w:keepNext/>
        <w:spacing w:line="380" w:lineRule="exact"/>
        <w:ind w:firstLine="420" w:firstLineChars="200"/>
        <w:rPr>
          <w:rFonts w:ascii="宋体" w:hAnsi="宋体" w:cs="宋体"/>
          <w:szCs w:val="21"/>
        </w:rPr>
      </w:pPr>
      <w:r>
        <w:rPr>
          <w:rFonts w:hint="eastAsia" w:ascii="宋体" w:hAnsi="宋体" w:cs="宋体"/>
          <w:szCs w:val="21"/>
        </w:rPr>
        <w:t>（二）评审依据：磋商小组将以磋商文件、响应文件为评标依据，对供应商的磋商报价、技术、售后服务、信誉业绩</w:t>
      </w:r>
      <w:r>
        <w:rPr>
          <w:rFonts w:hint="eastAsia" w:ascii="宋体" w:hAnsi="宋体" w:cs="宋体"/>
          <w:bCs/>
        </w:rPr>
        <w:t>等方面内容按百分制打分。</w:t>
      </w:r>
    </w:p>
    <w:p>
      <w:pPr>
        <w:keepNext/>
        <w:spacing w:line="380" w:lineRule="exact"/>
        <w:ind w:firstLine="420" w:firstLineChars="200"/>
        <w:rPr>
          <w:rFonts w:ascii="宋体" w:hAnsi="宋体" w:cs="宋体"/>
          <w:szCs w:val="21"/>
        </w:rPr>
      </w:pPr>
      <w:r>
        <w:rPr>
          <w:rFonts w:hint="eastAsia" w:ascii="宋体" w:hAnsi="宋体" w:cs="宋体"/>
          <w:szCs w:val="21"/>
        </w:rPr>
        <w:t>（三）评标方式：以封闭方式进行。</w:t>
      </w:r>
    </w:p>
    <w:p>
      <w:pPr>
        <w:keepNext/>
        <w:spacing w:line="380" w:lineRule="exact"/>
        <w:ind w:firstLine="420" w:firstLineChars="200"/>
        <w:rPr>
          <w:rFonts w:ascii="宋体" w:hAnsi="宋体" w:cs="宋体"/>
          <w:szCs w:val="21"/>
        </w:rPr>
      </w:pPr>
      <w:r>
        <w:rPr>
          <w:rFonts w:hint="eastAsia" w:ascii="宋体" w:hAnsi="宋体" w:cs="宋体"/>
          <w:bCs/>
        </w:rPr>
        <w:t>（</w:t>
      </w:r>
      <w:r>
        <w:rPr>
          <w:rFonts w:hint="eastAsia" w:ascii="宋体" w:hAnsi="宋体" w:cs="宋体"/>
          <w:bCs/>
          <w:lang w:eastAsia="zh-CN"/>
        </w:rPr>
        <w:t>四</w:t>
      </w:r>
      <w:r>
        <w:rPr>
          <w:rFonts w:hint="eastAsia" w:ascii="宋体" w:hAnsi="宋体" w:cs="宋体"/>
          <w:bCs/>
        </w:rPr>
        <w:t>）</w:t>
      </w:r>
      <w:r>
        <w:rPr>
          <w:rFonts w:hint="eastAsia" w:ascii="宋体" w:hAnsi="宋体" w:cs="宋体"/>
        </w:rPr>
        <w:t>磋商小组认为，某供应商的最终报价明显低于其他实质性响应磋商文件的供应商的最终报价，有可能影响产品质量或者不能诚信履约的，应当要求其在评审现场合理的时间内提供书面说明，必要时提交相关证明材料；供应商不能证明其报价合理性的，磋商小组应当将其作为未实质性响应磋商文件处理。</w:t>
      </w:r>
    </w:p>
    <w:p>
      <w:pPr>
        <w:pStyle w:val="15"/>
        <w:keepNext/>
        <w:spacing w:line="380" w:lineRule="exact"/>
        <w:ind w:firstLine="413" w:firstLineChars="196"/>
        <w:rPr>
          <w:rFonts w:hAnsi="宋体" w:cs="宋体"/>
          <w:b/>
        </w:rPr>
      </w:pPr>
      <w:bookmarkStart w:id="133" w:name="_Toc322094434"/>
      <w:r>
        <w:rPr>
          <w:rFonts w:hint="eastAsia" w:hAnsi="宋体" w:cs="宋体"/>
          <w:b/>
        </w:rPr>
        <w:t>二、评定方法</w:t>
      </w:r>
      <w:bookmarkEnd w:id="133"/>
    </w:p>
    <w:p>
      <w:pPr>
        <w:keepNext/>
        <w:widowControl/>
        <w:spacing w:line="380" w:lineRule="exact"/>
        <w:ind w:firstLine="420" w:firstLineChars="200"/>
        <w:jc w:val="left"/>
        <w:rPr>
          <w:rFonts w:ascii="宋体" w:hAnsi="宋体" w:cs="宋体"/>
          <w:bCs/>
          <w:szCs w:val="21"/>
        </w:rPr>
      </w:pPr>
      <w:bookmarkStart w:id="134" w:name="_Toc322094437"/>
      <w:r>
        <w:rPr>
          <w:rFonts w:hint="eastAsia" w:ascii="宋体" w:hAnsi="宋体" w:cs="宋体"/>
          <w:bCs/>
          <w:szCs w:val="21"/>
        </w:rPr>
        <w:t>（一）对进入详评的，采用百分制综合评分法。</w:t>
      </w:r>
    </w:p>
    <w:p>
      <w:pPr>
        <w:pStyle w:val="15"/>
        <w:keepNext/>
        <w:spacing w:line="380" w:lineRule="exact"/>
        <w:ind w:firstLine="411" w:firstLineChars="196"/>
        <w:rPr>
          <w:rFonts w:hint="eastAsia" w:hAnsi="宋体" w:cs="宋体"/>
          <w:bCs/>
        </w:rPr>
      </w:pPr>
      <w:r>
        <w:rPr>
          <w:rFonts w:hint="eastAsia" w:hAnsi="宋体" w:cs="宋体"/>
          <w:bCs/>
        </w:rPr>
        <w:t>（二）计分办法（按四舍五入取至百分位）。</w:t>
      </w:r>
    </w:p>
    <w:p>
      <w:pPr>
        <w:pStyle w:val="15"/>
        <w:keepNext/>
        <w:spacing w:line="380" w:lineRule="exact"/>
        <w:ind w:firstLine="411" w:firstLineChars="196"/>
        <w:rPr>
          <w:rFonts w:hint="eastAsia" w:hAnsi="宋体" w:cs="宋体"/>
          <w:bCs/>
        </w:rPr>
      </w:pPr>
    </w:p>
    <w:p>
      <w:pPr>
        <w:pStyle w:val="15"/>
        <w:keepNext/>
        <w:spacing w:line="380" w:lineRule="exact"/>
        <w:rPr>
          <w:rFonts w:hint="eastAsia" w:ascii="宋体" w:hAnsi="宋体" w:cs="宋体"/>
          <w:b/>
          <w:bCs w:val="0"/>
          <w:sz w:val="28"/>
          <w:szCs w:val="28"/>
          <w:lang w:eastAsia="zh-CN"/>
        </w:rPr>
      </w:pPr>
      <w:r>
        <w:rPr>
          <w:rFonts w:hint="eastAsia" w:hAnsi="宋体" w:cs="宋体"/>
          <w:b/>
          <w:bCs w:val="0"/>
          <w:sz w:val="28"/>
          <w:szCs w:val="28"/>
          <w:lang w:eastAsia="zh-CN"/>
        </w:rPr>
        <w:t>分包一</w:t>
      </w:r>
      <w:r>
        <w:rPr>
          <w:rFonts w:hint="eastAsia" w:ascii="宋体" w:hAnsi="宋体" w:cs="宋体"/>
          <w:b/>
          <w:bCs w:val="0"/>
          <w:sz w:val="28"/>
          <w:szCs w:val="28"/>
        </w:rPr>
        <w:t>评审方法</w:t>
      </w:r>
      <w:r>
        <w:rPr>
          <w:rFonts w:hint="eastAsia" w:ascii="宋体" w:hAnsi="宋体" w:cs="宋体"/>
          <w:b/>
          <w:bCs w:val="0"/>
          <w:sz w:val="28"/>
          <w:szCs w:val="28"/>
          <w:lang w:eastAsia="zh-CN"/>
        </w:rPr>
        <w:t>：</w:t>
      </w:r>
    </w:p>
    <w:p>
      <w:pPr>
        <w:pStyle w:val="15"/>
        <w:keepNext/>
        <w:spacing w:line="380" w:lineRule="exact"/>
        <w:ind w:firstLine="551" w:firstLineChars="196"/>
        <w:rPr>
          <w:rFonts w:hint="eastAsia" w:ascii="宋体" w:hAnsi="宋体" w:cs="宋体"/>
          <w:b/>
          <w:bCs w:val="0"/>
          <w:sz w:val="28"/>
          <w:szCs w:val="28"/>
          <w:lang w:eastAsia="zh-CN"/>
        </w:rPr>
      </w:pPr>
    </w:p>
    <w:tbl>
      <w:tblPr>
        <w:tblStyle w:val="2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342"/>
        <w:gridCol w:w="1395"/>
        <w:gridCol w:w="577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0" w:hRule="atLeast"/>
          <w:jc w:val="center"/>
        </w:trPr>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评标项目</w:t>
            </w:r>
          </w:p>
        </w:tc>
        <w:tc>
          <w:tcPr>
            <w:tcW w:w="13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评标分值</w:t>
            </w:r>
          </w:p>
        </w:tc>
        <w:tc>
          <w:tcPr>
            <w:tcW w:w="5779"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评标方法描述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价格分</w:t>
            </w:r>
          </w:p>
        </w:tc>
        <w:tc>
          <w:tcPr>
            <w:tcW w:w="13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价格分</w:t>
            </w:r>
            <w:r>
              <w:rPr>
                <w:rFonts w:hint="eastAsia" w:ascii="宋体" w:hAnsi="宋体" w:eastAsia="宋体" w:cs="宋体"/>
                <w:i w:val="0"/>
                <w:iCs w:val="0"/>
                <w:color w:val="auto"/>
                <w:sz w:val="21"/>
                <w:szCs w:val="21"/>
                <w:highlight w:val="none"/>
                <w:lang w:val="en-US" w:eastAsia="zh-CN"/>
              </w:rPr>
              <w:t>（</w:t>
            </w:r>
            <w:r>
              <w:rPr>
                <w:rFonts w:hint="eastAsia" w:ascii="宋体" w:hAnsi="宋体" w:eastAsia="宋体" w:cs="宋体"/>
                <w:i w:val="0"/>
                <w:iCs w:val="0"/>
                <w:color w:val="auto"/>
                <w:sz w:val="21"/>
                <w:szCs w:val="21"/>
                <w:highlight w:val="none"/>
              </w:rPr>
              <w:t>满分</w:t>
            </w:r>
            <w:r>
              <w:rPr>
                <w:rFonts w:hint="eastAsia" w:ascii="宋体" w:hAnsi="宋体" w:eastAsia="宋体" w:cs="宋体"/>
                <w:i w:val="0"/>
                <w:iCs w:val="0"/>
                <w:color w:val="auto"/>
                <w:sz w:val="21"/>
                <w:szCs w:val="21"/>
                <w:highlight w:val="none"/>
                <w:lang w:val="en-US" w:eastAsia="zh-CN"/>
              </w:rPr>
              <w:t>10</w:t>
            </w:r>
            <w:r>
              <w:rPr>
                <w:rFonts w:hint="eastAsia" w:ascii="宋体" w:hAnsi="宋体" w:eastAsia="宋体" w:cs="宋体"/>
                <w:i w:val="0"/>
                <w:iCs w:val="0"/>
                <w:color w:val="auto"/>
                <w:sz w:val="21"/>
                <w:szCs w:val="21"/>
                <w:highlight w:val="none"/>
              </w:rPr>
              <w:t>分</w:t>
            </w:r>
            <w:r>
              <w:rPr>
                <w:rFonts w:hint="eastAsia" w:ascii="宋体" w:hAnsi="宋体" w:eastAsia="宋体" w:cs="宋体"/>
                <w:i w:val="0"/>
                <w:iCs w:val="0"/>
                <w:color w:val="auto"/>
                <w:sz w:val="21"/>
                <w:szCs w:val="21"/>
                <w:highlight w:val="none"/>
                <w:lang w:val="en-US" w:eastAsia="zh-CN"/>
              </w:rPr>
              <w:t>）</w:t>
            </w:r>
          </w:p>
        </w:tc>
        <w:tc>
          <w:tcPr>
            <w:tcW w:w="5779" w:type="dxa"/>
            <w:noWrap w:val="0"/>
            <w:vAlign w:val="center"/>
          </w:tcPr>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1.评审报价为供应商的最后报价进行政策性扣除后的价格，评审报价只是作为评审时使用。最终成交供应商的成交金额等于最后报价（如有修正，以确认修正后的最后报价为准）。</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2.政府采购政策性扣除计算方法</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按照《政府采购促进中小企业发展管理办法》（财库〔2020〕46号）及《广西壮族自治区财政厅关于贯彻落实政府采购支持中小企业发展政策的通知》（桂财采〔2022〕31号）的规定，供应商在其响应文件中提供《中小企业声明函》，且其服务为小型和微型企业承接的，对其最后报价给予20%的扣除。</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监狱企业属于小型、微型企业的，不重复享受政策。</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（4）政策性扣除计算方法。</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在服务采购项目中，服务由小微企业承接；对符合上述要求的供应商的竞标报价给予20%的扣除，扣除后的价格为评审报价，即评审报价=竞标报价×（1-20%）。接受大中型企业与小微企业组成联合体或者允许大中型企业向一家或者多家小微企业分包的采购项目，联合协议或者分包意向协议约定小微企业的合同份额占到合同总金额30%以上的，采购人、采购代理机构应当对联合体或者大中型企业的报价给予6%的扣除，用扣除后的价格参加评审，扣除后的价格为评审报价，即评审报价=竞标报价×（1-6%）。除上述情况外，评审报价=竞标报价。</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（5）除上述情况外，评审报价＝最后报价。</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（6）以进入比较与评价环节的最低的评审报价为基准价，基准价得分为10分。</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（7）价格分计算公式：</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i w:val="0"/>
                <w:iCs w:val="0"/>
                <w:color w:val="auto"/>
                <w:sz w:val="21"/>
                <w:szCs w:val="21"/>
                <w:highlight w:val="none"/>
              </w:rPr>
            </w:pPr>
            <w:r>
              <w:rPr>
                <w:rFonts w:hint="eastAsia" w:ascii="宋体" w:hAnsi="宋体" w:eastAsia="宋体" w:cs="宋体"/>
                <w:bCs/>
                <w:color w:val="auto"/>
                <w:sz w:val="21"/>
                <w:szCs w:val="21"/>
                <w:highlight w:val="none"/>
              </w:rPr>
              <w:t>报价得分=（基准价/最后报价）×10分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342"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技术分</w:t>
            </w:r>
          </w:p>
        </w:tc>
        <w:tc>
          <w:tcPr>
            <w:tcW w:w="13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eastAsia="zh-CN"/>
              </w:rPr>
              <w:t>实施方案</w:t>
            </w:r>
            <w:r>
              <w:rPr>
                <w:rFonts w:hint="eastAsia" w:ascii="宋体" w:hAnsi="宋体" w:eastAsia="宋体" w:cs="宋体"/>
                <w:i w:val="0"/>
                <w:iCs w:val="0"/>
                <w:color w:val="auto"/>
                <w:sz w:val="21"/>
                <w:szCs w:val="21"/>
                <w:highlight w:val="none"/>
              </w:rPr>
              <w:t>（满分</w:t>
            </w:r>
            <w:r>
              <w:rPr>
                <w:rFonts w:hint="eastAsia" w:ascii="宋体" w:hAnsi="宋体" w:eastAsia="宋体" w:cs="宋体"/>
                <w:i w:val="0"/>
                <w:iCs w:val="0"/>
                <w:color w:val="auto"/>
                <w:sz w:val="21"/>
                <w:szCs w:val="21"/>
                <w:highlight w:val="none"/>
                <w:lang w:val="en-US" w:eastAsia="zh-CN"/>
              </w:rPr>
              <w:t>30</w:t>
            </w:r>
            <w:r>
              <w:rPr>
                <w:rFonts w:hint="eastAsia" w:ascii="宋体" w:hAnsi="宋体" w:eastAsia="宋体" w:cs="宋体"/>
                <w:i w:val="0"/>
                <w:iCs w:val="0"/>
                <w:color w:val="auto"/>
                <w:sz w:val="21"/>
                <w:szCs w:val="21"/>
                <w:highlight w:val="none"/>
              </w:rPr>
              <w:t>分）</w:t>
            </w:r>
          </w:p>
        </w:tc>
        <w:tc>
          <w:tcPr>
            <w:tcW w:w="5779" w:type="dxa"/>
            <w:noWrap w:val="0"/>
            <w:vAlign w:val="top"/>
          </w:tcPr>
          <w:p>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400" w:lineRule="exact"/>
              <w:ind w:left="0" w:right="0"/>
              <w:jc w:val="both"/>
              <w:textAlignment w:val="auto"/>
              <w:rPr>
                <w:rFonts w:hint="eastAsia" w:ascii="宋体" w:hAnsi="宋体" w:eastAsia="宋体" w:cs="宋体"/>
                <w:bCs/>
                <w:color w:val="000000"/>
                <w:kern w:val="2"/>
                <w:sz w:val="21"/>
                <w:szCs w:val="21"/>
                <w:lang w:val="en-US" w:eastAsia="zh-CN" w:bidi="ar"/>
              </w:rPr>
            </w:pPr>
            <w:r>
              <w:rPr>
                <w:rFonts w:hint="eastAsia" w:ascii="宋体" w:hAnsi="宋体" w:eastAsia="宋体" w:cs="宋体"/>
                <w:bCs/>
                <w:color w:val="000000"/>
                <w:kern w:val="2"/>
                <w:sz w:val="21"/>
                <w:szCs w:val="21"/>
                <w:lang w:val="en-US" w:eastAsia="zh-CN" w:bidi="ar"/>
              </w:rPr>
              <w:t>根据供应商提供的实施方案进行评审，该方案应包括但不限于：①项目背景解读；②项目重点难点分析；③总体思路和工作开展计划；④对相关标准、规范及采购需求的了解。</w:t>
            </w:r>
          </w:p>
          <w:p>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400" w:lineRule="exact"/>
              <w:ind w:left="0" w:right="0"/>
              <w:jc w:val="both"/>
              <w:textAlignment w:val="auto"/>
              <w:rPr>
                <w:rFonts w:hint="eastAsia" w:ascii="宋体" w:hAnsi="宋体" w:eastAsia="宋体" w:cs="宋体"/>
                <w:bCs/>
                <w:color w:val="000000"/>
                <w:kern w:val="2"/>
                <w:sz w:val="21"/>
                <w:szCs w:val="21"/>
                <w:lang w:val="en-US" w:eastAsia="zh-CN" w:bidi="ar"/>
              </w:rPr>
            </w:pPr>
            <w:r>
              <w:rPr>
                <w:rFonts w:hint="eastAsia" w:ascii="宋体" w:hAnsi="宋体" w:eastAsia="宋体" w:cs="宋体"/>
                <w:bCs/>
                <w:color w:val="000000"/>
                <w:kern w:val="2"/>
                <w:sz w:val="21"/>
                <w:szCs w:val="21"/>
                <w:lang w:val="en-US" w:eastAsia="zh-CN" w:bidi="ar"/>
              </w:rPr>
              <w:t>一档（10分）：经评委综合评定，维护保养实施方案简单，能提供对接方案；保证维护保养服务实施的技术力量和人力资源安排基本满足要求，技术服务内容和措施不完整。</w:t>
            </w:r>
          </w:p>
          <w:p>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400" w:lineRule="exact"/>
              <w:ind w:left="0" w:right="0"/>
              <w:jc w:val="both"/>
              <w:textAlignment w:val="auto"/>
              <w:rPr>
                <w:rFonts w:hint="eastAsia" w:ascii="宋体" w:hAnsi="宋体" w:eastAsia="宋体" w:cs="宋体"/>
                <w:bCs/>
                <w:color w:val="000000"/>
                <w:kern w:val="2"/>
                <w:sz w:val="21"/>
                <w:szCs w:val="21"/>
                <w:lang w:val="en-US" w:eastAsia="zh-CN" w:bidi="ar"/>
              </w:rPr>
            </w:pPr>
            <w:r>
              <w:rPr>
                <w:rFonts w:hint="eastAsia" w:ascii="宋体" w:hAnsi="宋体" w:eastAsia="宋体" w:cs="宋体"/>
                <w:bCs/>
                <w:color w:val="000000"/>
                <w:kern w:val="2"/>
                <w:sz w:val="21"/>
                <w:szCs w:val="21"/>
                <w:lang w:val="en-US" w:eastAsia="zh-CN" w:bidi="ar"/>
              </w:rPr>
              <w:t>二档（20分）：经评委综合评定，维护保养实施方案较详细完整，能提供对接方案并且较合理；保证维护保养服务实施的技术力量和人力资源安排满足项目实施要求，技术服务内容和措施较完善。</w:t>
            </w:r>
          </w:p>
          <w:p>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400" w:lineRule="exact"/>
              <w:ind w:left="0" w:right="0"/>
              <w:jc w:val="both"/>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bCs/>
                <w:color w:val="000000"/>
                <w:kern w:val="2"/>
                <w:sz w:val="21"/>
                <w:szCs w:val="21"/>
                <w:lang w:val="en-US" w:eastAsia="zh-CN" w:bidi="ar"/>
              </w:rPr>
              <w:t>三档（30分）：经评委综合评定，维护保养服务实施方案详实，能切合本项目实际提供对接方案，方案能清楚的表明对本项目的熟悉程度，对本项目各项设备保养计划进行详细阐述，不同的设备提供专项维护保养方案，</w:t>
            </w:r>
            <w:r>
              <w:rPr>
                <w:rFonts w:hint="eastAsia" w:ascii="宋体" w:hAnsi="宋体" w:eastAsia="宋体" w:cs="宋体"/>
                <w:bCs/>
                <w:color w:val="000000"/>
                <w:kern w:val="2"/>
                <w:sz w:val="21"/>
                <w:szCs w:val="21"/>
                <w:lang w:val="zh-CN" w:eastAsia="zh-CN" w:bidi="ar"/>
              </w:rPr>
              <w:t>可行性强</w:t>
            </w:r>
            <w:r>
              <w:rPr>
                <w:rFonts w:hint="eastAsia" w:ascii="宋体" w:hAnsi="宋体" w:eastAsia="宋体" w:cs="宋体"/>
                <w:bCs/>
                <w:color w:val="000000"/>
                <w:kern w:val="2"/>
                <w:sz w:val="21"/>
                <w:szCs w:val="21"/>
                <w:lang w:val="en-US" w:eastAsia="zh-CN" w:bidi="ar"/>
              </w:rPr>
              <w:t>；保证项目实施的技术力量和人力资源安排充足，技术服务内容和措施的阐述详细完善。未提供对应方案不得分。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1342"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sz w:val="21"/>
                <w:szCs w:val="21"/>
                <w:highlight w:val="none"/>
                <w:lang w:val="en-US" w:eastAsia="zh-CN"/>
              </w:rPr>
            </w:pPr>
          </w:p>
        </w:tc>
        <w:tc>
          <w:tcPr>
            <w:tcW w:w="1395" w:type="dxa"/>
            <w:noWrap w:val="0"/>
            <w:vAlign w:val="center"/>
          </w:tcPr>
          <w:p>
            <w:pPr>
              <w:keepNext w:val="0"/>
              <w:keepLines w:val="0"/>
              <w:pageBreakBefore w:val="0"/>
              <w:kinsoku/>
              <w:wordWrap/>
              <w:overflowPunct/>
              <w:topLinePunct w:val="0"/>
              <w:autoSpaceDE/>
              <w:autoSpaceDN/>
              <w:bidi w:val="0"/>
              <w:adjustRightInd/>
              <w:spacing w:line="400" w:lineRule="exact"/>
              <w:jc w:val="both"/>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服务质量控制方案（满分24分）</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val="0"/>
                <w:i w:val="0"/>
                <w:iCs w:val="0"/>
                <w:color w:val="auto"/>
                <w:sz w:val="21"/>
                <w:szCs w:val="21"/>
                <w:highlight w:val="none"/>
                <w:lang w:val="en-US" w:eastAsia="zh-CN"/>
              </w:rPr>
            </w:pPr>
          </w:p>
        </w:tc>
        <w:tc>
          <w:tcPr>
            <w:tcW w:w="5779" w:type="dxa"/>
            <w:noWrap w:val="0"/>
            <w:vAlign w:val="center"/>
          </w:tcPr>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根据供应商提供的</w:t>
            </w:r>
            <w:r>
              <w:rPr>
                <w:rFonts w:hint="eastAsia" w:ascii="宋体" w:hAnsi="宋体" w:eastAsia="宋体" w:cs="宋体"/>
                <w:b w:val="0"/>
                <w:bCs w:val="0"/>
                <w:color w:val="auto"/>
                <w:sz w:val="21"/>
                <w:szCs w:val="21"/>
                <w:highlight w:val="none"/>
                <w:lang w:val="en-US" w:eastAsia="zh-CN"/>
              </w:rPr>
              <w:t>服务</w:t>
            </w:r>
            <w:r>
              <w:rPr>
                <w:rFonts w:hint="eastAsia" w:ascii="宋体" w:hAnsi="宋体" w:eastAsia="宋体" w:cs="宋体"/>
                <w:b w:val="0"/>
                <w:bCs w:val="0"/>
                <w:color w:val="auto"/>
                <w:kern w:val="0"/>
                <w:sz w:val="21"/>
                <w:szCs w:val="21"/>
                <w:highlight w:val="none"/>
                <w:lang w:val="en-US" w:eastAsia="zh-CN"/>
              </w:rPr>
              <w:t>质量保证方案内容进行评分，对方案中的组织管理方案（项目管理、人员管理）、</w:t>
            </w:r>
            <w:r>
              <w:rPr>
                <w:rFonts w:hint="eastAsia" w:ascii="宋体" w:hAnsi="宋体" w:eastAsia="宋体" w:cs="宋体"/>
                <w:b w:val="0"/>
                <w:bCs w:val="0"/>
                <w:color w:val="auto"/>
                <w:sz w:val="21"/>
                <w:szCs w:val="21"/>
                <w:highlight w:val="none"/>
                <w:lang w:val="en-US" w:eastAsia="zh-CN"/>
              </w:rPr>
              <w:t>服务</w:t>
            </w:r>
            <w:r>
              <w:rPr>
                <w:rFonts w:hint="eastAsia" w:ascii="宋体" w:hAnsi="宋体" w:eastAsia="宋体" w:cs="宋体"/>
                <w:b w:val="0"/>
                <w:bCs w:val="0"/>
                <w:color w:val="auto"/>
                <w:kern w:val="0"/>
                <w:sz w:val="21"/>
                <w:szCs w:val="21"/>
                <w:highlight w:val="none"/>
                <w:lang w:val="en-US" w:eastAsia="zh-CN"/>
              </w:rPr>
              <w:t>质量管理制度、服务目标管理制度等进行综合评分，其中：</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一档（6分）：组织管理方案（项目管理、人员管理）、服务质量管理制度、服务目标管理制度；服务质量控制方案包含上述内容、基本完整但与实际情况有偏离、不够合理。</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二档（12分）：组织管理方案（项目管理、人员管理）、服务质量管理制度、服务目标管理制度；服务质量控制方案包含上述内容、基本完整且符合实际、合理。</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三档（16分）：组织管理方案（项目管理、人员管理）、服务质量管理制度、服务目标管理制度；服务质量控制方案包含上述内容、较为完整、具有一定的可操作性、符合实际、合理。</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 w:val="0"/>
                <w:bCs w:val="0"/>
                <w:i w:val="0"/>
                <w:iCs w:val="0"/>
                <w:color w:val="auto"/>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四档（24分）：组织管理方案（项目管理、人员管理）、服务质量管理制度、服务目标管理制度；服务质量控制方案包含上述内容、完整度高、内容详实且可操作性强，能较好地响应项目要求，符合实际、合理。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05" w:hRule="atLeast"/>
          <w:jc w:val="center"/>
        </w:trPr>
        <w:tc>
          <w:tcPr>
            <w:tcW w:w="1342"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sz w:val="21"/>
                <w:szCs w:val="21"/>
                <w:highlight w:val="none"/>
                <w:lang w:val="en-US" w:eastAsia="zh-CN"/>
              </w:rPr>
            </w:pPr>
          </w:p>
        </w:tc>
        <w:tc>
          <w:tcPr>
            <w:tcW w:w="1395" w:type="dxa"/>
            <w:noWrap w:val="0"/>
            <w:vAlign w:val="center"/>
          </w:tcPr>
          <w:p>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宋体"/>
                <w:b w:val="0"/>
                <w:bCs w:val="0"/>
                <w:i w:val="0"/>
                <w:iCs w:val="0"/>
                <w:color w:val="auto"/>
                <w:kern w:val="0"/>
                <w:sz w:val="21"/>
                <w:szCs w:val="21"/>
                <w:u w:val="none"/>
                <w:lang w:val="en-US" w:eastAsia="zh-CN" w:bidi="ar"/>
              </w:rPr>
            </w:pPr>
            <w:r>
              <w:rPr>
                <w:rFonts w:hint="eastAsia" w:ascii="宋体" w:hAnsi="宋体" w:eastAsia="宋体" w:cs="宋体"/>
                <w:b w:val="0"/>
                <w:bCs w:val="0"/>
                <w:color w:val="auto"/>
                <w:kern w:val="0"/>
                <w:sz w:val="21"/>
                <w:szCs w:val="21"/>
                <w:highlight w:val="none"/>
                <w:lang w:val="en-US" w:eastAsia="zh-CN"/>
              </w:rPr>
              <w:t>维保服务方案分（满分21分）</w:t>
            </w:r>
          </w:p>
        </w:tc>
        <w:tc>
          <w:tcPr>
            <w:tcW w:w="5779" w:type="dxa"/>
            <w:noWrap w:val="0"/>
            <w:vAlign w:val="top"/>
          </w:tcPr>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 xml:space="preserve">一档（7分）：供应商整体维保服务方案（服务方式、流程等） 对具体方案设计合理性基本满足要求；组织计划、技术规范、安全保障措施等方面内容基本齐全、 规范及方案、进度及目标、预期达到的效果、管理、组织协调、实施细则等，陈述简单，无针对性、操作性的。 </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二档（14分）：供应商整体维保服务方案（服务方式、流程等）对具体方案设计合理性较好；组织计划、技术规范、安全保障措施等方面内容齐全、规范及方案、进度及目标、预期达到的效果、管理、组织协调、实施细则等，陈述较详细，具备针对性、操作性。</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三档（21分）：供应商整体维保服务方案（服务方式、流程等）对具体方案设计合理性较强。组织计划、技术规范、安全保障措施等方面内容齐全、规范及方案、进度及目标、预期达到的效果、管理、组织协调、实施细则等，陈述详细，针对性、操作性强且科学合理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95" w:hRule="atLeast"/>
          <w:jc w:val="center"/>
        </w:trPr>
        <w:tc>
          <w:tcPr>
            <w:tcW w:w="1342"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bCs/>
                <w:color w:val="auto"/>
                <w:sz w:val="21"/>
                <w:szCs w:val="21"/>
              </w:rPr>
              <w:t>商务分</w:t>
            </w:r>
          </w:p>
        </w:tc>
        <w:tc>
          <w:tcPr>
            <w:tcW w:w="139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企业信誉及业绩分（满分15分）</w:t>
            </w:r>
          </w:p>
        </w:tc>
        <w:tc>
          <w:tcPr>
            <w:tcW w:w="5779" w:type="dxa"/>
            <w:noWrap w:val="0"/>
            <w:vAlign w:val="center"/>
          </w:tcPr>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（1）拟投入</w:t>
            </w:r>
            <w:r>
              <w:rPr>
                <w:rFonts w:hint="eastAsia" w:ascii="宋体" w:hAnsi="宋体" w:cs="宋体"/>
                <w:b w:val="0"/>
                <w:bCs w:val="0"/>
                <w:color w:val="auto"/>
                <w:kern w:val="0"/>
                <w:sz w:val="21"/>
                <w:szCs w:val="21"/>
                <w:highlight w:val="none"/>
                <w:lang w:val="en-US" w:eastAsia="zh-CN"/>
              </w:rPr>
              <w:t>本项目的专职</w:t>
            </w:r>
            <w:r>
              <w:rPr>
                <w:rFonts w:hint="eastAsia" w:ascii="宋体" w:hAnsi="宋体" w:eastAsia="宋体" w:cs="宋体"/>
                <w:b w:val="0"/>
                <w:bCs w:val="0"/>
                <w:color w:val="auto"/>
                <w:kern w:val="0"/>
                <w:sz w:val="21"/>
                <w:szCs w:val="21"/>
                <w:highlight w:val="none"/>
                <w:lang w:val="en-US" w:eastAsia="zh-CN"/>
              </w:rPr>
              <w:t>人员1人</w:t>
            </w:r>
            <w:r>
              <w:rPr>
                <w:rFonts w:hint="eastAsia" w:ascii="宋体" w:hAnsi="宋体" w:cs="宋体"/>
                <w:b w:val="0"/>
                <w:bCs w:val="0"/>
                <w:color w:val="auto"/>
                <w:kern w:val="0"/>
                <w:sz w:val="21"/>
                <w:szCs w:val="21"/>
                <w:highlight w:val="none"/>
                <w:lang w:val="en-US" w:eastAsia="zh-CN"/>
              </w:rPr>
              <w:t>，</w:t>
            </w:r>
            <w:r>
              <w:rPr>
                <w:rFonts w:hint="eastAsia" w:ascii="宋体" w:hAnsi="宋体" w:cs="宋体"/>
                <w:bCs/>
                <w:color w:val="FF0000"/>
                <w:sz w:val="21"/>
                <w:szCs w:val="21"/>
                <w:lang w:val="en-US" w:eastAsia="zh-CN"/>
              </w:rPr>
              <w:t>具有环境监测或化学工程或同类专业本科（或以上）学历且有二年或以上相关工作经历，</w:t>
            </w:r>
            <w:r>
              <w:rPr>
                <w:rFonts w:hint="eastAsia" w:ascii="宋体" w:hAnsi="宋体" w:eastAsia="宋体" w:cs="宋体"/>
                <w:bCs/>
                <w:color w:val="FF0000"/>
                <w:sz w:val="21"/>
                <w:szCs w:val="21"/>
                <w:lang w:val="en-US" w:eastAsia="zh-CN"/>
              </w:rPr>
              <w:t>的得1分</w:t>
            </w:r>
            <w:r>
              <w:rPr>
                <w:rFonts w:hint="eastAsia" w:ascii="宋体" w:hAnsi="宋体" w:eastAsia="宋体" w:cs="宋体"/>
                <w:b w:val="0"/>
                <w:bCs w:val="0"/>
                <w:color w:val="auto"/>
                <w:kern w:val="0"/>
                <w:sz w:val="21"/>
                <w:szCs w:val="21"/>
                <w:highlight w:val="none"/>
                <w:lang w:val="en-US" w:eastAsia="zh-CN"/>
              </w:rPr>
              <w:t>。（注：需提供拟投入本项目的</w:t>
            </w:r>
            <w:r>
              <w:rPr>
                <w:rFonts w:hint="eastAsia" w:ascii="宋体" w:hAnsi="宋体" w:cs="宋体"/>
                <w:b w:val="0"/>
                <w:bCs w:val="0"/>
                <w:color w:val="auto"/>
                <w:kern w:val="0"/>
                <w:sz w:val="21"/>
                <w:szCs w:val="21"/>
                <w:highlight w:val="none"/>
                <w:lang w:val="en-US" w:eastAsia="zh-CN"/>
              </w:rPr>
              <w:t>专职</w:t>
            </w:r>
            <w:r>
              <w:rPr>
                <w:rFonts w:hint="eastAsia" w:ascii="宋体" w:hAnsi="宋体" w:eastAsia="宋体" w:cs="宋体"/>
                <w:b w:val="0"/>
                <w:bCs w:val="0"/>
                <w:color w:val="auto"/>
                <w:kern w:val="0"/>
                <w:sz w:val="21"/>
                <w:szCs w:val="21"/>
                <w:highlight w:val="none"/>
                <w:lang w:val="en-US" w:eastAsia="zh-CN"/>
              </w:rPr>
              <w:t>人员身份证复印件</w:t>
            </w:r>
            <w:r>
              <w:rPr>
                <w:rFonts w:hint="eastAsia" w:ascii="宋体" w:hAnsi="宋体" w:cs="宋体"/>
                <w:b w:val="0"/>
                <w:bCs w:val="0"/>
                <w:color w:val="auto"/>
                <w:kern w:val="0"/>
                <w:sz w:val="21"/>
                <w:szCs w:val="21"/>
                <w:highlight w:val="none"/>
                <w:lang w:val="en-US" w:eastAsia="zh-CN"/>
              </w:rPr>
              <w:t>、学历证书、工作经历</w:t>
            </w:r>
            <w:r>
              <w:rPr>
                <w:rFonts w:hint="eastAsia" w:ascii="宋体" w:hAnsi="宋体" w:eastAsia="宋体" w:cs="宋体"/>
                <w:b w:val="0"/>
                <w:bCs w:val="0"/>
                <w:color w:val="auto"/>
                <w:kern w:val="0"/>
                <w:sz w:val="21"/>
                <w:szCs w:val="21"/>
                <w:highlight w:val="none"/>
                <w:lang w:val="en-US" w:eastAsia="zh-CN"/>
              </w:rPr>
              <w:t>及服务于投标方的证明材料（如劳动合同、劳动协议或其他），并加盖供应商的公章）。</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 w:val="0"/>
                <w:bCs w:val="0"/>
                <w:color w:val="auto"/>
                <w:kern w:val="0"/>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（2）供应商具备有效的质量管理体系认证、环境管理体系认证，职业及健康管理体系认证得，每个得2分；满分得6分。</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（3）供应商自</w:t>
            </w:r>
            <w:r>
              <w:rPr>
                <w:rFonts w:hint="eastAsia" w:ascii="宋体" w:hAnsi="宋体" w:eastAsia="宋体" w:cs="宋体"/>
                <w:color w:val="auto"/>
                <w:kern w:val="0"/>
                <w:sz w:val="21"/>
                <w:szCs w:val="21"/>
                <w:highlight w:val="none"/>
                <w:lang w:val="en-US" w:eastAsia="zh-CN"/>
              </w:rPr>
              <w:t>2022年以来完成过同类仪器设备维修维保服务项目的，每有一项得2分，最高8分。（提供合同复印件或成交（中标）通知书复印件并加盖单位公章，否则不予计分）</w:t>
            </w:r>
          </w:p>
        </w:tc>
      </w:tr>
    </w:tbl>
    <w:p>
      <w:pPr>
        <w:rPr>
          <w:rFonts w:hint="eastAsia"/>
          <w:b/>
          <w:bCs/>
          <w:sz w:val="32"/>
          <w:szCs w:val="32"/>
          <w:lang w:eastAsia="zh-CN"/>
        </w:rPr>
      </w:pPr>
    </w:p>
    <w:p>
      <w:pPr>
        <w:pStyle w:val="19"/>
        <w:rPr>
          <w:rFonts w:hint="eastAsia"/>
          <w:b/>
          <w:bCs/>
          <w:sz w:val="32"/>
          <w:szCs w:val="32"/>
          <w:lang w:eastAsia="zh-CN"/>
        </w:rPr>
      </w:pPr>
    </w:p>
    <w:p>
      <w:pPr>
        <w:rPr>
          <w:rFonts w:hint="eastAsia"/>
          <w:b/>
          <w:bCs/>
          <w:sz w:val="32"/>
          <w:szCs w:val="32"/>
          <w:lang w:eastAsia="zh-CN"/>
        </w:rPr>
      </w:pPr>
    </w:p>
    <w:p>
      <w:pPr>
        <w:pStyle w:val="19"/>
        <w:rPr>
          <w:rFonts w:hint="eastAsia"/>
          <w:b/>
          <w:bCs/>
          <w:sz w:val="32"/>
          <w:szCs w:val="32"/>
          <w:lang w:eastAsia="zh-CN"/>
        </w:rPr>
      </w:pPr>
    </w:p>
    <w:p>
      <w:pPr>
        <w:rPr>
          <w:rFonts w:hint="eastAsia"/>
          <w:b/>
          <w:bCs/>
          <w:sz w:val="32"/>
          <w:szCs w:val="32"/>
          <w:lang w:eastAsia="zh-CN"/>
        </w:rPr>
      </w:pPr>
    </w:p>
    <w:p>
      <w:pPr>
        <w:pStyle w:val="19"/>
        <w:rPr>
          <w:rFonts w:hint="eastAsia"/>
          <w:b/>
          <w:bCs/>
          <w:sz w:val="32"/>
          <w:szCs w:val="32"/>
          <w:lang w:eastAsia="zh-CN"/>
        </w:rPr>
      </w:pPr>
    </w:p>
    <w:p>
      <w:pPr>
        <w:rPr>
          <w:rFonts w:hint="eastAsia"/>
          <w:b/>
          <w:bCs/>
          <w:sz w:val="32"/>
          <w:szCs w:val="32"/>
          <w:lang w:eastAsia="zh-CN"/>
        </w:rPr>
      </w:pPr>
    </w:p>
    <w:p>
      <w:pPr>
        <w:pStyle w:val="19"/>
        <w:rPr>
          <w:rFonts w:hint="eastAsia"/>
          <w:b/>
          <w:bCs/>
          <w:sz w:val="32"/>
          <w:szCs w:val="32"/>
          <w:lang w:eastAsia="zh-CN"/>
        </w:rPr>
      </w:pPr>
    </w:p>
    <w:p>
      <w:pPr>
        <w:rPr>
          <w:rFonts w:hint="eastAsia"/>
          <w:b/>
          <w:bCs/>
          <w:sz w:val="32"/>
          <w:szCs w:val="32"/>
          <w:lang w:eastAsia="zh-CN"/>
        </w:rPr>
      </w:pPr>
    </w:p>
    <w:p>
      <w:pPr>
        <w:pStyle w:val="19"/>
        <w:rPr>
          <w:rFonts w:hint="eastAsia"/>
          <w:b/>
          <w:bCs/>
          <w:sz w:val="32"/>
          <w:szCs w:val="32"/>
          <w:lang w:eastAsia="zh-CN"/>
        </w:rPr>
      </w:pPr>
    </w:p>
    <w:p>
      <w:pPr>
        <w:pStyle w:val="19"/>
        <w:rPr>
          <w:rFonts w:hint="eastAsia"/>
          <w:lang w:eastAsia="zh-CN"/>
        </w:rPr>
      </w:pPr>
    </w:p>
    <w:p>
      <w:pPr>
        <w:pStyle w:val="19"/>
        <w:rPr>
          <w:rFonts w:hint="eastAsia"/>
          <w:lang w:eastAsia="zh-CN"/>
        </w:rPr>
      </w:pPr>
    </w:p>
    <w:bookmarkEnd w:id="134"/>
    <w:p>
      <w:pPr>
        <w:pStyle w:val="15"/>
        <w:keepNext/>
        <w:spacing w:line="380" w:lineRule="exact"/>
        <w:ind w:firstLine="281" w:firstLineChars="100"/>
        <w:rPr>
          <w:rFonts w:hint="eastAsia" w:ascii="宋体" w:hAnsi="宋体" w:cs="宋体"/>
          <w:b/>
          <w:bCs w:val="0"/>
          <w:sz w:val="28"/>
          <w:szCs w:val="28"/>
          <w:lang w:eastAsia="zh-CN"/>
        </w:rPr>
      </w:pPr>
      <w:r>
        <w:rPr>
          <w:rFonts w:hint="eastAsia" w:hAnsi="宋体" w:cs="宋体"/>
          <w:b/>
          <w:bCs w:val="0"/>
          <w:sz w:val="28"/>
          <w:szCs w:val="28"/>
          <w:lang w:eastAsia="zh-CN"/>
        </w:rPr>
        <w:t>分包二</w:t>
      </w:r>
      <w:r>
        <w:rPr>
          <w:rFonts w:hint="eastAsia" w:ascii="宋体" w:hAnsi="宋体" w:cs="宋体"/>
          <w:b/>
          <w:bCs w:val="0"/>
          <w:sz w:val="28"/>
          <w:szCs w:val="28"/>
        </w:rPr>
        <w:t>评审方法</w:t>
      </w:r>
      <w:r>
        <w:rPr>
          <w:rFonts w:hint="eastAsia" w:ascii="宋体" w:hAnsi="宋体" w:cs="宋体"/>
          <w:b/>
          <w:bCs w:val="0"/>
          <w:sz w:val="28"/>
          <w:szCs w:val="28"/>
          <w:lang w:eastAsia="zh-CN"/>
        </w:rPr>
        <w:t>：</w:t>
      </w:r>
    </w:p>
    <w:p>
      <w:pPr>
        <w:pStyle w:val="15"/>
        <w:keepNext/>
        <w:spacing w:line="380" w:lineRule="exact"/>
        <w:ind w:firstLine="281" w:firstLineChars="100"/>
        <w:rPr>
          <w:rFonts w:hint="eastAsia" w:ascii="宋体" w:hAnsi="宋体" w:cs="宋体"/>
          <w:b/>
          <w:bCs w:val="0"/>
          <w:sz w:val="28"/>
          <w:szCs w:val="28"/>
          <w:lang w:eastAsia="zh-CN"/>
        </w:rPr>
      </w:pPr>
    </w:p>
    <w:tbl>
      <w:tblPr>
        <w:tblStyle w:val="2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297"/>
        <w:gridCol w:w="1725"/>
        <w:gridCol w:w="549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9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评标项目</w:t>
            </w:r>
          </w:p>
        </w:tc>
        <w:tc>
          <w:tcPr>
            <w:tcW w:w="172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评标分值</w:t>
            </w:r>
          </w:p>
        </w:tc>
        <w:tc>
          <w:tcPr>
            <w:tcW w:w="549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评标方法描述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9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价格分</w:t>
            </w:r>
          </w:p>
        </w:tc>
        <w:tc>
          <w:tcPr>
            <w:tcW w:w="172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价格分</w:t>
            </w:r>
            <w:r>
              <w:rPr>
                <w:rFonts w:hint="eastAsia" w:ascii="宋体" w:hAnsi="宋体" w:eastAsia="宋体" w:cs="宋体"/>
                <w:i w:val="0"/>
                <w:iCs w:val="0"/>
                <w:color w:val="auto"/>
                <w:sz w:val="21"/>
                <w:szCs w:val="21"/>
                <w:highlight w:val="none"/>
                <w:lang w:val="en-US" w:eastAsia="zh-CN"/>
              </w:rPr>
              <w:t>（</w:t>
            </w:r>
            <w:r>
              <w:rPr>
                <w:rFonts w:hint="eastAsia" w:ascii="宋体" w:hAnsi="宋体" w:eastAsia="宋体" w:cs="宋体"/>
                <w:i w:val="0"/>
                <w:iCs w:val="0"/>
                <w:color w:val="auto"/>
                <w:sz w:val="21"/>
                <w:szCs w:val="21"/>
                <w:highlight w:val="none"/>
              </w:rPr>
              <w:t>满分</w:t>
            </w:r>
            <w:r>
              <w:rPr>
                <w:rFonts w:hint="eastAsia" w:ascii="宋体" w:hAnsi="宋体" w:eastAsia="宋体" w:cs="宋体"/>
                <w:i w:val="0"/>
                <w:iCs w:val="0"/>
                <w:color w:val="auto"/>
                <w:sz w:val="21"/>
                <w:szCs w:val="21"/>
                <w:highlight w:val="none"/>
                <w:lang w:val="en-US" w:eastAsia="zh-CN"/>
              </w:rPr>
              <w:t>10</w:t>
            </w:r>
            <w:r>
              <w:rPr>
                <w:rFonts w:hint="eastAsia" w:ascii="宋体" w:hAnsi="宋体" w:eastAsia="宋体" w:cs="宋体"/>
                <w:i w:val="0"/>
                <w:iCs w:val="0"/>
                <w:color w:val="auto"/>
                <w:sz w:val="21"/>
                <w:szCs w:val="21"/>
                <w:highlight w:val="none"/>
              </w:rPr>
              <w:t>分</w:t>
            </w:r>
            <w:r>
              <w:rPr>
                <w:rFonts w:hint="eastAsia" w:ascii="宋体" w:hAnsi="宋体" w:eastAsia="宋体" w:cs="宋体"/>
                <w:i w:val="0"/>
                <w:iCs w:val="0"/>
                <w:color w:val="auto"/>
                <w:sz w:val="21"/>
                <w:szCs w:val="21"/>
                <w:highlight w:val="none"/>
                <w:lang w:val="en-US" w:eastAsia="zh-CN"/>
              </w:rPr>
              <w:t>）</w:t>
            </w:r>
          </w:p>
        </w:tc>
        <w:tc>
          <w:tcPr>
            <w:tcW w:w="5494" w:type="dxa"/>
            <w:noWrap w:val="0"/>
            <w:vAlign w:val="center"/>
          </w:tcPr>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1.评审报价为供应商的最后报价进行政策性扣除后的价格，评审报价只是作为评审时使用。最终成交供应商的成交金额等于最后报价（如有修正，以确认修正后的最后报价为准）。</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2.政府采购政策性扣除计算方法</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按照《政府采购促进中小企业发展管理办法》（财库〔2020〕46号）及《广西壮族自治区财政厅关于贯彻落实政府采购支持中小企业发展政策的通知》（桂财采〔2022〕31号）的规定，供应商在其响应文件中提供《中小企业声明函》，且其服务为小型和微型企业承接的，对其最后报价给予20%的扣除。</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监狱企业属于小型、微型企业的，不重复享受政策。</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（4）政策性扣除计算方法。</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在服务采购项目中，服务由小微企业承接；对符合上述要求的供应商的竞标报价给予20%的扣除，扣除后的价格为评审报价，即评审报价=竞标报价×（1-20%）。接受大中型企业与小微企业组成联合体或者允许大中型企业向一家或者多家小微企业分包的采购项目，联合协议或者分包意向协议约定小微企业的合同份额占到合同总金额30%以上的，采购人、采购代理机构应当对联合体或者大中型企业的报价给予6%的扣除，用扣除后的价格参加评审，扣除后的价格为评审报价，即评审报价=竞标报价×（1-6%）。除上述情况外，评审报价=竞标报价。</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（5）除上述情况外，评审报价＝最后报价。</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（6）以进入比较与评价环节的最低的评审报价为基准价，基准价得分为10分。</w:t>
            </w:r>
          </w:p>
          <w:p>
            <w:pPr>
              <w:pStyle w:val="15"/>
              <w:keepNext w:val="0"/>
              <w:keepLines w:val="0"/>
              <w:pageBreakBefore w:val="0"/>
              <w:shd w:val="clear" w:color="auto" w:fill="auto"/>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（7）价格分计算公式：</w:t>
            </w:r>
          </w:p>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i w:val="0"/>
                <w:iCs w:val="0"/>
                <w:color w:val="auto"/>
                <w:sz w:val="21"/>
                <w:szCs w:val="21"/>
                <w:highlight w:val="none"/>
              </w:rPr>
            </w:pPr>
            <w:r>
              <w:rPr>
                <w:rFonts w:hint="eastAsia" w:ascii="宋体" w:hAnsi="宋体" w:eastAsia="宋体" w:cs="宋体"/>
                <w:bCs/>
                <w:color w:val="auto"/>
                <w:sz w:val="21"/>
                <w:szCs w:val="21"/>
                <w:highlight w:val="none"/>
              </w:rPr>
              <w:t>报价得分=（基准价/最后报价）×10分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97"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技术分</w:t>
            </w:r>
          </w:p>
        </w:tc>
        <w:tc>
          <w:tcPr>
            <w:tcW w:w="172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eastAsia="zh-CN"/>
              </w:rPr>
              <w:t>实施方案</w:t>
            </w:r>
            <w:r>
              <w:rPr>
                <w:rFonts w:hint="eastAsia" w:ascii="宋体" w:hAnsi="宋体" w:eastAsia="宋体" w:cs="宋体"/>
                <w:i w:val="0"/>
                <w:iCs w:val="0"/>
                <w:color w:val="auto"/>
                <w:sz w:val="21"/>
                <w:szCs w:val="21"/>
                <w:highlight w:val="none"/>
              </w:rPr>
              <w:t>（满分</w:t>
            </w:r>
            <w:r>
              <w:rPr>
                <w:rFonts w:hint="eastAsia" w:ascii="宋体" w:hAnsi="宋体" w:eastAsia="宋体" w:cs="宋体"/>
                <w:i w:val="0"/>
                <w:iCs w:val="0"/>
                <w:color w:val="auto"/>
                <w:sz w:val="21"/>
                <w:szCs w:val="21"/>
                <w:highlight w:val="none"/>
                <w:lang w:val="en-US" w:eastAsia="zh-CN"/>
              </w:rPr>
              <w:t>24</w:t>
            </w:r>
            <w:r>
              <w:rPr>
                <w:rFonts w:hint="eastAsia" w:ascii="宋体" w:hAnsi="宋体" w:eastAsia="宋体" w:cs="宋体"/>
                <w:i w:val="0"/>
                <w:iCs w:val="0"/>
                <w:color w:val="auto"/>
                <w:sz w:val="21"/>
                <w:szCs w:val="21"/>
                <w:highlight w:val="none"/>
              </w:rPr>
              <w:t>分）</w:t>
            </w:r>
          </w:p>
        </w:tc>
        <w:tc>
          <w:tcPr>
            <w:tcW w:w="5494" w:type="dxa"/>
            <w:noWrap w:val="0"/>
            <w:vAlign w:val="top"/>
          </w:tcPr>
          <w:p>
            <w:pPr>
              <w:widowControl/>
              <w:spacing w:line="400" w:lineRule="exact"/>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由磋商小组根据供应商的项目实施方案与需求的吻合程度以及对采购单位现有设备的熟悉和理解情况，所制定方案的科学性、可靠性、成熟性、合理性的情况（包括：故障分级管理，故障系统质量管理，故障报告，故障处理规范等）进行评定：</w:t>
            </w:r>
          </w:p>
          <w:p>
            <w:pPr>
              <w:widowControl/>
              <w:spacing w:line="400" w:lineRule="exact"/>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一档（</w:t>
            </w: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分）：维护保养实施方案简单，能提供对接方案；保证维护保养服务实施的技术力量和人力资源安排基本满足要求，技术服务、技术培训的服务内容和措施一般。</w:t>
            </w:r>
          </w:p>
          <w:p>
            <w:pPr>
              <w:widowControl/>
              <w:spacing w:line="400" w:lineRule="exact"/>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二档（</w:t>
            </w:r>
            <w:r>
              <w:rPr>
                <w:rFonts w:hint="eastAsia" w:ascii="宋体" w:hAnsi="宋体" w:eastAsia="宋体" w:cs="宋体"/>
                <w:kern w:val="0"/>
                <w:sz w:val="21"/>
                <w:szCs w:val="21"/>
                <w:lang w:val="en-US" w:eastAsia="zh-CN"/>
              </w:rPr>
              <w:t>16</w:t>
            </w:r>
            <w:r>
              <w:rPr>
                <w:rFonts w:hint="eastAsia" w:ascii="宋体" w:hAnsi="宋体" w:eastAsia="宋体" w:cs="宋体"/>
                <w:kern w:val="0"/>
                <w:sz w:val="21"/>
                <w:szCs w:val="21"/>
              </w:rPr>
              <w:t>分）：维护保养实施方案较详细，能提供对接方案并且较合理；保证维护保养服务实施的技术力量和人力资源安排满足项目实施要求，技术服务、技术培训的服务内容和措施较完善。</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i w:val="0"/>
                <w:iCs w:val="0"/>
                <w:color w:val="auto"/>
                <w:sz w:val="21"/>
                <w:szCs w:val="21"/>
                <w:highlight w:val="none"/>
                <w:lang w:eastAsia="zh-CN"/>
              </w:rPr>
            </w:pPr>
            <w:r>
              <w:rPr>
                <w:rFonts w:hint="eastAsia" w:ascii="宋体" w:hAnsi="宋体" w:eastAsia="宋体" w:cs="宋体"/>
                <w:kern w:val="0"/>
                <w:sz w:val="21"/>
                <w:szCs w:val="21"/>
              </w:rPr>
              <w:t>三档（</w:t>
            </w:r>
            <w:r>
              <w:rPr>
                <w:rFonts w:hint="eastAsia" w:ascii="宋体" w:hAnsi="宋体" w:eastAsia="宋体" w:cs="宋体"/>
                <w:kern w:val="0"/>
                <w:sz w:val="21"/>
                <w:szCs w:val="21"/>
                <w:lang w:val="en-US" w:eastAsia="zh-CN"/>
              </w:rPr>
              <w:t>24</w:t>
            </w:r>
            <w:r>
              <w:rPr>
                <w:rFonts w:hint="eastAsia" w:ascii="宋体" w:hAnsi="宋体" w:eastAsia="宋体" w:cs="宋体"/>
                <w:kern w:val="0"/>
                <w:sz w:val="21"/>
                <w:szCs w:val="21"/>
              </w:rPr>
              <w:t>分）：维护保养服务实施方案详实，能切合本项目实际提供对接方案，方案能清楚的表明对本项目的熟悉程度，对本项目各项设备保养计划进行详细阐述，维护方案优良，不同的设备提供专项维护保养方案；保证项目实施的技术力量和人力资源安排充足，技术服务、技术培训的服务内容的阐述详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97"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sz w:val="21"/>
                <w:szCs w:val="21"/>
                <w:highlight w:val="none"/>
                <w:lang w:val="en-US" w:eastAsia="zh-CN"/>
              </w:rPr>
            </w:pPr>
          </w:p>
        </w:tc>
        <w:tc>
          <w:tcPr>
            <w:tcW w:w="172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000000"/>
                <w:kern w:val="0"/>
                <w:sz w:val="21"/>
                <w:szCs w:val="21"/>
                <w:lang w:val="en-US" w:eastAsia="zh-CN" w:bidi="ar"/>
              </w:rPr>
            </w:pPr>
            <w:r>
              <w:rPr>
                <w:rFonts w:hint="eastAsia" w:ascii="宋体" w:hAnsi="宋体" w:eastAsia="宋体" w:cs="宋体"/>
                <w:bCs/>
                <w:sz w:val="21"/>
                <w:szCs w:val="21"/>
              </w:rPr>
              <w:t>服务保障应急预案</w:t>
            </w:r>
            <w:r>
              <w:rPr>
                <w:rFonts w:hint="eastAsia" w:ascii="宋体" w:hAnsi="宋体" w:eastAsia="宋体" w:cs="宋体"/>
                <w:bCs/>
                <w:sz w:val="21"/>
                <w:szCs w:val="21"/>
                <w:lang w:eastAsia="zh-CN"/>
              </w:rPr>
              <w:t>（满分</w:t>
            </w:r>
            <w:r>
              <w:rPr>
                <w:rFonts w:hint="eastAsia" w:ascii="宋体" w:hAnsi="宋体" w:eastAsia="宋体" w:cs="宋体"/>
                <w:bCs/>
                <w:sz w:val="21"/>
                <w:szCs w:val="21"/>
                <w:lang w:val="en-US" w:eastAsia="zh-CN"/>
              </w:rPr>
              <w:t>8分</w:t>
            </w:r>
            <w:r>
              <w:rPr>
                <w:rFonts w:hint="eastAsia" w:ascii="宋体" w:hAnsi="宋体" w:eastAsia="宋体" w:cs="宋体"/>
                <w:bCs/>
                <w:sz w:val="21"/>
                <w:szCs w:val="21"/>
                <w:lang w:eastAsia="zh-CN"/>
              </w:rPr>
              <w:t>）</w:t>
            </w:r>
          </w:p>
        </w:tc>
        <w:tc>
          <w:tcPr>
            <w:tcW w:w="5494" w:type="dxa"/>
            <w:noWrap w:val="0"/>
            <w:vAlign w:val="center"/>
          </w:tcPr>
          <w:p>
            <w:pPr>
              <w:widowControl/>
              <w:spacing w:line="40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由磋商小组根据供应商是否有确保软硬件故障及时排除的对策，是否建立运行服务保障应急预案，对实施可能遇到的问题及其应对措施的考虑的情况进行评定：</w:t>
            </w:r>
          </w:p>
          <w:p>
            <w:pPr>
              <w:widowControl/>
              <w:spacing w:line="400" w:lineRule="exact"/>
              <w:ind w:firstLine="420" w:firstLineChars="200"/>
              <w:rPr>
                <w:rFonts w:hint="eastAsia" w:ascii="宋体" w:hAnsi="宋体" w:eastAsia="宋体" w:cs="宋体"/>
                <w:sz w:val="21"/>
                <w:szCs w:val="21"/>
              </w:rPr>
            </w:pPr>
            <w:r>
              <w:rPr>
                <w:rFonts w:hint="eastAsia" w:ascii="宋体" w:hAnsi="宋体" w:eastAsia="宋体" w:cs="宋体"/>
                <w:bCs/>
                <w:sz w:val="21"/>
                <w:szCs w:val="21"/>
              </w:rPr>
              <w:t>一档（</w:t>
            </w:r>
            <w:r>
              <w:rPr>
                <w:rFonts w:hint="eastAsia" w:ascii="宋体" w:hAnsi="宋体" w:eastAsia="宋体" w:cs="宋体"/>
                <w:bCs/>
                <w:sz w:val="21"/>
                <w:szCs w:val="21"/>
                <w:lang w:val="en-US" w:eastAsia="zh-CN"/>
              </w:rPr>
              <w:t>0</w:t>
            </w:r>
            <w:r>
              <w:rPr>
                <w:rFonts w:hint="eastAsia" w:ascii="宋体" w:hAnsi="宋体" w:eastAsia="宋体" w:cs="宋体"/>
                <w:bCs/>
                <w:sz w:val="21"/>
                <w:szCs w:val="21"/>
              </w:rPr>
              <w:t>分）：</w:t>
            </w:r>
            <w:r>
              <w:rPr>
                <w:rFonts w:hint="eastAsia" w:ascii="宋体" w:hAnsi="宋体" w:eastAsia="宋体" w:cs="宋体"/>
                <w:bCs/>
                <w:sz w:val="21"/>
                <w:szCs w:val="21"/>
                <w:lang w:eastAsia="zh-CN"/>
              </w:rPr>
              <w:t>未提供</w:t>
            </w:r>
            <w:r>
              <w:rPr>
                <w:rFonts w:hint="eastAsia" w:ascii="宋体" w:hAnsi="宋体" w:eastAsia="宋体" w:cs="宋体"/>
                <w:bCs/>
                <w:sz w:val="21"/>
                <w:szCs w:val="21"/>
              </w:rPr>
              <w:t>保障应急预案</w:t>
            </w:r>
            <w:r>
              <w:rPr>
                <w:rFonts w:hint="eastAsia" w:ascii="宋体" w:hAnsi="宋体" w:eastAsia="宋体" w:cs="宋体"/>
                <w:bCs/>
                <w:sz w:val="21"/>
                <w:szCs w:val="21"/>
                <w:lang w:eastAsia="zh-CN"/>
              </w:rPr>
              <w:t>；</w:t>
            </w:r>
          </w:p>
          <w:p>
            <w:pPr>
              <w:widowControl/>
              <w:spacing w:line="40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lang w:eastAsia="zh-CN"/>
              </w:rPr>
              <w:t>二</w:t>
            </w:r>
            <w:r>
              <w:rPr>
                <w:rFonts w:hint="eastAsia" w:ascii="宋体" w:hAnsi="宋体" w:eastAsia="宋体" w:cs="宋体"/>
                <w:bCs/>
                <w:sz w:val="21"/>
                <w:szCs w:val="21"/>
              </w:rPr>
              <w:t>档（</w:t>
            </w:r>
            <w:r>
              <w:rPr>
                <w:rFonts w:hint="eastAsia" w:ascii="宋体" w:hAnsi="宋体" w:eastAsia="宋体" w:cs="宋体"/>
                <w:bCs/>
                <w:sz w:val="21"/>
                <w:szCs w:val="21"/>
                <w:lang w:val="en-US" w:eastAsia="zh-CN"/>
              </w:rPr>
              <w:t>4</w:t>
            </w:r>
            <w:r>
              <w:rPr>
                <w:rFonts w:hint="eastAsia" w:ascii="宋体" w:hAnsi="宋体" w:eastAsia="宋体" w:cs="宋体"/>
                <w:bCs/>
                <w:sz w:val="21"/>
                <w:szCs w:val="21"/>
              </w:rPr>
              <w:t>分）：软硬件故障及时排除的对策简单，对运行服务保障应急预案及实施过程可能遇到的问题及其应对措施的阐述不明确或相对简单。</w:t>
            </w:r>
          </w:p>
          <w:p>
            <w:pPr>
              <w:widowControl/>
              <w:spacing w:line="400" w:lineRule="exact"/>
              <w:ind w:firstLine="420" w:firstLineChars="20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bCs/>
                <w:sz w:val="21"/>
                <w:szCs w:val="21"/>
                <w:lang w:eastAsia="zh-CN"/>
              </w:rPr>
              <w:t>三</w:t>
            </w:r>
            <w:r>
              <w:rPr>
                <w:rFonts w:hint="eastAsia" w:ascii="宋体" w:hAnsi="宋体" w:eastAsia="宋体" w:cs="宋体"/>
                <w:bCs/>
                <w:sz w:val="21"/>
                <w:szCs w:val="21"/>
              </w:rPr>
              <w:t>档（</w:t>
            </w:r>
            <w:r>
              <w:rPr>
                <w:rFonts w:hint="eastAsia" w:ascii="宋体" w:hAnsi="宋体" w:eastAsia="宋体" w:cs="宋体"/>
                <w:bCs/>
                <w:sz w:val="21"/>
                <w:szCs w:val="21"/>
                <w:lang w:val="en-US" w:eastAsia="zh-CN"/>
              </w:rPr>
              <w:t>8</w:t>
            </w:r>
            <w:r>
              <w:rPr>
                <w:rFonts w:hint="eastAsia" w:ascii="宋体" w:hAnsi="宋体" w:eastAsia="宋体" w:cs="宋体"/>
                <w:bCs/>
                <w:sz w:val="21"/>
                <w:szCs w:val="21"/>
              </w:rPr>
              <w:t>分）：软硬件故障及时排除的对策较详细，能提供有针对性的运行服务保障应急预案，并且实施过程可能遇到的问题及其应对措施合理。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97"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sz w:val="21"/>
                <w:szCs w:val="21"/>
                <w:highlight w:val="none"/>
                <w:lang w:val="en-US" w:eastAsia="zh-CN"/>
              </w:rPr>
            </w:pPr>
          </w:p>
        </w:tc>
        <w:tc>
          <w:tcPr>
            <w:tcW w:w="172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bCs/>
                <w:sz w:val="21"/>
                <w:szCs w:val="21"/>
              </w:rPr>
              <w:t>设备运维制度</w:t>
            </w:r>
            <w:r>
              <w:rPr>
                <w:rFonts w:hint="eastAsia" w:ascii="宋体" w:hAnsi="宋体" w:eastAsia="宋体" w:cs="宋体"/>
                <w:bCs/>
                <w:sz w:val="21"/>
                <w:szCs w:val="21"/>
                <w:lang w:eastAsia="zh-CN"/>
              </w:rPr>
              <w:t>（满分</w:t>
            </w:r>
            <w:r>
              <w:rPr>
                <w:rFonts w:hint="eastAsia" w:ascii="宋体" w:hAnsi="宋体" w:eastAsia="宋体" w:cs="宋体"/>
                <w:bCs/>
                <w:sz w:val="21"/>
                <w:szCs w:val="21"/>
                <w:lang w:val="en-US" w:eastAsia="zh-CN"/>
              </w:rPr>
              <w:t>6分</w:t>
            </w:r>
            <w:r>
              <w:rPr>
                <w:rFonts w:hint="eastAsia" w:ascii="宋体" w:hAnsi="宋体" w:eastAsia="宋体" w:cs="宋体"/>
                <w:bCs/>
                <w:sz w:val="21"/>
                <w:szCs w:val="21"/>
                <w:lang w:eastAsia="zh-CN"/>
              </w:rPr>
              <w:t>）</w:t>
            </w:r>
          </w:p>
        </w:tc>
        <w:tc>
          <w:tcPr>
            <w:tcW w:w="5494" w:type="dxa"/>
            <w:noWrap w:val="0"/>
            <w:vAlign w:val="center"/>
          </w:tcPr>
          <w:p>
            <w:pPr>
              <w:pStyle w:val="15"/>
              <w:widowControl/>
              <w:spacing w:line="40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由磋商小组根据供应商是否建立定期巡检制度和设备运行情况报告制度，定期出具巡检和设备运行情况报告；是否建立服务档案和解决方案资料库的情况进行评定：</w:t>
            </w:r>
          </w:p>
          <w:p>
            <w:pPr>
              <w:pStyle w:val="15"/>
              <w:widowControl/>
              <w:spacing w:line="400" w:lineRule="exact"/>
              <w:ind w:firstLine="420" w:firstLineChars="200"/>
              <w:rPr>
                <w:rFonts w:hint="eastAsia" w:ascii="宋体" w:hAnsi="宋体" w:eastAsia="宋体" w:cs="宋体"/>
                <w:bCs/>
                <w:sz w:val="21"/>
                <w:szCs w:val="21"/>
                <w:lang w:eastAsia="zh-CN"/>
              </w:rPr>
            </w:pPr>
            <w:r>
              <w:rPr>
                <w:rFonts w:hint="eastAsia" w:ascii="宋体" w:hAnsi="宋体" w:eastAsia="宋体" w:cs="宋体"/>
                <w:bCs/>
                <w:sz w:val="21"/>
                <w:szCs w:val="21"/>
              </w:rPr>
              <w:t>一档（</w:t>
            </w:r>
            <w:r>
              <w:rPr>
                <w:rFonts w:hint="eastAsia" w:ascii="宋体" w:hAnsi="宋体" w:eastAsia="宋体" w:cs="宋体"/>
                <w:bCs/>
                <w:sz w:val="21"/>
                <w:szCs w:val="21"/>
                <w:lang w:val="en-US" w:eastAsia="zh-CN"/>
              </w:rPr>
              <w:t>0</w:t>
            </w:r>
            <w:r>
              <w:rPr>
                <w:rFonts w:hint="eastAsia" w:ascii="宋体" w:hAnsi="宋体" w:eastAsia="宋体" w:cs="宋体"/>
                <w:bCs/>
                <w:sz w:val="21"/>
                <w:szCs w:val="21"/>
              </w:rPr>
              <w:t>分）：</w:t>
            </w:r>
            <w:r>
              <w:rPr>
                <w:rFonts w:hint="eastAsia" w:ascii="宋体" w:hAnsi="宋体" w:eastAsia="宋体" w:cs="宋体"/>
                <w:bCs/>
                <w:sz w:val="21"/>
                <w:szCs w:val="21"/>
                <w:lang w:eastAsia="zh-CN"/>
              </w:rPr>
              <w:t>未提供</w:t>
            </w:r>
            <w:r>
              <w:rPr>
                <w:rFonts w:hint="eastAsia" w:ascii="宋体" w:hAnsi="宋体" w:eastAsia="宋体" w:cs="宋体"/>
                <w:bCs/>
                <w:sz w:val="21"/>
                <w:szCs w:val="21"/>
              </w:rPr>
              <w:t>运维制度</w:t>
            </w:r>
            <w:r>
              <w:rPr>
                <w:rFonts w:hint="eastAsia" w:ascii="宋体" w:hAnsi="宋体" w:eastAsia="宋体" w:cs="宋体"/>
                <w:bCs/>
                <w:sz w:val="21"/>
                <w:szCs w:val="21"/>
                <w:lang w:eastAsia="zh-CN"/>
              </w:rPr>
              <w:t>；</w:t>
            </w:r>
          </w:p>
          <w:p>
            <w:pPr>
              <w:pStyle w:val="15"/>
              <w:widowControl/>
              <w:spacing w:line="40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lang w:eastAsia="zh-CN"/>
              </w:rPr>
              <w:t>二</w:t>
            </w:r>
            <w:r>
              <w:rPr>
                <w:rFonts w:hint="eastAsia" w:ascii="宋体" w:hAnsi="宋体" w:eastAsia="宋体" w:cs="宋体"/>
                <w:bCs/>
                <w:sz w:val="21"/>
                <w:szCs w:val="21"/>
              </w:rPr>
              <w:t>档（3分）：缺乏定期巡检制度和设备运行情况报告制度，服务档案和解决方案资料库缺失或不全。</w:t>
            </w:r>
          </w:p>
          <w:p>
            <w:pPr>
              <w:pStyle w:val="15"/>
              <w:widowControl/>
              <w:spacing w:line="40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lang w:eastAsia="zh-CN"/>
              </w:rPr>
              <w:t>三</w:t>
            </w:r>
            <w:r>
              <w:rPr>
                <w:rFonts w:hint="eastAsia" w:ascii="宋体" w:hAnsi="宋体" w:eastAsia="宋体" w:cs="宋体"/>
                <w:bCs/>
                <w:sz w:val="21"/>
                <w:szCs w:val="21"/>
              </w:rPr>
              <w:t>档（6分）：已建立细致的定期巡检制度和设备运行情况报告制度，定期出具巡检和设备运行情况报告并已建立服务档案和解决方案资料库。</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22" w:firstLineChars="200"/>
              <w:jc w:val="left"/>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b/>
                <w:sz w:val="21"/>
                <w:szCs w:val="21"/>
              </w:rPr>
              <w:t>注：供应商若没提供本项目内容，得0分。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97"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sz w:val="21"/>
                <w:szCs w:val="21"/>
                <w:highlight w:val="none"/>
                <w:lang w:val="en-US" w:eastAsia="zh-CN"/>
              </w:rPr>
            </w:pPr>
          </w:p>
        </w:tc>
        <w:tc>
          <w:tcPr>
            <w:tcW w:w="172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Cs/>
                <w:sz w:val="21"/>
                <w:szCs w:val="21"/>
              </w:rPr>
              <w:t>维护服务能力</w:t>
            </w:r>
            <w:r>
              <w:rPr>
                <w:rFonts w:hint="eastAsia" w:ascii="宋体" w:hAnsi="宋体" w:eastAsia="宋体" w:cs="宋体"/>
                <w:bCs/>
                <w:sz w:val="21"/>
                <w:szCs w:val="21"/>
                <w:lang w:eastAsia="zh-CN"/>
              </w:rPr>
              <w:t>（满分</w:t>
            </w:r>
            <w:r>
              <w:rPr>
                <w:rFonts w:hint="eastAsia" w:ascii="宋体" w:hAnsi="宋体" w:eastAsia="宋体" w:cs="宋体"/>
                <w:bCs/>
                <w:sz w:val="21"/>
                <w:szCs w:val="21"/>
                <w:lang w:val="en-US" w:eastAsia="zh-CN"/>
              </w:rPr>
              <w:t>21分</w:t>
            </w:r>
            <w:r>
              <w:rPr>
                <w:rFonts w:hint="eastAsia" w:ascii="宋体" w:hAnsi="宋体" w:eastAsia="宋体" w:cs="宋体"/>
                <w:bCs/>
                <w:sz w:val="21"/>
                <w:szCs w:val="21"/>
                <w:lang w:eastAsia="zh-CN"/>
              </w:rPr>
              <w:t>）</w:t>
            </w:r>
          </w:p>
        </w:tc>
        <w:tc>
          <w:tcPr>
            <w:tcW w:w="5494" w:type="dxa"/>
            <w:noWrap w:val="0"/>
            <w:vAlign w:val="top"/>
          </w:tcPr>
          <w:p>
            <w:pPr>
              <w:pStyle w:val="15"/>
              <w:widowControl/>
              <w:spacing w:line="40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由磋商小组根据供应商维护服务能力情况进行评定：</w:t>
            </w:r>
          </w:p>
          <w:p>
            <w:pPr>
              <w:pStyle w:val="15"/>
              <w:widowControl/>
              <w:spacing w:line="40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一档（</w:t>
            </w:r>
            <w:r>
              <w:rPr>
                <w:rFonts w:hint="eastAsia" w:ascii="宋体" w:hAnsi="宋体" w:eastAsia="宋体" w:cs="宋体"/>
                <w:bCs/>
                <w:sz w:val="21"/>
                <w:szCs w:val="21"/>
                <w:lang w:val="en-US" w:eastAsia="zh-CN"/>
              </w:rPr>
              <w:t>7</w:t>
            </w:r>
            <w:r>
              <w:rPr>
                <w:rFonts w:hint="eastAsia" w:ascii="宋体" w:hAnsi="宋体" w:eastAsia="宋体" w:cs="宋体"/>
                <w:bCs/>
                <w:sz w:val="21"/>
                <w:szCs w:val="21"/>
              </w:rPr>
              <w:t>分）：维护服务能力较差、解决方案等内容简单；技术服务基本满足采购文件要求。</w:t>
            </w:r>
          </w:p>
          <w:p>
            <w:pPr>
              <w:pStyle w:val="15"/>
              <w:widowControl/>
              <w:spacing w:line="40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二档（</w:t>
            </w:r>
            <w:r>
              <w:rPr>
                <w:rFonts w:hint="eastAsia" w:ascii="宋体" w:hAnsi="宋体" w:eastAsia="宋体" w:cs="宋体"/>
                <w:bCs/>
                <w:sz w:val="21"/>
                <w:szCs w:val="21"/>
                <w:lang w:val="en-US" w:eastAsia="zh-CN"/>
              </w:rPr>
              <w:t>14</w:t>
            </w:r>
            <w:r>
              <w:rPr>
                <w:rFonts w:hint="eastAsia" w:ascii="宋体" w:hAnsi="宋体" w:eastAsia="宋体" w:cs="宋体"/>
                <w:bCs/>
                <w:sz w:val="21"/>
                <w:szCs w:val="21"/>
              </w:rPr>
              <w:t>分）：维护服务能力一般、解决方案等内容较详细；技术服务完全满足采购文件要求。</w:t>
            </w:r>
          </w:p>
          <w:p>
            <w:pPr>
              <w:pStyle w:val="15"/>
              <w:widowControl/>
              <w:spacing w:line="400" w:lineRule="exact"/>
              <w:ind w:firstLine="420" w:firstLineChars="200"/>
              <w:rPr>
                <w:rFonts w:hint="eastAsia" w:ascii="宋体" w:hAnsi="宋体" w:eastAsia="宋体" w:cs="宋体"/>
                <w:bCs/>
                <w:sz w:val="21"/>
                <w:szCs w:val="21"/>
              </w:rPr>
            </w:pPr>
            <w:r>
              <w:rPr>
                <w:rFonts w:hint="eastAsia" w:ascii="宋体" w:hAnsi="宋体" w:eastAsia="宋体" w:cs="宋体"/>
                <w:bCs/>
                <w:sz w:val="21"/>
                <w:szCs w:val="21"/>
              </w:rPr>
              <w:t>三档（</w:t>
            </w:r>
            <w:r>
              <w:rPr>
                <w:rFonts w:hint="eastAsia" w:ascii="宋体" w:hAnsi="宋体" w:eastAsia="宋体" w:cs="宋体"/>
                <w:bCs/>
                <w:sz w:val="21"/>
                <w:szCs w:val="21"/>
                <w:lang w:val="en-US" w:eastAsia="zh-CN"/>
              </w:rPr>
              <w:t>21</w:t>
            </w:r>
            <w:r>
              <w:rPr>
                <w:rFonts w:hint="eastAsia" w:ascii="宋体" w:hAnsi="宋体" w:eastAsia="宋体" w:cs="宋体"/>
                <w:bCs/>
                <w:sz w:val="21"/>
                <w:szCs w:val="21"/>
              </w:rPr>
              <w:t>分）：维护服务能力较好、解决方案等内容详实，有针对性、可行性；技术服务优于采购文件要求。</w:t>
            </w:r>
          </w:p>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sz w:val="21"/>
                <w:szCs w:val="21"/>
              </w:rPr>
              <w:t>注：供应商若没提供本项目内容，得0分。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9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sz w:val="21"/>
                <w:szCs w:val="21"/>
                <w:highlight w:val="none"/>
                <w:lang w:val="en-US" w:eastAsia="zh-CN"/>
              </w:rPr>
            </w:pPr>
          </w:p>
        </w:tc>
        <w:tc>
          <w:tcPr>
            <w:tcW w:w="172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bCs/>
                <w:sz w:val="21"/>
                <w:szCs w:val="21"/>
              </w:rPr>
            </w:pPr>
            <w:r>
              <w:rPr>
                <w:rFonts w:hint="eastAsia" w:ascii="宋体" w:hAnsi="宋体" w:eastAsia="宋体" w:cs="宋体"/>
                <w:bCs/>
                <w:sz w:val="21"/>
                <w:szCs w:val="21"/>
              </w:rPr>
              <w:t>服务承诺</w:t>
            </w:r>
            <w:r>
              <w:rPr>
                <w:rFonts w:hint="eastAsia" w:ascii="宋体" w:hAnsi="宋体" w:eastAsia="宋体" w:cs="宋体"/>
                <w:bCs/>
                <w:sz w:val="21"/>
                <w:szCs w:val="21"/>
                <w:lang w:eastAsia="zh-CN"/>
              </w:rPr>
              <w:t>（满分</w:t>
            </w:r>
            <w:r>
              <w:rPr>
                <w:rFonts w:hint="eastAsia" w:ascii="宋体" w:hAnsi="宋体" w:eastAsia="宋体" w:cs="宋体"/>
                <w:bCs/>
                <w:sz w:val="21"/>
                <w:szCs w:val="21"/>
                <w:lang w:val="en-US" w:eastAsia="zh-CN"/>
              </w:rPr>
              <w:t>12分</w:t>
            </w:r>
            <w:r>
              <w:rPr>
                <w:rFonts w:hint="eastAsia" w:ascii="宋体" w:hAnsi="宋体" w:eastAsia="宋体" w:cs="宋体"/>
                <w:bCs/>
                <w:sz w:val="21"/>
                <w:szCs w:val="21"/>
                <w:lang w:eastAsia="zh-CN"/>
              </w:rPr>
              <w:t>）</w:t>
            </w:r>
          </w:p>
        </w:tc>
        <w:tc>
          <w:tcPr>
            <w:tcW w:w="5494" w:type="dxa"/>
            <w:noWrap w:val="0"/>
            <w:vAlign w:val="top"/>
          </w:tcPr>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Cs/>
                <w:sz w:val="21"/>
                <w:szCs w:val="21"/>
              </w:rPr>
            </w:pPr>
            <w:r>
              <w:rPr>
                <w:rFonts w:hint="eastAsia" w:ascii="宋体" w:hAnsi="宋体" w:eastAsia="宋体" w:cs="宋体"/>
                <w:bCs/>
                <w:sz w:val="21"/>
                <w:szCs w:val="21"/>
              </w:rPr>
              <w:t>由磋商小组根据供应商服务承诺的可行性、完整性的情况进行评定：</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Cs/>
                <w:sz w:val="21"/>
                <w:szCs w:val="21"/>
              </w:rPr>
            </w:pPr>
            <w:r>
              <w:rPr>
                <w:rFonts w:hint="eastAsia" w:ascii="宋体" w:hAnsi="宋体" w:eastAsia="宋体" w:cs="宋体"/>
                <w:bCs/>
                <w:sz w:val="21"/>
                <w:szCs w:val="21"/>
              </w:rPr>
              <w:t>一档（</w:t>
            </w:r>
            <w:r>
              <w:rPr>
                <w:rFonts w:hint="eastAsia" w:ascii="宋体" w:hAnsi="宋体" w:eastAsia="宋体" w:cs="宋体"/>
                <w:bCs/>
                <w:sz w:val="21"/>
                <w:szCs w:val="21"/>
                <w:lang w:val="en-US" w:eastAsia="zh-CN"/>
              </w:rPr>
              <w:t>4</w:t>
            </w:r>
            <w:r>
              <w:rPr>
                <w:rFonts w:hint="eastAsia" w:ascii="宋体" w:hAnsi="宋体" w:eastAsia="宋体" w:cs="宋体"/>
                <w:bCs/>
                <w:sz w:val="21"/>
                <w:szCs w:val="21"/>
              </w:rPr>
              <w:t>分）：服务质量承诺简单</w:t>
            </w:r>
            <w:r>
              <w:rPr>
                <w:rFonts w:hint="eastAsia" w:ascii="宋体" w:hAnsi="宋体" w:eastAsia="宋体" w:cs="宋体"/>
                <w:bCs/>
                <w:sz w:val="21"/>
                <w:szCs w:val="21"/>
                <w:lang w:eastAsia="zh-CN"/>
              </w:rPr>
              <w:t>，</w:t>
            </w:r>
            <w:r>
              <w:rPr>
                <w:rFonts w:hint="eastAsia" w:ascii="宋体" w:hAnsi="宋体" w:eastAsia="宋体" w:cs="宋体"/>
                <w:bCs/>
                <w:color w:val="auto"/>
                <w:kern w:val="0"/>
                <w:sz w:val="21"/>
                <w:szCs w:val="21"/>
                <w:highlight w:val="none"/>
              </w:rPr>
              <w:t>基本满足本项目服务需求</w:t>
            </w:r>
            <w:r>
              <w:rPr>
                <w:rFonts w:hint="eastAsia" w:ascii="宋体" w:hAnsi="宋体" w:eastAsia="宋体" w:cs="宋体"/>
                <w:bCs/>
                <w:sz w:val="21"/>
                <w:szCs w:val="21"/>
                <w:lang w:eastAsia="zh-CN"/>
              </w:rPr>
              <w:t>；</w:t>
            </w:r>
            <w:r>
              <w:rPr>
                <w:rFonts w:hint="eastAsia" w:ascii="宋体" w:hAnsi="宋体" w:eastAsia="宋体" w:cs="宋体"/>
                <w:bCs/>
                <w:sz w:val="21"/>
                <w:szCs w:val="21"/>
              </w:rPr>
              <w:t>承诺在质量保证期内发生技术服务问题，</w:t>
            </w:r>
            <w:r>
              <w:rPr>
                <w:rFonts w:hint="eastAsia" w:ascii="宋体" w:hAnsi="宋体" w:eastAsia="宋体" w:cs="宋体"/>
                <w:bCs/>
                <w:sz w:val="21"/>
                <w:szCs w:val="21"/>
                <w:lang w:eastAsia="zh-CN"/>
              </w:rPr>
              <w:t>供应商</w:t>
            </w:r>
            <w:r>
              <w:rPr>
                <w:rFonts w:hint="eastAsia" w:ascii="宋体" w:hAnsi="宋体" w:eastAsia="宋体" w:cs="宋体"/>
                <w:bCs/>
                <w:sz w:val="21"/>
                <w:szCs w:val="21"/>
              </w:rPr>
              <w:t>应在接到</w:t>
            </w:r>
            <w:r>
              <w:rPr>
                <w:rFonts w:hint="eastAsia" w:ascii="宋体" w:hAnsi="宋体" w:eastAsia="宋体" w:cs="宋体"/>
                <w:bCs/>
                <w:sz w:val="21"/>
                <w:szCs w:val="21"/>
                <w:lang w:eastAsia="zh-CN"/>
              </w:rPr>
              <w:t>采购人</w:t>
            </w:r>
            <w:r>
              <w:rPr>
                <w:rFonts w:hint="eastAsia" w:ascii="宋体" w:hAnsi="宋体" w:eastAsia="宋体" w:cs="宋体"/>
                <w:bCs/>
                <w:sz w:val="21"/>
                <w:szCs w:val="21"/>
              </w:rPr>
              <w:t>通知后</w:t>
            </w:r>
            <w:r>
              <w:rPr>
                <w:rFonts w:hint="eastAsia" w:ascii="宋体" w:hAnsi="宋体" w:eastAsia="宋体" w:cs="宋体"/>
                <w:bCs/>
                <w:sz w:val="21"/>
                <w:szCs w:val="21"/>
                <w:lang w:val="en-US" w:eastAsia="zh-CN"/>
              </w:rPr>
              <w:t>2</w:t>
            </w:r>
            <w:r>
              <w:rPr>
                <w:rFonts w:hint="eastAsia" w:ascii="宋体" w:hAnsi="宋体" w:eastAsia="宋体" w:cs="宋体"/>
                <w:bCs/>
                <w:sz w:val="21"/>
                <w:szCs w:val="21"/>
              </w:rPr>
              <w:t>小时内到达</w:t>
            </w:r>
            <w:r>
              <w:rPr>
                <w:rFonts w:hint="eastAsia" w:ascii="宋体" w:hAnsi="宋体" w:eastAsia="宋体" w:cs="宋体"/>
                <w:bCs/>
                <w:sz w:val="21"/>
                <w:szCs w:val="21"/>
                <w:lang w:eastAsia="zh-CN"/>
              </w:rPr>
              <w:t>采购人</w:t>
            </w:r>
            <w:r>
              <w:rPr>
                <w:rFonts w:hint="eastAsia" w:ascii="宋体" w:hAnsi="宋体" w:eastAsia="宋体" w:cs="宋体"/>
                <w:bCs/>
                <w:sz w:val="21"/>
                <w:szCs w:val="21"/>
              </w:rPr>
              <w:t>指定的</w:t>
            </w:r>
            <w:r>
              <w:rPr>
                <w:rFonts w:hint="eastAsia" w:ascii="宋体" w:hAnsi="宋体" w:eastAsia="宋体" w:cs="宋体"/>
                <w:bCs/>
                <w:sz w:val="21"/>
                <w:szCs w:val="21"/>
                <w:lang w:eastAsia="zh-CN"/>
              </w:rPr>
              <w:t>地点</w:t>
            </w:r>
            <w:r>
              <w:rPr>
                <w:rFonts w:hint="eastAsia" w:ascii="宋体" w:hAnsi="宋体" w:eastAsia="宋体" w:cs="宋体"/>
                <w:bCs/>
                <w:sz w:val="21"/>
                <w:szCs w:val="21"/>
              </w:rPr>
              <w:t>内解决问题；</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Cs/>
                <w:sz w:val="21"/>
                <w:szCs w:val="21"/>
              </w:rPr>
            </w:pPr>
            <w:r>
              <w:rPr>
                <w:rFonts w:hint="eastAsia" w:ascii="宋体" w:hAnsi="宋体" w:eastAsia="宋体" w:cs="宋体"/>
                <w:bCs/>
                <w:sz w:val="21"/>
                <w:szCs w:val="21"/>
              </w:rPr>
              <w:t>二档（</w:t>
            </w:r>
            <w:r>
              <w:rPr>
                <w:rFonts w:hint="eastAsia" w:ascii="宋体" w:hAnsi="宋体" w:eastAsia="宋体" w:cs="宋体"/>
                <w:bCs/>
                <w:sz w:val="21"/>
                <w:szCs w:val="21"/>
                <w:lang w:val="en-US" w:eastAsia="zh-CN"/>
              </w:rPr>
              <w:t>8</w:t>
            </w:r>
            <w:r>
              <w:rPr>
                <w:rFonts w:hint="eastAsia" w:ascii="宋体" w:hAnsi="宋体" w:eastAsia="宋体" w:cs="宋体"/>
                <w:bCs/>
                <w:sz w:val="21"/>
                <w:szCs w:val="21"/>
              </w:rPr>
              <w:t>分）：服务质量承诺</w:t>
            </w:r>
            <w:r>
              <w:rPr>
                <w:rFonts w:hint="eastAsia" w:ascii="宋体" w:hAnsi="宋体" w:eastAsia="宋体" w:cs="宋体"/>
                <w:bCs/>
                <w:sz w:val="21"/>
                <w:szCs w:val="21"/>
                <w:lang w:eastAsia="zh-CN"/>
              </w:rPr>
              <w:t>较详细，</w:t>
            </w:r>
            <w:r>
              <w:rPr>
                <w:rFonts w:hint="eastAsia" w:ascii="宋体" w:hAnsi="宋体" w:eastAsia="宋体" w:cs="宋体"/>
                <w:bCs/>
                <w:sz w:val="21"/>
                <w:szCs w:val="21"/>
              </w:rPr>
              <w:t>承诺在质量保证期内发生技术服务问题，</w:t>
            </w:r>
            <w:r>
              <w:rPr>
                <w:rFonts w:hint="eastAsia" w:ascii="宋体" w:hAnsi="宋体" w:eastAsia="宋体" w:cs="宋体"/>
                <w:bCs/>
                <w:sz w:val="21"/>
                <w:szCs w:val="21"/>
                <w:lang w:eastAsia="zh-CN"/>
              </w:rPr>
              <w:t>供应商</w:t>
            </w:r>
            <w:r>
              <w:rPr>
                <w:rFonts w:hint="eastAsia" w:ascii="宋体" w:hAnsi="宋体" w:eastAsia="宋体" w:cs="宋体"/>
                <w:bCs/>
                <w:sz w:val="21"/>
                <w:szCs w:val="21"/>
              </w:rPr>
              <w:t>应在接到</w:t>
            </w:r>
            <w:r>
              <w:rPr>
                <w:rFonts w:hint="eastAsia" w:ascii="宋体" w:hAnsi="宋体" w:eastAsia="宋体" w:cs="宋体"/>
                <w:bCs/>
                <w:sz w:val="21"/>
                <w:szCs w:val="21"/>
                <w:lang w:eastAsia="zh-CN"/>
              </w:rPr>
              <w:t>采购人</w:t>
            </w:r>
            <w:r>
              <w:rPr>
                <w:rFonts w:hint="eastAsia" w:ascii="宋体" w:hAnsi="宋体" w:eastAsia="宋体" w:cs="宋体"/>
                <w:bCs/>
                <w:sz w:val="21"/>
                <w:szCs w:val="21"/>
              </w:rPr>
              <w:t>通知后</w:t>
            </w:r>
            <w:r>
              <w:rPr>
                <w:rFonts w:hint="eastAsia" w:ascii="宋体" w:hAnsi="宋体" w:eastAsia="宋体" w:cs="宋体"/>
                <w:bCs/>
                <w:sz w:val="21"/>
                <w:szCs w:val="21"/>
                <w:lang w:val="en-US" w:eastAsia="zh-CN"/>
              </w:rPr>
              <w:t>1.5</w:t>
            </w:r>
            <w:r>
              <w:rPr>
                <w:rFonts w:hint="eastAsia" w:ascii="宋体" w:hAnsi="宋体" w:eastAsia="宋体" w:cs="宋体"/>
                <w:bCs/>
                <w:sz w:val="21"/>
                <w:szCs w:val="21"/>
              </w:rPr>
              <w:t>小时内到达</w:t>
            </w:r>
            <w:r>
              <w:rPr>
                <w:rFonts w:hint="eastAsia" w:ascii="宋体" w:hAnsi="宋体" w:eastAsia="宋体" w:cs="宋体"/>
                <w:bCs/>
                <w:sz w:val="21"/>
                <w:szCs w:val="21"/>
                <w:lang w:eastAsia="zh-CN"/>
              </w:rPr>
              <w:t>采购人</w:t>
            </w:r>
            <w:r>
              <w:rPr>
                <w:rFonts w:hint="eastAsia" w:ascii="宋体" w:hAnsi="宋体" w:eastAsia="宋体" w:cs="宋体"/>
                <w:bCs/>
                <w:sz w:val="21"/>
                <w:szCs w:val="21"/>
              </w:rPr>
              <w:t>指定的</w:t>
            </w:r>
            <w:r>
              <w:rPr>
                <w:rFonts w:hint="eastAsia" w:ascii="宋体" w:hAnsi="宋体" w:eastAsia="宋体" w:cs="宋体"/>
                <w:bCs/>
                <w:sz w:val="21"/>
                <w:szCs w:val="21"/>
                <w:lang w:eastAsia="zh-CN"/>
              </w:rPr>
              <w:t>地点</w:t>
            </w:r>
            <w:r>
              <w:rPr>
                <w:rFonts w:hint="eastAsia" w:ascii="宋体" w:hAnsi="宋体" w:eastAsia="宋体" w:cs="宋体"/>
                <w:bCs/>
                <w:sz w:val="21"/>
                <w:szCs w:val="21"/>
              </w:rPr>
              <w:t>内解决问题；</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bCs/>
                <w:sz w:val="21"/>
                <w:szCs w:val="21"/>
                <w:lang w:eastAsia="zh-CN"/>
              </w:rPr>
              <w:t>三</w:t>
            </w:r>
            <w:r>
              <w:rPr>
                <w:rFonts w:hint="eastAsia" w:ascii="宋体" w:hAnsi="宋体" w:eastAsia="宋体" w:cs="宋体"/>
                <w:bCs/>
                <w:sz w:val="21"/>
                <w:szCs w:val="21"/>
              </w:rPr>
              <w:t>档（</w:t>
            </w:r>
            <w:r>
              <w:rPr>
                <w:rFonts w:hint="eastAsia" w:ascii="宋体" w:hAnsi="宋体" w:eastAsia="宋体" w:cs="宋体"/>
                <w:bCs/>
                <w:sz w:val="21"/>
                <w:szCs w:val="21"/>
                <w:lang w:val="en-US" w:eastAsia="zh-CN"/>
              </w:rPr>
              <w:t>12</w:t>
            </w:r>
            <w:r>
              <w:rPr>
                <w:rFonts w:hint="eastAsia" w:ascii="宋体" w:hAnsi="宋体" w:eastAsia="宋体" w:cs="宋体"/>
                <w:bCs/>
                <w:sz w:val="21"/>
                <w:szCs w:val="21"/>
              </w:rPr>
              <w:t>分）：</w:t>
            </w:r>
            <w:r>
              <w:rPr>
                <w:rFonts w:hint="eastAsia" w:ascii="宋体" w:hAnsi="宋体" w:eastAsia="宋体" w:cs="宋体"/>
                <w:bCs/>
                <w:sz w:val="21"/>
                <w:szCs w:val="21"/>
                <w:lang w:eastAsia="zh-CN"/>
              </w:rPr>
              <w:t>服务质量承诺</w:t>
            </w:r>
            <w:r>
              <w:rPr>
                <w:rFonts w:hint="eastAsia" w:ascii="宋体" w:hAnsi="宋体" w:eastAsia="宋体" w:cs="宋体"/>
                <w:bCs/>
                <w:sz w:val="21"/>
                <w:szCs w:val="21"/>
                <w:lang w:val="en-US" w:eastAsia="zh-CN"/>
              </w:rPr>
              <w:t>全面、具体</w:t>
            </w:r>
            <w:r>
              <w:rPr>
                <w:rFonts w:hint="eastAsia" w:ascii="宋体" w:hAnsi="宋体" w:eastAsia="宋体" w:cs="宋体"/>
                <w:bCs/>
                <w:sz w:val="21"/>
                <w:szCs w:val="21"/>
                <w:lang w:eastAsia="zh-CN"/>
              </w:rPr>
              <w:t>详细，</w:t>
            </w:r>
            <w:r>
              <w:rPr>
                <w:rFonts w:hint="eastAsia" w:ascii="宋体" w:hAnsi="宋体" w:eastAsia="宋体" w:cs="宋体"/>
                <w:bCs/>
                <w:sz w:val="21"/>
                <w:szCs w:val="21"/>
                <w:lang w:val="en-US" w:eastAsia="zh-CN"/>
              </w:rPr>
              <w:t>有合理化建议；</w:t>
            </w:r>
            <w:r>
              <w:rPr>
                <w:rFonts w:hint="eastAsia" w:ascii="宋体" w:hAnsi="宋体" w:eastAsia="宋体" w:cs="宋体"/>
                <w:bCs/>
                <w:sz w:val="21"/>
                <w:szCs w:val="21"/>
                <w:lang w:eastAsia="zh-CN"/>
              </w:rPr>
              <w:t>承诺在质</w:t>
            </w:r>
            <w:r>
              <w:rPr>
                <w:rFonts w:hint="eastAsia" w:ascii="宋体" w:hAnsi="宋体" w:eastAsia="宋体" w:cs="宋体"/>
                <w:bCs/>
                <w:sz w:val="21"/>
                <w:szCs w:val="21"/>
              </w:rPr>
              <w:t>量保证期内发生技术服务问题，</w:t>
            </w:r>
            <w:r>
              <w:rPr>
                <w:rFonts w:hint="eastAsia" w:ascii="宋体" w:hAnsi="宋体" w:eastAsia="宋体" w:cs="宋体"/>
                <w:bCs/>
                <w:sz w:val="21"/>
                <w:szCs w:val="21"/>
                <w:lang w:eastAsia="zh-CN"/>
              </w:rPr>
              <w:t>供应商</w:t>
            </w:r>
            <w:r>
              <w:rPr>
                <w:rFonts w:hint="eastAsia" w:ascii="宋体" w:hAnsi="宋体" w:eastAsia="宋体" w:cs="宋体"/>
                <w:bCs/>
                <w:sz w:val="21"/>
                <w:szCs w:val="21"/>
              </w:rPr>
              <w:t>应在接到</w:t>
            </w:r>
            <w:r>
              <w:rPr>
                <w:rFonts w:hint="eastAsia" w:ascii="宋体" w:hAnsi="宋体" w:eastAsia="宋体" w:cs="宋体"/>
                <w:bCs/>
                <w:sz w:val="21"/>
                <w:szCs w:val="21"/>
                <w:lang w:eastAsia="zh-CN"/>
              </w:rPr>
              <w:t>采购人</w:t>
            </w:r>
            <w:r>
              <w:rPr>
                <w:rFonts w:hint="eastAsia" w:ascii="宋体" w:hAnsi="宋体" w:eastAsia="宋体" w:cs="宋体"/>
                <w:bCs/>
                <w:sz w:val="21"/>
                <w:szCs w:val="21"/>
              </w:rPr>
              <w:t>通知后</w:t>
            </w:r>
            <w:r>
              <w:rPr>
                <w:rFonts w:hint="eastAsia" w:ascii="宋体" w:hAnsi="宋体" w:eastAsia="宋体" w:cs="宋体"/>
                <w:bCs/>
                <w:sz w:val="21"/>
                <w:szCs w:val="21"/>
                <w:lang w:val="en-US" w:eastAsia="zh-CN"/>
              </w:rPr>
              <w:t>1</w:t>
            </w:r>
            <w:r>
              <w:rPr>
                <w:rFonts w:hint="eastAsia" w:ascii="宋体" w:hAnsi="宋体" w:eastAsia="宋体" w:cs="宋体"/>
                <w:bCs/>
                <w:sz w:val="21"/>
                <w:szCs w:val="21"/>
              </w:rPr>
              <w:t>小时内到达</w:t>
            </w:r>
            <w:r>
              <w:rPr>
                <w:rFonts w:hint="eastAsia" w:ascii="宋体" w:hAnsi="宋体" w:eastAsia="宋体" w:cs="宋体"/>
                <w:bCs/>
                <w:sz w:val="21"/>
                <w:szCs w:val="21"/>
                <w:lang w:eastAsia="zh-CN"/>
              </w:rPr>
              <w:t>采购人</w:t>
            </w:r>
            <w:r>
              <w:rPr>
                <w:rFonts w:hint="eastAsia" w:ascii="宋体" w:hAnsi="宋体" w:eastAsia="宋体" w:cs="宋体"/>
                <w:bCs/>
                <w:sz w:val="21"/>
                <w:szCs w:val="21"/>
              </w:rPr>
              <w:t>指定的</w:t>
            </w:r>
            <w:r>
              <w:rPr>
                <w:rFonts w:hint="eastAsia" w:ascii="宋体" w:hAnsi="宋体" w:eastAsia="宋体" w:cs="宋体"/>
                <w:bCs/>
                <w:sz w:val="21"/>
                <w:szCs w:val="21"/>
                <w:lang w:eastAsia="zh-CN"/>
              </w:rPr>
              <w:t>地点</w:t>
            </w:r>
            <w:r>
              <w:rPr>
                <w:rFonts w:hint="eastAsia" w:ascii="宋体" w:hAnsi="宋体" w:eastAsia="宋体" w:cs="宋体"/>
                <w:bCs/>
                <w:sz w:val="21"/>
                <w:szCs w:val="21"/>
              </w:rPr>
              <w:t>内解决问题。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3" w:hRule="atLeast"/>
          <w:jc w:val="center"/>
        </w:trPr>
        <w:tc>
          <w:tcPr>
            <w:tcW w:w="129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bCs/>
                <w:color w:val="auto"/>
                <w:sz w:val="21"/>
                <w:szCs w:val="21"/>
              </w:rPr>
              <w:t>商务分</w:t>
            </w:r>
          </w:p>
        </w:tc>
        <w:tc>
          <w:tcPr>
            <w:tcW w:w="1725"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rPr>
              <w:t>企业信誉及业绩分（满分19分）</w:t>
            </w:r>
          </w:p>
        </w:tc>
        <w:tc>
          <w:tcPr>
            <w:tcW w:w="5494" w:type="dxa"/>
            <w:noWrap w:val="0"/>
            <w:vAlign w:val="center"/>
          </w:tcPr>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1、拟</w:t>
            </w:r>
            <w:r>
              <w:rPr>
                <w:rFonts w:hint="eastAsia" w:ascii="宋体" w:hAnsi="宋体" w:eastAsia="宋体" w:cs="宋体"/>
                <w:bCs/>
                <w:color w:val="auto"/>
                <w:sz w:val="21"/>
                <w:szCs w:val="21"/>
                <w:lang w:val="en-US"/>
              </w:rPr>
              <w:t>投入的技术人员</w:t>
            </w:r>
            <w:r>
              <w:rPr>
                <w:rFonts w:hint="eastAsia" w:ascii="宋体" w:hAnsi="宋体" w:eastAsia="宋体" w:cs="宋体"/>
                <w:bCs/>
                <w:color w:val="auto"/>
                <w:sz w:val="21"/>
                <w:szCs w:val="21"/>
                <w:lang w:val="en-US" w:eastAsia="zh-CN"/>
              </w:rPr>
              <w:t>达4人且</w:t>
            </w:r>
            <w:r>
              <w:rPr>
                <w:rFonts w:hint="eastAsia" w:ascii="宋体" w:hAnsi="宋体" w:eastAsia="宋体" w:cs="宋体"/>
                <w:bCs/>
                <w:color w:val="auto"/>
                <w:sz w:val="21"/>
                <w:szCs w:val="21"/>
                <w:lang w:val="en-US"/>
              </w:rPr>
              <w:t>有二年</w:t>
            </w:r>
            <w:r>
              <w:rPr>
                <w:rFonts w:hint="eastAsia" w:ascii="宋体" w:hAnsi="宋体" w:eastAsia="宋体" w:cs="宋体"/>
                <w:bCs/>
                <w:color w:val="auto"/>
                <w:sz w:val="21"/>
                <w:szCs w:val="21"/>
                <w:lang w:val="en-US" w:eastAsia="zh-CN"/>
              </w:rPr>
              <w:t>及以上</w:t>
            </w:r>
            <w:r>
              <w:rPr>
                <w:rFonts w:hint="eastAsia" w:ascii="宋体" w:hAnsi="宋体" w:eastAsia="宋体" w:cs="宋体"/>
                <w:bCs/>
                <w:color w:val="auto"/>
                <w:sz w:val="21"/>
                <w:szCs w:val="21"/>
                <w:lang w:val="en-US"/>
              </w:rPr>
              <w:t>相关工作经历</w:t>
            </w:r>
            <w:r>
              <w:rPr>
                <w:rFonts w:hint="eastAsia" w:ascii="宋体" w:hAnsi="宋体" w:eastAsia="宋体" w:cs="宋体"/>
                <w:bCs/>
                <w:color w:val="auto"/>
                <w:sz w:val="21"/>
                <w:szCs w:val="21"/>
                <w:lang w:val="en-US" w:eastAsia="zh-CN"/>
              </w:rPr>
              <w:t>的得2分；在此基础上每增加1人得0.5分，满分3分</w:t>
            </w:r>
            <w:r>
              <w:rPr>
                <w:rFonts w:hint="eastAsia" w:ascii="宋体" w:hAnsi="宋体" w:eastAsia="宋体" w:cs="宋体"/>
                <w:b w:val="0"/>
                <w:bCs w:val="0"/>
                <w:color w:val="auto"/>
                <w:kern w:val="0"/>
                <w:sz w:val="21"/>
                <w:szCs w:val="21"/>
                <w:highlight w:val="none"/>
                <w:lang w:val="en-US" w:eastAsia="zh-CN"/>
              </w:rPr>
              <w:t>（注：需提供拟投入本项目的技术人员身份证复印件</w:t>
            </w:r>
            <w:r>
              <w:rPr>
                <w:rFonts w:hint="eastAsia" w:ascii="宋体" w:hAnsi="宋体" w:cs="宋体"/>
                <w:b w:val="0"/>
                <w:bCs w:val="0"/>
                <w:color w:val="auto"/>
                <w:kern w:val="0"/>
                <w:sz w:val="21"/>
                <w:szCs w:val="21"/>
                <w:highlight w:val="none"/>
                <w:lang w:val="en-US" w:eastAsia="zh-CN"/>
              </w:rPr>
              <w:t>、工作经历</w:t>
            </w:r>
            <w:r>
              <w:rPr>
                <w:rFonts w:hint="eastAsia" w:ascii="宋体" w:hAnsi="宋体" w:eastAsia="宋体" w:cs="宋体"/>
                <w:b w:val="0"/>
                <w:bCs w:val="0"/>
                <w:color w:val="auto"/>
                <w:kern w:val="0"/>
                <w:sz w:val="21"/>
                <w:szCs w:val="21"/>
                <w:highlight w:val="none"/>
                <w:lang w:val="en-US" w:eastAsia="zh-CN"/>
              </w:rPr>
              <w:t>及服务于投标方的证明材料（如劳动合同、劳动协议或其他），并加盖供应商的公章）。</w:t>
            </w:r>
          </w:p>
          <w:p>
            <w:pPr>
              <w:keepNext w:val="0"/>
              <w:keepLines w:val="0"/>
              <w:pageBreakBefore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2、拟投入</w:t>
            </w:r>
            <w:r>
              <w:rPr>
                <w:rFonts w:hint="eastAsia" w:ascii="宋体" w:hAnsi="宋体" w:eastAsia="宋体" w:cs="宋体"/>
                <w:color w:val="auto"/>
                <w:sz w:val="21"/>
                <w:szCs w:val="21"/>
                <w:lang w:val="en-US" w:eastAsia="zh-CN"/>
              </w:rPr>
              <w:t>供电系统的工作人员具备电工操作资质证或同种类型的资格证书</w:t>
            </w:r>
            <w:r>
              <w:rPr>
                <w:rFonts w:hint="eastAsia" w:ascii="宋体" w:hAnsi="宋体" w:eastAsia="宋体" w:cs="宋体"/>
                <w:bCs/>
                <w:color w:val="auto"/>
                <w:sz w:val="21"/>
                <w:szCs w:val="21"/>
                <w:lang w:val="en-US" w:eastAsia="zh-CN"/>
              </w:rPr>
              <w:t>的得2分，满分2分。</w:t>
            </w:r>
            <w:r>
              <w:rPr>
                <w:rFonts w:hint="eastAsia" w:ascii="宋体" w:hAnsi="宋体" w:eastAsia="宋体" w:cs="宋体"/>
                <w:b w:val="0"/>
                <w:bCs w:val="0"/>
                <w:color w:val="auto"/>
                <w:kern w:val="0"/>
                <w:sz w:val="21"/>
                <w:szCs w:val="21"/>
                <w:highlight w:val="none"/>
                <w:lang w:val="en-US" w:eastAsia="zh-CN"/>
              </w:rPr>
              <w:t>（注：需提供拟投入本项目的技术人员身份证复印件</w:t>
            </w:r>
            <w:r>
              <w:rPr>
                <w:rFonts w:hint="eastAsia" w:ascii="宋体" w:hAnsi="宋体" w:cs="宋体"/>
                <w:b w:val="0"/>
                <w:bCs w:val="0"/>
                <w:color w:val="auto"/>
                <w:kern w:val="0"/>
                <w:sz w:val="21"/>
                <w:szCs w:val="21"/>
                <w:highlight w:val="none"/>
                <w:lang w:val="en-US" w:eastAsia="zh-CN"/>
              </w:rPr>
              <w:t>、电工操作资格证或同种类型的资格证书、</w:t>
            </w:r>
            <w:r>
              <w:rPr>
                <w:rFonts w:hint="eastAsia" w:ascii="宋体" w:hAnsi="宋体" w:eastAsia="宋体" w:cs="宋体"/>
                <w:b w:val="0"/>
                <w:bCs w:val="0"/>
                <w:color w:val="auto"/>
                <w:kern w:val="0"/>
                <w:sz w:val="21"/>
                <w:szCs w:val="21"/>
                <w:highlight w:val="none"/>
                <w:lang w:val="en-US" w:eastAsia="zh-CN"/>
              </w:rPr>
              <w:t>及服务于投标方的证明材料（如劳动合同、劳动协议或其他），并加盖供应商的公章）。</w:t>
            </w:r>
          </w:p>
          <w:p>
            <w:pPr>
              <w:keepNext w:val="0"/>
              <w:keepLines w:val="0"/>
              <w:pageBreakBefore w:val="0"/>
              <w:widowControl/>
              <w:suppressLineNumbers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3、供应商具有有效期内的ISO9001质量管理体系认证、OHSAS18001职业健康安全管理体系认证证书、ISO14001环境管理体系认证证书的，每个得2分，满分得6分。</w:t>
            </w:r>
          </w:p>
          <w:p>
            <w:pPr>
              <w:keepNext w:val="0"/>
              <w:keepLines w:val="0"/>
              <w:pageBreakBefore w:val="0"/>
              <w:shd w:val="clear" w:color="auto" w:fill="auto"/>
              <w:kinsoku/>
              <w:wordWrap/>
              <w:overflowPunct/>
              <w:topLinePunct w:val="0"/>
              <w:bidi w:val="0"/>
              <w:adjustRightInd/>
              <w:snapToGrid/>
              <w:spacing w:line="400" w:lineRule="exact"/>
              <w:ind w:firstLine="420" w:firstLineChars="200"/>
              <w:jc w:val="left"/>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color w:val="auto"/>
                <w:kern w:val="0"/>
                <w:sz w:val="21"/>
                <w:szCs w:val="21"/>
                <w:highlight w:val="none"/>
                <w:lang w:val="en-US" w:eastAsia="zh-CN"/>
              </w:rPr>
              <w:t>4、供应商自2022年以来完成过类似服务项目的，每有一项得2分，满分8分。（提供合同复印件或成交（中标）通知书复印件并加盖单位公章，否则不予计分）</w:t>
            </w:r>
          </w:p>
        </w:tc>
      </w:tr>
    </w:tbl>
    <w:p>
      <w:pPr>
        <w:spacing w:line="360" w:lineRule="auto"/>
        <w:rPr>
          <w:rFonts w:hint="eastAsia" w:ascii="宋体" w:hAnsi="宋体"/>
          <w:b/>
          <w:bCs w:val="0"/>
          <w:color w:val="auto"/>
          <w:szCs w:val="21"/>
        </w:rPr>
      </w:pPr>
    </w:p>
    <w:p>
      <w:pPr>
        <w:spacing w:line="360" w:lineRule="auto"/>
        <w:ind w:firstLine="422" w:firstLineChars="200"/>
        <w:rPr>
          <w:rFonts w:hint="eastAsia" w:ascii="宋体" w:hAnsi="宋体" w:eastAsia="宋体"/>
          <w:b/>
          <w:bCs w:val="0"/>
          <w:color w:val="auto"/>
          <w:szCs w:val="21"/>
          <w:lang w:eastAsia="zh-CN"/>
        </w:rPr>
      </w:pPr>
      <w:r>
        <w:rPr>
          <w:rFonts w:hint="eastAsia" w:ascii="宋体" w:hAnsi="宋体"/>
          <w:b/>
          <w:bCs w:val="0"/>
          <w:color w:val="auto"/>
          <w:szCs w:val="21"/>
        </w:rPr>
        <w:t>（三）总得分＝</w:t>
      </w:r>
      <w:r>
        <w:rPr>
          <w:rFonts w:hint="eastAsia" w:ascii="宋体" w:hAnsi="宋体"/>
          <w:b/>
          <w:bCs w:val="0"/>
          <w:color w:val="auto"/>
          <w:szCs w:val="21"/>
          <w:lang w:eastAsia="zh-CN"/>
        </w:rPr>
        <w:t>价格分</w:t>
      </w:r>
      <w:r>
        <w:rPr>
          <w:rFonts w:hint="eastAsia" w:ascii="宋体" w:hAnsi="宋体"/>
          <w:b/>
          <w:bCs w:val="0"/>
          <w:color w:val="auto"/>
          <w:szCs w:val="21"/>
        </w:rPr>
        <w:t>＋</w:t>
      </w:r>
      <w:r>
        <w:rPr>
          <w:rFonts w:hint="eastAsia" w:ascii="宋体" w:hAnsi="宋体"/>
          <w:b/>
          <w:bCs w:val="0"/>
          <w:color w:val="auto"/>
          <w:szCs w:val="21"/>
          <w:lang w:eastAsia="zh-CN"/>
        </w:rPr>
        <w:t>技术分</w:t>
      </w:r>
      <w:r>
        <w:rPr>
          <w:rFonts w:hint="eastAsia" w:ascii="宋体" w:hAnsi="宋体"/>
          <w:b/>
          <w:bCs w:val="0"/>
          <w:color w:val="auto"/>
          <w:szCs w:val="21"/>
        </w:rPr>
        <w:t>＋</w:t>
      </w:r>
      <w:r>
        <w:rPr>
          <w:rFonts w:hint="eastAsia" w:ascii="宋体" w:hAnsi="宋体"/>
          <w:b/>
          <w:bCs w:val="0"/>
          <w:color w:val="auto"/>
          <w:szCs w:val="21"/>
          <w:lang w:eastAsia="zh-CN"/>
        </w:rPr>
        <w:t>商务分</w:t>
      </w:r>
    </w:p>
    <w:p>
      <w:pPr>
        <w:pStyle w:val="15"/>
        <w:tabs>
          <w:tab w:val="left" w:pos="2472"/>
        </w:tabs>
        <w:spacing w:line="400" w:lineRule="exact"/>
        <w:ind w:firstLine="422" w:firstLineChars="200"/>
        <w:jc w:val="left"/>
        <w:rPr>
          <w:rFonts w:hint="eastAsia" w:ascii="宋体" w:hAnsi="宋体" w:eastAsia="宋体" w:cs="宋体"/>
          <w:color w:val="auto"/>
          <w:lang w:val="en-US" w:eastAsia="zh-CN"/>
        </w:rPr>
      </w:pPr>
      <w:r>
        <w:rPr>
          <w:rFonts w:hint="eastAsia" w:ascii="宋体" w:hAnsi="宋体"/>
          <w:b/>
          <w:bCs w:val="0"/>
          <w:color w:val="auto"/>
          <w:szCs w:val="21"/>
        </w:rPr>
        <w:t>（四）</w:t>
      </w:r>
      <w:r>
        <w:rPr>
          <w:rFonts w:hint="eastAsia" w:ascii="宋体" w:hAnsi="宋体"/>
          <w:b/>
          <w:bCs w:val="0"/>
          <w:color w:val="auto"/>
          <w:szCs w:val="21"/>
          <w:lang w:eastAsia="zh-CN"/>
        </w:rPr>
        <w:t>成交</w:t>
      </w:r>
      <w:r>
        <w:rPr>
          <w:rFonts w:hint="eastAsia" w:ascii="宋体" w:hAnsi="宋体"/>
          <w:b/>
          <w:bCs w:val="0"/>
          <w:color w:val="auto"/>
          <w:szCs w:val="21"/>
        </w:rPr>
        <w:t>标准：</w:t>
      </w:r>
      <w:r>
        <w:rPr>
          <w:rFonts w:hint="eastAsia" w:ascii="宋体" w:hAnsi="宋体" w:eastAsia="宋体" w:cs="宋体"/>
          <w:color w:val="auto"/>
          <w:lang w:val="en-US" w:eastAsia="zh-CN"/>
        </w:rPr>
        <w:t>由磋商小组根据综合评分情况，按照评审得分由高到低顺序推荐 3 名成交候选供应商, 并编写评审报告。评审得分相同的，按照最后报价由低到高的顺序推荐。评审得分且最后报价相同的，按照技术指标优劣顺序推荐（按技术得分由高到低排序）。评审得分、最后报价、技术得分均相同的，由磋商小组随机抽取推荐</w:t>
      </w:r>
      <w:r>
        <w:rPr>
          <w:rFonts w:hint="eastAsia" w:hAnsi="宋体" w:cs="宋体"/>
          <w:color w:val="auto"/>
          <w:lang w:val="en-US" w:eastAsia="zh-CN"/>
        </w:rPr>
        <w:t>。</w:t>
      </w:r>
    </w:p>
    <w:p>
      <w:pPr>
        <w:spacing w:line="360" w:lineRule="auto"/>
        <w:ind w:firstLine="420" w:firstLineChars="200"/>
        <w:rPr>
          <w:rFonts w:ascii="宋体" w:hAnsi="宋体"/>
          <w:bCs/>
          <w:color w:val="auto"/>
          <w:szCs w:val="21"/>
        </w:rPr>
      </w:pPr>
    </w:p>
    <w:bookmarkEnd w:id="128"/>
    <w:bookmarkEnd w:id="129"/>
    <w:bookmarkEnd w:id="130"/>
    <w:bookmarkEnd w:id="131"/>
    <w:bookmarkEnd w:id="132"/>
    <w:p>
      <w:pPr>
        <w:keepNext/>
        <w:rPr>
          <w:rFonts w:ascii="宋体" w:hAnsi="宋体" w:cs="宋体"/>
          <w:color w:val="auto"/>
        </w:rPr>
      </w:pPr>
    </w:p>
    <w:sectPr>
      <w:footerReference r:id="rId6" w:type="default"/>
      <w:pgSz w:w="11906" w:h="16838"/>
      <w:pgMar w:top="1440" w:right="1417" w:bottom="1440" w:left="1417" w:header="720" w:footer="720" w:gutter="0"/>
      <w:pgNumType w:fmt="decimal" w:start="31"/>
      <w:cols w:space="720" w:num="1"/>
      <w:docGrid w:type="lines" w:linePitch="33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Gungsuh">
    <w:altName w:val="Malgun Gothic"/>
    <w:panose1 w:val="02030600000101010101"/>
    <w:charset w:val="81"/>
    <w:family w:val="roman"/>
    <w:pitch w:val="default"/>
    <w:sig w:usb0="00000000" w:usb1="00000000" w:usb2="00000030" w:usb3="00000000" w:csb0="4008009F" w:csb1="DFD70000"/>
  </w:font>
  <w:font w:name="Segoe UI Symbol">
    <w:panose1 w:val="020B0502040204020203"/>
    <w:charset w:val="00"/>
    <w:family w:val="swiss"/>
    <w:pitch w:val="default"/>
    <w:sig w:usb0="800001E3" w:usb1="1200FFEF" w:usb2="00040000" w:usb3="04000000" w:csb0="00000001" w:csb1="4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宋体;SimSun">
    <w:altName w:val="宋体"/>
    <w:panose1 w:val="00000000000000000000"/>
    <w:charset w:val="86"/>
    <w:family w:val="roma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1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9"/>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9"/>
                    </w:pPr>
                    <w:r>
                      <w:fldChar w:fldCharType="begin"/>
                    </w:r>
                    <w:r>
                      <w:instrText xml:space="preserve"> PAGE  \* MERGEFORMAT </w:instrText>
                    </w:r>
                    <w:r>
                      <w:fldChar w:fldCharType="separate"/>
                    </w:r>
                    <w:r>
                      <w:t>46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tabs>
        <w:tab w:val="center" w:pos="4153"/>
        <w:tab w:val="right" w:pos="8306"/>
      </w:tabs>
      <w:snapToGrid w:val="0"/>
      <w:rPr>
        <w:rFonts w:ascii="宋体" w:hAnsi="宋体" w:cs="宋体"/>
        <w:b/>
        <w:color w:val="000000"/>
        <w:kern w:val="0"/>
        <w:sz w:val="18"/>
        <w:szCs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BBE7627"/>
    <w:multiLevelType w:val="singleLevel"/>
    <w:tmpl w:val="CBBE7627"/>
    <w:lvl w:ilvl="0" w:tentative="0">
      <w:start w:val="1"/>
      <w:numFmt w:val="decimal"/>
      <w:suff w:val="nothing"/>
      <w:lvlText w:val="%1、"/>
      <w:lvlJc w:val="left"/>
    </w:lvl>
  </w:abstractNum>
  <w:abstractNum w:abstractNumId="1">
    <w:nsid w:val="0315620E"/>
    <w:multiLevelType w:val="multilevel"/>
    <w:tmpl w:val="0315620E"/>
    <w:lvl w:ilvl="0" w:tentative="0">
      <w:start w:val="1"/>
      <w:numFmt w:val="decimal"/>
      <w:lvlText w:val="%1"/>
      <w:lvlJc w:val="left"/>
      <w:pPr>
        <w:tabs>
          <w:tab w:val="left" w:pos="2487"/>
        </w:tabs>
        <w:ind w:left="2411" w:hanging="284"/>
      </w:pPr>
      <w:rPr>
        <w:rFonts w:hint="default" w:ascii="Times New Roman" w:hAnsi="Times New Roman"/>
        <w:b/>
        <w:i w:val="0"/>
        <w:sz w:val="28"/>
      </w:rPr>
    </w:lvl>
    <w:lvl w:ilvl="1" w:tentative="0">
      <w:start w:val="1"/>
      <w:numFmt w:val="decimal"/>
      <w:pStyle w:val="4"/>
      <w:lvlText w:val="%1.%2"/>
      <w:lvlJc w:val="left"/>
      <w:pPr>
        <w:tabs>
          <w:tab w:val="left" w:pos="3148"/>
        </w:tabs>
        <w:ind w:left="3148" w:hanging="596"/>
      </w:pPr>
      <w:rPr>
        <w:rFonts w:hint="default" w:ascii="Times New Roman" w:hAnsi="Times New Roman"/>
        <w:b/>
        <w:i w:val="0"/>
        <w:sz w:val="28"/>
      </w:rPr>
    </w:lvl>
    <w:lvl w:ilvl="2" w:tentative="0">
      <w:start w:val="1"/>
      <w:numFmt w:val="decimal"/>
      <w:pStyle w:val="5"/>
      <w:lvlText w:val="%1.%2.%3"/>
      <w:lvlJc w:val="left"/>
      <w:pPr>
        <w:tabs>
          <w:tab w:val="left" w:pos="3715"/>
        </w:tabs>
        <w:ind w:left="3715" w:hanging="737"/>
      </w:pPr>
      <w:rPr>
        <w:rFonts w:hint="default" w:ascii="Times New Roman" w:hAnsi="Times New Roman"/>
        <w:b/>
        <w:i w:val="0"/>
        <w:sz w:val="24"/>
      </w:rPr>
    </w:lvl>
    <w:lvl w:ilvl="3" w:tentative="0">
      <w:start w:val="1"/>
      <w:numFmt w:val="decimal"/>
      <w:pStyle w:val="2"/>
      <w:lvlText w:val="%1.%2.%3.%4"/>
      <w:lvlJc w:val="left"/>
      <w:pPr>
        <w:tabs>
          <w:tab w:val="left" w:pos="4282"/>
        </w:tabs>
        <w:ind w:left="4282" w:hanging="1078"/>
      </w:pPr>
      <w:rPr>
        <w:rFonts w:hint="default" w:ascii="Arial" w:hAnsi="Arial"/>
        <w:b w:val="0"/>
        <w:i w:val="0"/>
        <w:sz w:val="24"/>
      </w:rPr>
    </w:lvl>
    <w:lvl w:ilvl="4" w:tentative="0">
      <w:start w:val="1"/>
      <w:numFmt w:val="decimal"/>
      <w:lvlText w:val="%1.%2.%3.%4.%5"/>
      <w:lvlJc w:val="left"/>
      <w:pPr>
        <w:tabs>
          <w:tab w:val="left" w:pos="5268"/>
        </w:tabs>
        <w:ind w:left="4678" w:hanging="850"/>
      </w:pPr>
      <w:rPr>
        <w:rFonts w:hint="eastAsia"/>
      </w:rPr>
    </w:lvl>
    <w:lvl w:ilvl="5" w:tentative="0">
      <w:start w:val="1"/>
      <w:numFmt w:val="decimal"/>
      <w:lvlText w:val="%1.%2.%3.%4.%5.%6"/>
      <w:lvlJc w:val="left"/>
      <w:pPr>
        <w:tabs>
          <w:tab w:val="left" w:pos="5693"/>
        </w:tabs>
        <w:ind w:left="5387" w:hanging="1134"/>
      </w:pPr>
      <w:rPr>
        <w:rFonts w:hint="eastAsia"/>
      </w:rPr>
    </w:lvl>
    <w:lvl w:ilvl="6" w:tentative="0">
      <w:start w:val="1"/>
      <w:numFmt w:val="decimal"/>
      <w:lvlText w:val="%1.%2.%3.%4.%5.%6.%7"/>
      <w:lvlJc w:val="left"/>
      <w:pPr>
        <w:tabs>
          <w:tab w:val="left" w:pos="6478"/>
        </w:tabs>
        <w:ind w:left="5954" w:hanging="1276"/>
      </w:pPr>
      <w:rPr>
        <w:rFonts w:hint="eastAsia"/>
      </w:rPr>
    </w:lvl>
    <w:lvl w:ilvl="7" w:tentative="0">
      <w:start w:val="1"/>
      <w:numFmt w:val="decimal"/>
      <w:lvlText w:val="%1.%2.%3.%4.%5.%6.%7.%8"/>
      <w:lvlJc w:val="left"/>
      <w:pPr>
        <w:tabs>
          <w:tab w:val="left" w:pos="7263"/>
        </w:tabs>
        <w:ind w:left="6521" w:hanging="1418"/>
      </w:pPr>
      <w:rPr>
        <w:rFonts w:hint="eastAsia"/>
      </w:rPr>
    </w:lvl>
    <w:lvl w:ilvl="8" w:tentative="0">
      <w:start w:val="1"/>
      <w:numFmt w:val="decimal"/>
      <w:lvlText w:val="%1.%2.%3.%4.%5.%6.%7.%8.%9"/>
      <w:lvlJc w:val="left"/>
      <w:pPr>
        <w:tabs>
          <w:tab w:val="left" w:pos="7689"/>
        </w:tabs>
        <w:ind w:left="7229" w:hanging="1700"/>
      </w:pPr>
      <w:rPr>
        <w:rFonts w:hint="eastAsia"/>
      </w:rPr>
    </w:lvl>
  </w:abstractNum>
  <w:abstractNum w:abstractNumId="2">
    <w:nsid w:val="0A802F33"/>
    <w:multiLevelType w:val="singleLevel"/>
    <w:tmpl w:val="0A802F33"/>
    <w:lvl w:ilvl="0" w:tentative="0">
      <w:start w:val="1"/>
      <w:numFmt w:val="decimal"/>
      <w:suff w:val="nothing"/>
      <w:lvlText w:val="（%1）"/>
      <w:lvlJc w:val="left"/>
    </w:lvl>
  </w:abstractNum>
  <w:abstractNum w:abstractNumId="3">
    <w:nsid w:val="20D07223"/>
    <w:multiLevelType w:val="multilevel"/>
    <w:tmpl w:val="20D07223"/>
    <w:lvl w:ilvl="0" w:tentative="0">
      <w:start w:val="1"/>
      <w:numFmt w:val="decimal"/>
      <w:lvlText w:val="（%1）"/>
      <w:lvlJc w:val="left"/>
      <w:pPr>
        <w:tabs>
          <w:tab w:val="left" w:pos="1140"/>
        </w:tabs>
        <w:ind w:left="1140" w:hanging="720"/>
      </w:pPr>
      <w:rPr>
        <w:rFonts w:ascii="宋体" w:hAnsi="宋体" w:eastAsia="宋体" w:cs="Times New Roman"/>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4">
    <w:nsid w:val="22B364E5"/>
    <w:multiLevelType w:val="multilevel"/>
    <w:tmpl w:val="22B364E5"/>
    <w:lvl w:ilvl="0" w:tentative="0">
      <w:start w:val="1"/>
      <w:numFmt w:val="decimal"/>
      <w:lvlText w:val="（%1）"/>
      <w:lvlJc w:val="left"/>
      <w:pPr>
        <w:tabs>
          <w:tab w:val="left" w:pos="1140"/>
        </w:tabs>
        <w:ind w:left="1140" w:hanging="720"/>
      </w:pPr>
      <w:rPr>
        <w:rFonts w:hint="eastAsia"/>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5">
    <w:nsid w:val="562339E0"/>
    <w:multiLevelType w:val="multilevel"/>
    <w:tmpl w:val="562339E0"/>
    <w:lvl w:ilvl="0" w:tentative="0">
      <w:start w:val="1"/>
      <w:numFmt w:val="chineseCountingThousand"/>
      <w:pStyle w:val="74"/>
      <w:suff w:val="nothing"/>
      <w:lvlText w:val="%1、"/>
      <w:lvlJc w:val="left"/>
      <w:pPr>
        <w:ind w:left="0" w:firstLine="0"/>
      </w:pPr>
      <w:rPr>
        <w:rFonts w:hint="eastAsia" w:eastAsia="楷体_GB2312"/>
        <w:b/>
        <w:i w:val="0"/>
        <w:sz w:val="32"/>
        <w:szCs w:val="32"/>
      </w:rPr>
    </w:lvl>
    <w:lvl w:ilvl="1" w:tentative="0">
      <w:start w:val="1"/>
      <w:numFmt w:val="decimal"/>
      <w:isLgl/>
      <w:suff w:val="space"/>
      <w:lvlText w:val="%1.%2 "/>
      <w:lvlJc w:val="left"/>
      <w:pPr>
        <w:ind w:left="0" w:firstLine="0"/>
      </w:pPr>
      <w:rPr>
        <w:rFonts w:hint="eastAsia" w:eastAsia="黑体"/>
        <w:b/>
        <w:i w:val="0"/>
        <w:sz w:val="30"/>
        <w:szCs w:val="30"/>
      </w:rPr>
    </w:lvl>
    <w:lvl w:ilvl="2" w:tentative="0">
      <w:start w:val="1"/>
      <w:numFmt w:val="decimal"/>
      <w:isLgl/>
      <w:suff w:val="space"/>
      <w:lvlText w:val="%1.%2.%3 "/>
      <w:lvlJc w:val="left"/>
      <w:pPr>
        <w:ind w:left="0" w:firstLine="0"/>
      </w:pPr>
      <w:rPr>
        <w:rFonts w:hint="eastAsia" w:eastAsia="黑体"/>
        <w:b/>
        <w:i w:val="0"/>
        <w:spacing w:val="-20"/>
        <w:sz w:val="30"/>
        <w:szCs w:val="30"/>
      </w:rPr>
    </w:lvl>
    <w:lvl w:ilvl="3" w:tentative="0">
      <w:start w:val="1"/>
      <w:numFmt w:val="decimal"/>
      <w:isLgl/>
      <w:suff w:val="space"/>
      <w:lvlText w:val="%1.%2.%3.%4 "/>
      <w:lvlJc w:val="left"/>
      <w:pPr>
        <w:ind w:left="0" w:firstLine="0"/>
      </w:pPr>
      <w:rPr>
        <w:rFonts w:hint="eastAsia"/>
      </w:rPr>
    </w:lvl>
    <w:lvl w:ilvl="4" w:tentative="0">
      <w:start w:val="1"/>
      <w:numFmt w:val="none"/>
      <w:suff w:val="nothing"/>
      <w:lvlText w:val=""/>
      <w:lvlJc w:val="left"/>
      <w:pPr>
        <w:ind w:left="-425" w:firstLine="0"/>
      </w:pPr>
      <w:rPr>
        <w:rFonts w:hint="eastAsia"/>
      </w:rPr>
    </w:lvl>
    <w:lvl w:ilvl="5" w:tentative="0">
      <w:start w:val="1"/>
      <w:numFmt w:val="none"/>
      <w:suff w:val="nothing"/>
      <w:lvlText w:val=""/>
      <w:lvlJc w:val="left"/>
      <w:pPr>
        <w:ind w:left="-425" w:firstLine="0"/>
      </w:pPr>
      <w:rPr>
        <w:rFonts w:hint="eastAsia"/>
      </w:rPr>
    </w:lvl>
    <w:lvl w:ilvl="6" w:tentative="0">
      <w:start w:val="1"/>
      <w:numFmt w:val="none"/>
      <w:suff w:val="nothing"/>
      <w:lvlText w:val=""/>
      <w:lvlJc w:val="left"/>
      <w:pPr>
        <w:ind w:left="-425" w:firstLine="0"/>
      </w:pPr>
      <w:rPr>
        <w:rFonts w:hint="eastAsia"/>
      </w:rPr>
    </w:lvl>
    <w:lvl w:ilvl="7" w:tentative="0">
      <w:start w:val="1"/>
      <w:numFmt w:val="none"/>
      <w:suff w:val="nothing"/>
      <w:lvlText w:val=""/>
      <w:lvlJc w:val="left"/>
      <w:pPr>
        <w:ind w:left="-425" w:firstLine="0"/>
      </w:pPr>
      <w:rPr>
        <w:rFonts w:hint="eastAsia"/>
      </w:rPr>
    </w:lvl>
    <w:lvl w:ilvl="8" w:tentative="0">
      <w:start w:val="1"/>
      <w:numFmt w:val="decimal"/>
      <w:pStyle w:val="6"/>
      <w:isLgl/>
      <w:suff w:val="nothing"/>
      <w:lvlText w:val="%9、"/>
      <w:lvlJc w:val="left"/>
      <w:pPr>
        <w:ind w:left="567" w:firstLine="0"/>
      </w:pPr>
      <w:rPr>
        <w:rFonts w:hint="eastAsia"/>
      </w:rPr>
    </w:lvl>
  </w:abstractNum>
  <w:num w:numId="1">
    <w:abstractNumId w:val="1"/>
  </w:num>
  <w:num w:numId="2">
    <w:abstractNumId w:val="5"/>
  </w:num>
  <w:num w:numId="3">
    <w:abstractNumId w:val="2"/>
  </w:num>
  <w:num w:numId="4">
    <w:abstractNumId w:val="0"/>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0"/>
  <w:bordersDoNotSurroundFooter w:val="0"/>
  <w:documentProtection w:edit="readOnly" w:formatting="1"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U5MDA0YWQzNWY3MDhiMTdiZDA2NDg4YWU5MGRhOWMifQ=="/>
  </w:docVars>
  <w:rsids>
    <w:rsidRoot w:val="000B007F"/>
    <w:rsid w:val="00001F63"/>
    <w:rsid w:val="0000599A"/>
    <w:rsid w:val="00011B71"/>
    <w:rsid w:val="00016FB9"/>
    <w:rsid w:val="00021351"/>
    <w:rsid w:val="00021731"/>
    <w:rsid w:val="00022A4C"/>
    <w:rsid w:val="00023FE3"/>
    <w:rsid w:val="00024027"/>
    <w:rsid w:val="00025EB5"/>
    <w:rsid w:val="0002640C"/>
    <w:rsid w:val="00030961"/>
    <w:rsid w:val="00031624"/>
    <w:rsid w:val="00033302"/>
    <w:rsid w:val="000351DB"/>
    <w:rsid w:val="00036E98"/>
    <w:rsid w:val="00043B57"/>
    <w:rsid w:val="00043BF6"/>
    <w:rsid w:val="0005221A"/>
    <w:rsid w:val="00053837"/>
    <w:rsid w:val="00054DC6"/>
    <w:rsid w:val="000550C6"/>
    <w:rsid w:val="00056179"/>
    <w:rsid w:val="0005779F"/>
    <w:rsid w:val="00061E88"/>
    <w:rsid w:val="00066046"/>
    <w:rsid w:val="000714C4"/>
    <w:rsid w:val="0007270C"/>
    <w:rsid w:val="00075068"/>
    <w:rsid w:val="0008297C"/>
    <w:rsid w:val="00082C0A"/>
    <w:rsid w:val="0008348F"/>
    <w:rsid w:val="00084572"/>
    <w:rsid w:val="000856F4"/>
    <w:rsid w:val="000867C7"/>
    <w:rsid w:val="00086D8A"/>
    <w:rsid w:val="0009290C"/>
    <w:rsid w:val="000933BC"/>
    <w:rsid w:val="00097AE8"/>
    <w:rsid w:val="000A1AB7"/>
    <w:rsid w:val="000A6260"/>
    <w:rsid w:val="000A6829"/>
    <w:rsid w:val="000A6D8C"/>
    <w:rsid w:val="000A79C4"/>
    <w:rsid w:val="000B007F"/>
    <w:rsid w:val="000B0EF3"/>
    <w:rsid w:val="000B1174"/>
    <w:rsid w:val="000B4988"/>
    <w:rsid w:val="000B67CD"/>
    <w:rsid w:val="000B6C6B"/>
    <w:rsid w:val="000B7759"/>
    <w:rsid w:val="000B77BE"/>
    <w:rsid w:val="000B7DED"/>
    <w:rsid w:val="000C0491"/>
    <w:rsid w:val="000C7B59"/>
    <w:rsid w:val="000D2250"/>
    <w:rsid w:val="000F1E5B"/>
    <w:rsid w:val="000F2A03"/>
    <w:rsid w:val="000F3630"/>
    <w:rsid w:val="000F3722"/>
    <w:rsid w:val="000F3E30"/>
    <w:rsid w:val="000F4428"/>
    <w:rsid w:val="000F4BF7"/>
    <w:rsid w:val="000F7EEC"/>
    <w:rsid w:val="00100B86"/>
    <w:rsid w:val="00102D26"/>
    <w:rsid w:val="0010665D"/>
    <w:rsid w:val="00110AE0"/>
    <w:rsid w:val="00115281"/>
    <w:rsid w:val="00116736"/>
    <w:rsid w:val="00116CBF"/>
    <w:rsid w:val="00116DC0"/>
    <w:rsid w:val="00117C27"/>
    <w:rsid w:val="001200CF"/>
    <w:rsid w:val="001206D8"/>
    <w:rsid w:val="00122793"/>
    <w:rsid w:val="001234AE"/>
    <w:rsid w:val="001278D4"/>
    <w:rsid w:val="001307E7"/>
    <w:rsid w:val="00132F98"/>
    <w:rsid w:val="001379AC"/>
    <w:rsid w:val="001445FA"/>
    <w:rsid w:val="0014550F"/>
    <w:rsid w:val="001479C8"/>
    <w:rsid w:val="001567AE"/>
    <w:rsid w:val="0016419D"/>
    <w:rsid w:val="00165342"/>
    <w:rsid w:val="00165D39"/>
    <w:rsid w:val="001732CA"/>
    <w:rsid w:val="00181508"/>
    <w:rsid w:val="00182DCF"/>
    <w:rsid w:val="0018474C"/>
    <w:rsid w:val="00192AAE"/>
    <w:rsid w:val="00193DC2"/>
    <w:rsid w:val="001A00D9"/>
    <w:rsid w:val="001A7F03"/>
    <w:rsid w:val="001B27AD"/>
    <w:rsid w:val="001B7EBF"/>
    <w:rsid w:val="001C688F"/>
    <w:rsid w:val="001C76A9"/>
    <w:rsid w:val="001D117C"/>
    <w:rsid w:val="001D2DDF"/>
    <w:rsid w:val="001D7B88"/>
    <w:rsid w:val="001E413F"/>
    <w:rsid w:val="001E436F"/>
    <w:rsid w:val="001E652E"/>
    <w:rsid w:val="001F013B"/>
    <w:rsid w:val="001F0FF9"/>
    <w:rsid w:val="001F10C6"/>
    <w:rsid w:val="001F15F2"/>
    <w:rsid w:val="001F25B6"/>
    <w:rsid w:val="001F3002"/>
    <w:rsid w:val="001F64E1"/>
    <w:rsid w:val="001F70B4"/>
    <w:rsid w:val="002002DF"/>
    <w:rsid w:val="00205892"/>
    <w:rsid w:val="002149BB"/>
    <w:rsid w:val="00214FFB"/>
    <w:rsid w:val="00220E0C"/>
    <w:rsid w:val="002240D3"/>
    <w:rsid w:val="00231D0C"/>
    <w:rsid w:val="002352E9"/>
    <w:rsid w:val="002401E6"/>
    <w:rsid w:val="002444B0"/>
    <w:rsid w:val="002447D7"/>
    <w:rsid w:val="00247FFC"/>
    <w:rsid w:val="0025353F"/>
    <w:rsid w:val="00257C94"/>
    <w:rsid w:val="00264BDA"/>
    <w:rsid w:val="0026604F"/>
    <w:rsid w:val="00267A98"/>
    <w:rsid w:val="00270D2D"/>
    <w:rsid w:val="00274204"/>
    <w:rsid w:val="002745D7"/>
    <w:rsid w:val="0027515D"/>
    <w:rsid w:val="00275CAA"/>
    <w:rsid w:val="00277EBD"/>
    <w:rsid w:val="002818C6"/>
    <w:rsid w:val="00282F47"/>
    <w:rsid w:val="00286593"/>
    <w:rsid w:val="002906B5"/>
    <w:rsid w:val="002A190C"/>
    <w:rsid w:val="002A300C"/>
    <w:rsid w:val="002A46A8"/>
    <w:rsid w:val="002A4D41"/>
    <w:rsid w:val="002A60C6"/>
    <w:rsid w:val="002B01AA"/>
    <w:rsid w:val="002B06D1"/>
    <w:rsid w:val="002B66C0"/>
    <w:rsid w:val="002B6923"/>
    <w:rsid w:val="002C114E"/>
    <w:rsid w:val="002C1A2B"/>
    <w:rsid w:val="002C5864"/>
    <w:rsid w:val="002C7712"/>
    <w:rsid w:val="002D0788"/>
    <w:rsid w:val="002D14D6"/>
    <w:rsid w:val="002D3FED"/>
    <w:rsid w:val="002D58CD"/>
    <w:rsid w:val="002D7BFC"/>
    <w:rsid w:val="002E2974"/>
    <w:rsid w:val="002E2A1A"/>
    <w:rsid w:val="002E37B7"/>
    <w:rsid w:val="002E471C"/>
    <w:rsid w:val="002E48FB"/>
    <w:rsid w:val="002E4F5A"/>
    <w:rsid w:val="002E7347"/>
    <w:rsid w:val="002F4DBA"/>
    <w:rsid w:val="003041E3"/>
    <w:rsid w:val="00327695"/>
    <w:rsid w:val="003276E4"/>
    <w:rsid w:val="003351A3"/>
    <w:rsid w:val="00341C50"/>
    <w:rsid w:val="00342DC4"/>
    <w:rsid w:val="00343AEB"/>
    <w:rsid w:val="003452A2"/>
    <w:rsid w:val="003574A6"/>
    <w:rsid w:val="00357804"/>
    <w:rsid w:val="0037264C"/>
    <w:rsid w:val="0038281A"/>
    <w:rsid w:val="00382EBE"/>
    <w:rsid w:val="003942C9"/>
    <w:rsid w:val="003A51EF"/>
    <w:rsid w:val="003A54E8"/>
    <w:rsid w:val="003B3FA3"/>
    <w:rsid w:val="003B5730"/>
    <w:rsid w:val="003B712A"/>
    <w:rsid w:val="003C1480"/>
    <w:rsid w:val="003C1505"/>
    <w:rsid w:val="003C261C"/>
    <w:rsid w:val="003C387C"/>
    <w:rsid w:val="003C4C74"/>
    <w:rsid w:val="003C5691"/>
    <w:rsid w:val="003C56E3"/>
    <w:rsid w:val="003C64F9"/>
    <w:rsid w:val="003C7DD5"/>
    <w:rsid w:val="003D2E75"/>
    <w:rsid w:val="003E4628"/>
    <w:rsid w:val="003E5ACC"/>
    <w:rsid w:val="003E6690"/>
    <w:rsid w:val="003F1334"/>
    <w:rsid w:val="003F230B"/>
    <w:rsid w:val="003F2C1B"/>
    <w:rsid w:val="003F3957"/>
    <w:rsid w:val="00404035"/>
    <w:rsid w:val="00406F7D"/>
    <w:rsid w:val="00410451"/>
    <w:rsid w:val="00412C88"/>
    <w:rsid w:val="00413A09"/>
    <w:rsid w:val="00414AEC"/>
    <w:rsid w:val="004151A0"/>
    <w:rsid w:val="00415905"/>
    <w:rsid w:val="004209DF"/>
    <w:rsid w:val="00423C6D"/>
    <w:rsid w:val="00424F02"/>
    <w:rsid w:val="00426A92"/>
    <w:rsid w:val="0043059D"/>
    <w:rsid w:val="00440066"/>
    <w:rsid w:val="00442956"/>
    <w:rsid w:val="00445C2B"/>
    <w:rsid w:val="00454296"/>
    <w:rsid w:val="004551B3"/>
    <w:rsid w:val="004569B1"/>
    <w:rsid w:val="00457191"/>
    <w:rsid w:val="00457BBD"/>
    <w:rsid w:val="00457E12"/>
    <w:rsid w:val="004619AD"/>
    <w:rsid w:val="0046477C"/>
    <w:rsid w:val="00466E6B"/>
    <w:rsid w:val="004673E5"/>
    <w:rsid w:val="004702DB"/>
    <w:rsid w:val="004729E6"/>
    <w:rsid w:val="0047514F"/>
    <w:rsid w:val="004779B1"/>
    <w:rsid w:val="00481060"/>
    <w:rsid w:val="0048306F"/>
    <w:rsid w:val="00483D48"/>
    <w:rsid w:val="004860E5"/>
    <w:rsid w:val="004A08E2"/>
    <w:rsid w:val="004A6952"/>
    <w:rsid w:val="004A77AB"/>
    <w:rsid w:val="004B1813"/>
    <w:rsid w:val="004B5144"/>
    <w:rsid w:val="004C111D"/>
    <w:rsid w:val="004D2465"/>
    <w:rsid w:val="004D27B7"/>
    <w:rsid w:val="004D4480"/>
    <w:rsid w:val="004D4CA3"/>
    <w:rsid w:val="004D6711"/>
    <w:rsid w:val="004E0E38"/>
    <w:rsid w:val="004E14FA"/>
    <w:rsid w:val="004E3E73"/>
    <w:rsid w:val="004E45AA"/>
    <w:rsid w:val="004E69B7"/>
    <w:rsid w:val="004F1EC9"/>
    <w:rsid w:val="004F2C39"/>
    <w:rsid w:val="004F3B56"/>
    <w:rsid w:val="004F4178"/>
    <w:rsid w:val="004F6C5E"/>
    <w:rsid w:val="004F6D9F"/>
    <w:rsid w:val="005020F6"/>
    <w:rsid w:val="00511228"/>
    <w:rsid w:val="00514B61"/>
    <w:rsid w:val="0051618F"/>
    <w:rsid w:val="00516CC7"/>
    <w:rsid w:val="00520966"/>
    <w:rsid w:val="00520E2E"/>
    <w:rsid w:val="005226EA"/>
    <w:rsid w:val="005242D5"/>
    <w:rsid w:val="0052436F"/>
    <w:rsid w:val="00527264"/>
    <w:rsid w:val="00527EE1"/>
    <w:rsid w:val="00530A66"/>
    <w:rsid w:val="00532D93"/>
    <w:rsid w:val="00537C98"/>
    <w:rsid w:val="00541965"/>
    <w:rsid w:val="005423D1"/>
    <w:rsid w:val="00550535"/>
    <w:rsid w:val="0055279D"/>
    <w:rsid w:val="00553E29"/>
    <w:rsid w:val="00555774"/>
    <w:rsid w:val="00555CCE"/>
    <w:rsid w:val="005648C3"/>
    <w:rsid w:val="00567382"/>
    <w:rsid w:val="005720A2"/>
    <w:rsid w:val="00572B65"/>
    <w:rsid w:val="00572F0B"/>
    <w:rsid w:val="0057478E"/>
    <w:rsid w:val="005762FD"/>
    <w:rsid w:val="005779C2"/>
    <w:rsid w:val="00580202"/>
    <w:rsid w:val="005805FA"/>
    <w:rsid w:val="00581F34"/>
    <w:rsid w:val="0058340F"/>
    <w:rsid w:val="00585C11"/>
    <w:rsid w:val="00590CB3"/>
    <w:rsid w:val="00591FB4"/>
    <w:rsid w:val="00593BB9"/>
    <w:rsid w:val="00594594"/>
    <w:rsid w:val="00594828"/>
    <w:rsid w:val="00594FF3"/>
    <w:rsid w:val="00596A61"/>
    <w:rsid w:val="00597541"/>
    <w:rsid w:val="005A09C6"/>
    <w:rsid w:val="005A29C5"/>
    <w:rsid w:val="005A4B36"/>
    <w:rsid w:val="005B13AE"/>
    <w:rsid w:val="005B2D3C"/>
    <w:rsid w:val="005B3A6D"/>
    <w:rsid w:val="005B4C14"/>
    <w:rsid w:val="005C3F73"/>
    <w:rsid w:val="005C41B6"/>
    <w:rsid w:val="005D04AB"/>
    <w:rsid w:val="005D3D93"/>
    <w:rsid w:val="005E036D"/>
    <w:rsid w:val="005E2366"/>
    <w:rsid w:val="005F087B"/>
    <w:rsid w:val="005F1216"/>
    <w:rsid w:val="005F1698"/>
    <w:rsid w:val="005F2B5C"/>
    <w:rsid w:val="005F4022"/>
    <w:rsid w:val="005F71BD"/>
    <w:rsid w:val="005F726E"/>
    <w:rsid w:val="00603225"/>
    <w:rsid w:val="006066C1"/>
    <w:rsid w:val="00607B44"/>
    <w:rsid w:val="00612DA7"/>
    <w:rsid w:val="006220E0"/>
    <w:rsid w:val="006225C5"/>
    <w:rsid w:val="006242B2"/>
    <w:rsid w:val="00625B23"/>
    <w:rsid w:val="00625D2E"/>
    <w:rsid w:val="00632129"/>
    <w:rsid w:val="00632B09"/>
    <w:rsid w:val="006364C5"/>
    <w:rsid w:val="00637B26"/>
    <w:rsid w:val="00641FFA"/>
    <w:rsid w:val="006427CC"/>
    <w:rsid w:val="00643D81"/>
    <w:rsid w:val="006478D7"/>
    <w:rsid w:val="00661064"/>
    <w:rsid w:val="0066171E"/>
    <w:rsid w:val="00663D82"/>
    <w:rsid w:val="006644DC"/>
    <w:rsid w:val="00666A7F"/>
    <w:rsid w:val="00681976"/>
    <w:rsid w:val="006849BE"/>
    <w:rsid w:val="006902B2"/>
    <w:rsid w:val="00690A3A"/>
    <w:rsid w:val="006932B6"/>
    <w:rsid w:val="00694267"/>
    <w:rsid w:val="006942CF"/>
    <w:rsid w:val="006A1D6E"/>
    <w:rsid w:val="006A6731"/>
    <w:rsid w:val="006A6DA9"/>
    <w:rsid w:val="006B068C"/>
    <w:rsid w:val="006B155A"/>
    <w:rsid w:val="006B584A"/>
    <w:rsid w:val="006B609C"/>
    <w:rsid w:val="006B7249"/>
    <w:rsid w:val="006B7582"/>
    <w:rsid w:val="006B7FA3"/>
    <w:rsid w:val="006C1A30"/>
    <w:rsid w:val="006C36C1"/>
    <w:rsid w:val="006D1CAE"/>
    <w:rsid w:val="006D647B"/>
    <w:rsid w:val="006E3C2F"/>
    <w:rsid w:val="006E7EB2"/>
    <w:rsid w:val="006F0144"/>
    <w:rsid w:val="00705DA5"/>
    <w:rsid w:val="007120AC"/>
    <w:rsid w:val="00713371"/>
    <w:rsid w:val="00715E71"/>
    <w:rsid w:val="00716C0E"/>
    <w:rsid w:val="00720CA9"/>
    <w:rsid w:val="0072367F"/>
    <w:rsid w:val="00724A29"/>
    <w:rsid w:val="0072750D"/>
    <w:rsid w:val="00734D39"/>
    <w:rsid w:val="00737EEE"/>
    <w:rsid w:val="00742C5C"/>
    <w:rsid w:val="00745751"/>
    <w:rsid w:val="00750BA6"/>
    <w:rsid w:val="00756F1D"/>
    <w:rsid w:val="00757304"/>
    <w:rsid w:val="007620CB"/>
    <w:rsid w:val="00781105"/>
    <w:rsid w:val="00785570"/>
    <w:rsid w:val="007860C0"/>
    <w:rsid w:val="00787308"/>
    <w:rsid w:val="00790630"/>
    <w:rsid w:val="00792744"/>
    <w:rsid w:val="007949CC"/>
    <w:rsid w:val="00794C23"/>
    <w:rsid w:val="007976CD"/>
    <w:rsid w:val="007A0A50"/>
    <w:rsid w:val="007A3EE5"/>
    <w:rsid w:val="007A4499"/>
    <w:rsid w:val="007A498F"/>
    <w:rsid w:val="007A7159"/>
    <w:rsid w:val="007B21B1"/>
    <w:rsid w:val="007C4DF9"/>
    <w:rsid w:val="007D0E40"/>
    <w:rsid w:val="007D100B"/>
    <w:rsid w:val="007D5986"/>
    <w:rsid w:val="007D6245"/>
    <w:rsid w:val="007D65F4"/>
    <w:rsid w:val="007E1D2A"/>
    <w:rsid w:val="007E2676"/>
    <w:rsid w:val="007E3286"/>
    <w:rsid w:val="007E5692"/>
    <w:rsid w:val="007F1620"/>
    <w:rsid w:val="007F2944"/>
    <w:rsid w:val="007F36BA"/>
    <w:rsid w:val="007F3BA2"/>
    <w:rsid w:val="007F7AC9"/>
    <w:rsid w:val="008037DF"/>
    <w:rsid w:val="00805C65"/>
    <w:rsid w:val="00810602"/>
    <w:rsid w:val="0081243A"/>
    <w:rsid w:val="00820F2F"/>
    <w:rsid w:val="00825033"/>
    <w:rsid w:val="00834A0F"/>
    <w:rsid w:val="00837A08"/>
    <w:rsid w:val="00837BFC"/>
    <w:rsid w:val="0084039E"/>
    <w:rsid w:val="0084737A"/>
    <w:rsid w:val="00850DC0"/>
    <w:rsid w:val="00851974"/>
    <w:rsid w:val="00853F5F"/>
    <w:rsid w:val="00857BDD"/>
    <w:rsid w:val="0086067A"/>
    <w:rsid w:val="00862DF1"/>
    <w:rsid w:val="00864969"/>
    <w:rsid w:val="0087297F"/>
    <w:rsid w:val="0087471A"/>
    <w:rsid w:val="008847FD"/>
    <w:rsid w:val="00886C26"/>
    <w:rsid w:val="008A097C"/>
    <w:rsid w:val="008A49C9"/>
    <w:rsid w:val="008A6762"/>
    <w:rsid w:val="008A69B0"/>
    <w:rsid w:val="008B1F7F"/>
    <w:rsid w:val="008B31EA"/>
    <w:rsid w:val="008B456A"/>
    <w:rsid w:val="008C6F64"/>
    <w:rsid w:val="008D257D"/>
    <w:rsid w:val="008E1027"/>
    <w:rsid w:val="008E2C8B"/>
    <w:rsid w:val="008E5703"/>
    <w:rsid w:val="008E64E0"/>
    <w:rsid w:val="008E7572"/>
    <w:rsid w:val="008E7E91"/>
    <w:rsid w:val="008F08A4"/>
    <w:rsid w:val="00900752"/>
    <w:rsid w:val="00901E25"/>
    <w:rsid w:val="00902A0C"/>
    <w:rsid w:val="009057F4"/>
    <w:rsid w:val="00907FF6"/>
    <w:rsid w:val="00913620"/>
    <w:rsid w:val="009279E8"/>
    <w:rsid w:val="00932158"/>
    <w:rsid w:val="00932280"/>
    <w:rsid w:val="009355A9"/>
    <w:rsid w:val="00940CD6"/>
    <w:rsid w:val="00942A71"/>
    <w:rsid w:val="00944DCD"/>
    <w:rsid w:val="0094531E"/>
    <w:rsid w:val="00947FE8"/>
    <w:rsid w:val="00950229"/>
    <w:rsid w:val="009557A7"/>
    <w:rsid w:val="0095600C"/>
    <w:rsid w:val="0095620B"/>
    <w:rsid w:val="00956772"/>
    <w:rsid w:val="009628E8"/>
    <w:rsid w:val="0096697D"/>
    <w:rsid w:val="00972BA3"/>
    <w:rsid w:val="00974CF0"/>
    <w:rsid w:val="009756EB"/>
    <w:rsid w:val="00977B14"/>
    <w:rsid w:val="00977C9C"/>
    <w:rsid w:val="00977DA9"/>
    <w:rsid w:val="00980198"/>
    <w:rsid w:val="00992B27"/>
    <w:rsid w:val="00995A9E"/>
    <w:rsid w:val="009A15BB"/>
    <w:rsid w:val="009B0513"/>
    <w:rsid w:val="009B1F9F"/>
    <w:rsid w:val="009B26FB"/>
    <w:rsid w:val="009B4304"/>
    <w:rsid w:val="009C0234"/>
    <w:rsid w:val="009C1DCA"/>
    <w:rsid w:val="009C2220"/>
    <w:rsid w:val="009D1794"/>
    <w:rsid w:val="009D60D6"/>
    <w:rsid w:val="009D6502"/>
    <w:rsid w:val="009D73D3"/>
    <w:rsid w:val="009E07E9"/>
    <w:rsid w:val="009E241C"/>
    <w:rsid w:val="009E4B9B"/>
    <w:rsid w:val="009E5347"/>
    <w:rsid w:val="009F214C"/>
    <w:rsid w:val="009F462F"/>
    <w:rsid w:val="00A02A6E"/>
    <w:rsid w:val="00A03606"/>
    <w:rsid w:val="00A03C32"/>
    <w:rsid w:val="00A077D5"/>
    <w:rsid w:val="00A2224F"/>
    <w:rsid w:val="00A22946"/>
    <w:rsid w:val="00A24128"/>
    <w:rsid w:val="00A25239"/>
    <w:rsid w:val="00A30794"/>
    <w:rsid w:val="00A328FB"/>
    <w:rsid w:val="00A34835"/>
    <w:rsid w:val="00A4146B"/>
    <w:rsid w:val="00A45FD9"/>
    <w:rsid w:val="00A517D6"/>
    <w:rsid w:val="00A54FFA"/>
    <w:rsid w:val="00A555F1"/>
    <w:rsid w:val="00A557F0"/>
    <w:rsid w:val="00A601D1"/>
    <w:rsid w:val="00A63271"/>
    <w:rsid w:val="00A636F8"/>
    <w:rsid w:val="00A645B8"/>
    <w:rsid w:val="00A64C60"/>
    <w:rsid w:val="00A6675C"/>
    <w:rsid w:val="00A677E0"/>
    <w:rsid w:val="00A7065B"/>
    <w:rsid w:val="00A70740"/>
    <w:rsid w:val="00A7209B"/>
    <w:rsid w:val="00A7455C"/>
    <w:rsid w:val="00A8079F"/>
    <w:rsid w:val="00A87E79"/>
    <w:rsid w:val="00A90A17"/>
    <w:rsid w:val="00AA0110"/>
    <w:rsid w:val="00AA2DA2"/>
    <w:rsid w:val="00AA79C2"/>
    <w:rsid w:val="00AB053E"/>
    <w:rsid w:val="00AB0B53"/>
    <w:rsid w:val="00AB192D"/>
    <w:rsid w:val="00AB21A8"/>
    <w:rsid w:val="00AB6017"/>
    <w:rsid w:val="00AB63DA"/>
    <w:rsid w:val="00AC1DEE"/>
    <w:rsid w:val="00AC28DC"/>
    <w:rsid w:val="00AC467A"/>
    <w:rsid w:val="00AD252B"/>
    <w:rsid w:val="00AD3788"/>
    <w:rsid w:val="00AE214A"/>
    <w:rsid w:val="00AE73DD"/>
    <w:rsid w:val="00AF2C11"/>
    <w:rsid w:val="00AF39AB"/>
    <w:rsid w:val="00AF3CD9"/>
    <w:rsid w:val="00AF4448"/>
    <w:rsid w:val="00AF6816"/>
    <w:rsid w:val="00AF7324"/>
    <w:rsid w:val="00B02B6B"/>
    <w:rsid w:val="00B03583"/>
    <w:rsid w:val="00B04156"/>
    <w:rsid w:val="00B05DF8"/>
    <w:rsid w:val="00B07314"/>
    <w:rsid w:val="00B144E1"/>
    <w:rsid w:val="00B14836"/>
    <w:rsid w:val="00B21C80"/>
    <w:rsid w:val="00B22046"/>
    <w:rsid w:val="00B23C8E"/>
    <w:rsid w:val="00B24F92"/>
    <w:rsid w:val="00B3295A"/>
    <w:rsid w:val="00B35AE9"/>
    <w:rsid w:val="00B36788"/>
    <w:rsid w:val="00B41756"/>
    <w:rsid w:val="00B4291D"/>
    <w:rsid w:val="00B47C9F"/>
    <w:rsid w:val="00B52CF9"/>
    <w:rsid w:val="00B57A9B"/>
    <w:rsid w:val="00B70D3F"/>
    <w:rsid w:val="00B717D8"/>
    <w:rsid w:val="00B751F8"/>
    <w:rsid w:val="00B806C4"/>
    <w:rsid w:val="00B80C78"/>
    <w:rsid w:val="00B81D21"/>
    <w:rsid w:val="00B87CB9"/>
    <w:rsid w:val="00B931E6"/>
    <w:rsid w:val="00B9328F"/>
    <w:rsid w:val="00B9376B"/>
    <w:rsid w:val="00B9453E"/>
    <w:rsid w:val="00BA2323"/>
    <w:rsid w:val="00BA5CA6"/>
    <w:rsid w:val="00BC223F"/>
    <w:rsid w:val="00BD3753"/>
    <w:rsid w:val="00BD45EA"/>
    <w:rsid w:val="00BD5897"/>
    <w:rsid w:val="00BE0BBC"/>
    <w:rsid w:val="00BE7D0F"/>
    <w:rsid w:val="00BF0E19"/>
    <w:rsid w:val="00BF0E83"/>
    <w:rsid w:val="00BF635E"/>
    <w:rsid w:val="00BF7755"/>
    <w:rsid w:val="00C03279"/>
    <w:rsid w:val="00C0528E"/>
    <w:rsid w:val="00C065F7"/>
    <w:rsid w:val="00C06D1D"/>
    <w:rsid w:val="00C06D71"/>
    <w:rsid w:val="00C11C03"/>
    <w:rsid w:val="00C1328C"/>
    <w:rsid w:val="00C14507"/>
    <w:rsid w:val="00C154E4"/>
    <w:rsid w:val="00C1765B"/>
    <w:rsid w:val="00C21FA8"/>
    <w:rsid w:val="00C25D8F"/>
    <w:rsid w:val="00C2671E"/>
    <w:rsid w:val="00C2704F"/>
    <w:rsid w:val="00C375F4"/>
    <w:rsid w:val="00C37FFD"/>
    <w:rsid w:val="00C45E7B"/>
    <w:rsid w:val="00C46057"/>
    <w:rsid w:val="00C4766D"/>
    <w:rsid w:val="00C575E2"/>
    <w:rsid w:val="00C611D0"/>
    <w:rsid w:val="00C6204C"/>
    <w:rsid w:val="00C6353B"/>
    <w:rsid w:val="00C657D1"/>
    <w:rsid w:val="00C72571"/>
    <w:rsid w:val="00C763E7"/>
    <w:rsid w:val="00C81712"/>
    <w:rsid w:val="00C82E2D"/>
    <w:rsid w:val="00C8390B"/>
    <w:rsid w:val="00C8482C"/>
    <w:rsid w:val="00C92AAF"/>
    <w:rsid w:val="00C92E69"/>
    <w:rsid w:val="00C92F60"/>
    <w:rsid w:val="00C93E8E"/>
    <w:rsid w:val="00C94B77"/>
    <w:rsid w:val="00CA0AA8"/>
    <w:rsid w:val="00CA22F3"/>
    <w:rsid w:val="00CA26A5"/>
    <w:rsid w:val="00CA4A85"/>
    <w:rsid w:val="00CA613C"/>
    <w:rsid w:val="00CA6272"/>
    <w:rsid w:val="00CA704E"/>
    <w:rsid w:val="00CB0724"/>
    <w:rsid w:val="00CB0777"/>
    <w:rsid w:val="00CB0DB5"/>
    <w:rsid w:val="00CB1177"/>
    <w:rsid w:val="00CB36C5"/>
    <w:rsid w:val="00CB7B3A"/>
    <w:rsid w:val="00CC0522"/>
    <w:rsid w:val="00CC19C2"/>
    <w:rsid w:val="00CD181A"/>
    <w:rsid w:val="00CD4345"/>
    <w:rsid w:val="00CE2479"/>
    <w:rsid w:val="00CE2A98"/>
    <w:rsid w:val="00CE3CF3"/>
    <w:rsid w:val="00CE4B6D"/>
    <w:rsid w:val="00CE7765"/>
    <w:rsid w:val="00CF1E27"/>
    <w:rsid w:val="00CF1E2A"/>
    <w:rsid w:val="00CF2B3B"/>
    <w:rsid w:val="00CF4478"/>
    <w:rsid w:val="00CF643A"/>
    <w:rsid w:val="00D0029A"/>
    <w:rsid w:val="00D01A67"/>
    <w:rsid w:val="00D02B2D"/>
    <w:rsid w:val="00D0335A"/>
    <w:rsid w:val="00D04302"/>
    <w:rsid w:val="00D14361"/>
    <w:rsid w:val="00D15C7B"/>
    <w:rsid w:val="00D225C1"/>
    <w:rsid w:val="00D2340A"/>
    <w:rsid w:val="00D24A4B"/>
    <w:rsid w:val="00D3187F"/>
    <w:rsid w:val="00D348B1"/>
    <w:rsid w:val="00D366D2"/>
    <w:rsid w:val="00D409D5"/>
    <w:rsid w:val="00D40D7F"/>
    <w:rsid w:val="00D40E61"/>
    <w:rsid w:val="00D413E9"/>
    <w:rsid w:val="00D426AD"/>
    <w:rsid w:val="00D4608C"/>
    <w:rsid w:val="00D47048"/>
    <w:rsid w:val="00D50B4B"/>
    <w:rsid w:val="00D52A59"/>
    <w:rsid w:val="00D530AC"/>
    <w:rsid w:val="00D53608"/>
    <w:rsid w:val="00D54B8B"/>
    <w:rsid w:val="00D6168E"/>
    <w:rsid w:val="00D63309"/>
    <w:rsid w:val="00D63AC1"/>
    <w:rsid w:val="00D70BE9"/>
    <w:rsid w:val="00D73614"/>
    <w:rsid w:val="00D7471D"/>
    <w:rsid w:val="00D800A9"/>
    <w:rsid w:val="00D8021A"/>
    <w:rsid w:val="00D835D4"/>
    <w:rsid w:val="00D844D4"/>
    <w:rsid w:val="00D86C61"/>
    <w:rsid w:val="00D91D70"/>
    <w:rsid w:val="00D91F86"/>
    <w:rsid w:val="00D92B00"/>
    <w:rsid w:val="00D946AC"/>
    <w:rsid w:val="00D94B25"/>
    <w:rsid w:val="00D95CA5"/>
    <w:rsid w:val="00D9756C"/>
    <w:rsid w:val="00DA5E5C"/>
    <w:rsid w:val="00DA71CF"/>
    <w:rsid w:val="00DB0B35"/>
    <w:rsid w:val="00DB170E"/>
    <w:rsid w:val="00DB1CC7"/>
    <w:rsid w:val="00DB33E1"/>
    <w:rsid w:val="00DB64FF"/>
    <w:rsid w:val="00DC0952"/>
    <w:rsid w:val="00DC2DFB"/>
    <w:rsid w:val="00DC40AD"/>
    <w:rsid w:val="00DC46BA"/>
    <w:rsid w:val="00DC4F41"/>
    <w:rsid w:val="00DC6808"/>
    <w:rsid w:val="00DC795E"/>
    <w:rsid w:val="00DC7E42"/>
    <w:rsid w:val="00DD0C85"/>
    <w:rsid w:val="00DD5CDD"/>
    <w:rsid w:val="00DE55E6"/>
    <w:rsid w:val="00DE5FD2"/>
    <w:rsid w:val="00DE6A13"/>
    <w:rsid w:val="00DE6C55"/>
    <w:rsid w:val="00E05F48"/>
    <w:rsid w:val="00E07D2D"/>
    <w:rsid w:val="00E1093F"/>
    <w:rsid w:val="00E11779"/>
    <w:rsid w:val="00E12822"/>
    <w:rsid w:val="00E12FD1"/>
    <w:rsid w:val="00E22B27"/>
    <w:rsid w:val="00E261B9"/>
    <w:rsid w:val="00E26780"/>
    <w:rsid w:val="00E342CA"/>
    <w:rsid w:val="00E362A0"/>
    <w:rsid w:val="00E414A5"/>
    <w:rsid w:val="00E422BB"/>
    <w:rsid w:val="00E47346"/>
    <w:rsid w:val="00E47951"/>
    <w:rsid w:val="00E47C1F"/>
    <w:rsid w:val="00E510C3"/>
    <w:rsid w:val="00E52C18"/>
    <w:rsid w:val="00E53FC5"/>
    <w:rsid w:val="00E54575"/>
    <w:rsid w:val="00E56489"/>
    <w:rsid w:val="00E5697E"/>
    <w:rsid w:val="00E626C0"/>
    <w:rsid w:val="00E638E8"/>
    <w:rsid w:val="00E65CC4"/>
    <w:rsid w:val="00E70F0A"/>
    <w:rsid w:val="00E7180C"/>
    <w:rsid w:val="00E73EDA"/>
    <w:rsid w:val="00E75E52"/>
    <w:rsid w:val="00E8189C"/>
    <w:rsid w:val="00E85FC9"/>
    <w:rsid w:val="00E86185"/>
    <w:rsid w:val="00E86CA1"/>
    <w:rsid w:val="00E925D1"/>
    <w:rsid w:val="00E92C4F"/>
    <w:rsid w:val="00E95696"/>
    <w:rsid w:val="00E97D0D"/>
    <w:rsid w:val="00EA3BD7"/>
    <w:rsid w:val="00EA469A"/>
    <w:rsid w:val="00EA4F53"/>
    <w:rsid w:val="00EA7662"/>
    <w:rsid w:val="00EA7DD1"/>
    <w:rsid w:val="00EB1491"/>
    <w:rsid w:val="00EB2E83"/>
    <w:rsid w:val="00EB41E8"/>
    <w:rsid w:val="00EB6B5C"/>
    <w:rsid w:val="00EC3FDA"/>
    <w:rsid w:val="00EC5367"/>
    <w:rsid w:val="00ED052D"/>
    <w:rsid w:val="00ED59A0"/>
    <w:rsid w:val="00EE04E4"/>
    <w:rsid w:val="00EE3652"/>
    <w:rsid w:val="00EE3BA8"/>
    <w:rsid w:val="00EE5D84"/>
    <w:rsid w:val="00EE6598"/>
    <w:rsid w:val="00EF0BBE"/>
    <w:rsid w:val="00EF0F1C"/>
    <w:rsid w:val="00EF1D91"/>
    <w:rsid w:val="00F00F85"/>
    <w:rsid w:val="00F02FD7"/>
    <w:rsid w:val="00F03A1C"/>
    <w:rsid w:val="00F03DAC"/>
    <w:rsid w:val="00F053E7"/>
    <w:rsid w:val="00F07732"/>
    <w:rsid w:val="00F162A2"/>
    <w:rsid w:val="00F23D71"/>
    <w:rsid w:val="00F2776F"/>
    <w:rsid w:val="00F37137"/>
    <w:rsid w:val="00F421DB"/>
    <w:rsid w:val="00F424CF"/>
    <w:rsid w:val="00F47A04"/>
    <w:rsid w:val="00F64689"/>
    <w:rsid w:val="00F64F99"/>
    <w:rsid w:val="00F660A5"/>
    <w:rsid w:val="00F82CD4"/>
    <w:rsid w:val="00F870D7"/>
    <w:rsid w:val="00F911A3"/>
    <w:rsid w:val="00F91426"/>
    <w:rsid w:val="00F94312"/>
    <w:rsid w:val="00FA1350"/>
    <w:rsid w:val="00FA3D61"/>
    <w:rsid w:val="00FA58AB"/>
    <w:rsid w:val="00FC0AE9"/>
    <w:rsid w:val="00FC1A8A"/>
    <w:rsid w:val="00FC64A5"/>
    <w:rsid w:val="00FD03F9"/>
    <w:rsid w:val="00FD15F5"/>
    <w:rsid w:val="00FD1703"/>
    <w:rsid w:val="00FD2155"/>
    <w:rsid w:val="00FD7CB7"/>
    <w:rsid w:val="00FE5C58"/>
    <w:rsid w:val="00FE74E0"/>
    <w:rsid w:val="00FF029B"/>
    <w:rsid w:val="00FF7BEE"/>
    <w:rsid w:val="01050F22"/>
    <w:rsid w:val="011B0745"/>
    <w:rsid w:val="01227D26"/>
    <w:rsid w:val="01376800"/>
    <w:rsid w:val="016B3C5F"/>
    <w:rsid w:val="017E2E02"/>
    <w:rsid w:val="018E7169"/>
    <w:rsid w:val="01916F0E"/>
    <w:rsid w:val="01A264D1"/>
    <w:rsid w:val="01BC4285"/>
    <w:rsid w:val="01CB528E"/>
    <w:rsid w:val="01D54A92"/>
    <w:rsid w:val="020016E9"/>
    <w:rsid w:val="02477318"/>
    <w:rsid w:val="028916DF"/>
    <w:rsid w:val="02A46519"/>
    <w:rsid w:val="02BF2764"/>
    <w:rsid w:val="02D256FE"/>
    <w:rsid w:val="02DE5ECF"/>
    <w:rsid w:val="02DF2CFB"/>
    <w:rsid w:val="02EE3C38"/>
    <w:rsid w:val="02F1781F"/>
    <w:rsid w:val="02F71857"/>
    <w:rsid w:val="0341645D"/>
    <w:rsid w:val="03546191"/>
    <w:rsid w:val="035937A7"/>
    <w:rsid w:val="038325D2"/>
    <w:rsid w:val="03A46A20"/>
    <w:rsid w:val="03A80B98"/>
    <w:rsid w:val="03B95FF4"/>
    <w:rsid w:val="03BA2189"/>
    <w:rsid w:val="03EF7C67"/>
    <w:rsid w:val="03F13ECF"/>
    <w:rsid w:val="03F23D0A"/>
    <w:rsid w:val="03F77F39"/>
    <w:rsid w:val="0422003D"/>
    <w:rsid w:val="042C253E"/>
    <w:rsid w:val="04453BBB"/>
    <w:rsid w:val="046807BD"/>
    <w:rsid w:val="046B19E4"/>
    <w:rsid w:val="048851DD"/>
    <w:rsid w:val="048B0EF3"/>
    <w:rsid w:val="04932829"/>
    <w:rsid w:val="04D23811"/>
    <w:rsid w:val="051B5EDA"/>
    <w:rsid w:val="0534627A"/>
    <w:rsid w:val="053629EB"/>
    <w:rsid w:val="0539007C"/>
    <w:rsid w:val="05525531"/>
    <w:rsid w:val="055E6A85"/>
    <w:rsid w:val="05753B42"/>
    <w:rsid w:val="058B637F"/>
    <w:rsid w:val="058F1702"/>
    <w:rsid w:val="05924D4E"/>
    <w:rsid w:val="05B60433"/>
    <w:rsid w:val="05BB42A5"/>
    <w:rsid w:val="05C23F5D"/>
    <w:rsid w:val="05D04360"/>
    <w:rsid w:val="05DC78AE"/>
    <w:rsid w:val="05E052FA"/>
    <w:rsid w:val="05EE1EFE"/>
    <w:rsid w:val="063522A9"/>
    <w:rsid w:val="06430515"/>
    <w:rsid w:val="06450047"/>
    <w:rsid w:val="066E57BB"/>
    <w:rsid w:val="067B116D"/>
    <w:rsid w:val="0687687D"/>
    <w:rsid w:val="06A10228"/>
    <w:rsid w:val="06C70A28"/>
    <w:rsid w:val="07624DF8"/>
    <w:rsid w:val="076D5A73"/>
    <w:rsid w:val="07927288"/>
    <w:rsid w:val="07B94814"/>
    <w:rsid w:val="07D40B13"/>
    <w:rsid w:val="07D91E6C"/>
    <w:rsid w:val="07EC6998"/>
    <w:rsid w:val="07F4584C"/>
    <w:rsid w:val="07F92E63"/>
    <w:rsid w:val="07FC1021"/>
    <w:rsid w:val="082C018B"/>
    <w:rsid w:val="083572E7"/>
    <w:rsid w:val="0887776E"/>
    <w:rsid w:val="089A4646"/>
    <w:rsid w:val="08A47A82"/>
    <w:rsid w:val="08B03E69"/>
    <w:rsid w:val="08B651F8"/>
    <w:rsid w:val="08BF22FE"/>
    <w:rsid w:val="08D923D1"/>
    <w:rsid w:val="08EF6C78"/>
    <w:rsid w:val="090F38F2"/>
    <w:rsid w:val="09134E45"/>
    <w:rsid w:val="09246605"/>
    <w:rsid w:val="097A2E19"/>
    <w:rsid w:val="097B71D6"/>
    <w:rsid w:val="09816C22"/>
    <w:rsid w:val="099217C1"/>
    <w:rsid w:val="09A943A4"/>
    <w:rsid w:val="09B01F73"/>
    <w:rsid w:val="09EA33AB"/>
    <w:rsid w:val="09EA6F07"/>
    <w:rsid w:val="09ED2E9B"/>
    <w:rsid w:val="09F91840"/>
    <w:rsid w:val="0A35465E"/>
    <w:rsid w:val="0A437EB3"/>
    <w:rsid w:val="0A576829"/>
    <w:rsid w:val="0A5D5410"/>
    <w:rsid w:val="0A6B0E86"/>
    <w:rsid w:val="0A8D3D36"/>
    <w:rsid w:val="0A967AE3"/>
    <w:rsid w:val="0AB34DE9"/>
    <w:rsid w:val="0ACE05D7"/>
    <w:rsid w:val="0B100D93"/>
    <w:rsid w:val="0B372620"/>
    <w:rsid w:val="0B505490"/>
    <w:rsid w:val="0B6E1DBA"/>
    <w:rsid w:val="0B8D0492"/>
    <w:rsid w:val="0B9730BE"/>
    <w:rsid w:val="0BA17A99"/>
    <w:rsid w:val="0BD0037E"/>
    <w:rsid w:val="0BEF2EFA"/>
    <w:rsid w:val="0C197F77"/>
    <w:rsid w:val="0C1E1317"/>
    <w:rsid w:val="0C2A7A8F"/>
    <w:rsid w:val="0C3B7F93"/>
    <w:rsid w:val="0C4E3DF1"/>
    <w:rsid w:val="0C5D0E4C"/>
    <w:rsid w:val="0C61547A"/>
    <w:rsid w:val="0C98479A"/>
    <w:rsid w:val="0C9E222B"/>
    <w:rsid w:val="0CE35178"/>
    <w:rsid w:val="0CFD0E35"/>
    <w:rsid w:val="0D0C53E6"/>
    <w:rsid w:val="0D2B0B0B"/>
    <w:rsid w:val="0D366374"/>
    <w:rsid w:val="0D3E2EA9"/>
    <w:rsid w:val="0D452426"/>
    <w:rsid w:val="0D5648B3"/>
    <w:rsid w:val="0D5C0BCE"/>
    <w:rsid w:val="0D774F56"/>
    <w:rsid w:val="0D821B4C"/>
    <w:rsid w:val="0DA638BA"/>
    <w:rsid w:val="0DD71E98"/>
    <w:rsid w:val="0E0C4C04"/>
    <w:rsid w:val="0E1A18CC"/>
    <w:rsid w:val="0E1C1EE3"/>
    <w:rsid w:val="0E296049"/>
    <w:rsid w:val="0E2A2545"/>
    <w:rsid w:val="0E2B3541"/>
    <w:rsid w:val="0E4714E2"/>
    <w:rsid w:val="0E556D2C"/>
    <w:rsid w:val="0E567261"/>
    <w:rsid w:val="0E590AFF"/>
    <w:rsid w:val="0E604368"/>
    <w:rsid w:val="0E811C7D"/>
    <w:rsid w:val="0E8F2473"/>
    <w:rsid w:val="0E946FD3"/>
    <w:rsid w:val="0E955613"/>
    <w:rsid w:val="0EE91E83"/>
    <w:rsid w:val="0EFC6D1F"/>
    <w:rsid w:val="0F0237EF"/>
    <w:rsid w:val="0F0E18EA"/>
    <w:rsid w:val="0F1F58A5"/>
    <w:rsid w:val="0F3A519E"/>
    <w:rsid w:val="0F535F76"/>
    <w:rsid w:val="0F5B1EB5"/>
    <w:rsid w:val="0F661726"/>
    <w:rsid w:val="0F786D63"/>
    <w:rsid w:val="0FA91612"/>
    <w:rsid w:val="0FB12275"/>
    <w:rsid w:val="0FC24482"/>
    <w:rsid w:val="0FC401FA"/>
    <w:rsid w:val="0FC62C79"/>
    <w:rsid w:val="10046849"/>
    <w:rsid w:val="10090103"/>
    <w:rsid w:val="1010343F"/>
    <w:rsid w:val="101D790A"/>
    <w:rsid w:val="102D459C"/>
    <w:rsid w:val="10415799"/>
    <w:rsid w:val="104F21BA"/>
    <w:rsid w:val="106F4958"/>
    <w:rsid w:val="1093553E"/>
    <w:rsid w:val="10951381"/>
    <w:rsid w:val="10B43A6D"/>
    <w:rsid w:val="10BA10A8"/>
    <w:rsid w:val="10D6085B"/>
    <w:rsid w:val="10E253CB"/>
    <w:rsid w:val="10F9359D"/>
    <w:rsid w:val="11433163"/>
    <w:rsid w:val="11697506"/>
    <w:rsid w:val="11813C2B"/>
    <w:rsid w:val="11A8661C"/>
    <w:rsid w:val="11D010D8"/>
    <w:rsid w:val="11D230A2"/>
    <w:rsid w:val="11E31E7F"/>
    <w:rsid w:val="11F0177A"/>
    <w:rsid w:val="11F823DD"/>
    <w:rsid w:val="12280F14"/>
    <w:rsid w:val="122A4C8C"/>
    <w:rsid w:val="123159A7"/>
    <w:rsid w:val="123A68BF"/>
    <w:rsid w:val="123F1DBA"/>
    <w:rsid w:val="12483364"/>
    <w:rsid w:val="12527D3F"/>
    <w:rsid w:val="1283614B"/>
    <w:rsid w:val="12836C90"/>
    <w:rsid w:val="128A5C88"/>
    <w:rsid w:val="12984F2A"/>
    <w:rsid w:val="129C3206"/>
    <w:rsid w:val="12A53693"/>
    <w:rsid w:val="12C73486"/>
    <w:rsid w:val="12CB12DC"/>
    <w:rsid w:val="12CC5D44"/>
    <w:rsid w:val="12F232D0"/>
    <w:rsid w:val="12F928B1"/>
    <w:rsid w:val="132711CC"/>
    <w:rsid w:val="132D007C"/>
    <w:rsid w:val="133D09EF"/>
    <w:rsid w:val="134C708C"/>
    <w:rsid w:val="13693592"/>
    <w:rsid w:val="13723F7D"/>
    <w:rsid w:val="137A3FE8"/>
    <w:rsid w:val="13A74A6A"/>
    <w:rsid w:val="13AD0EFE"/>
    <w:rsid w:val="13C20EF5"/>
    <w:rsid w:val="13CA599E"/>
    <w:rsid w:val="13DC1CE6"/>
    <w:rsid w:val="14034084"/>
    <w:rsid w:val="1405252B"/>
    <w:rsid w:val="14087B0E"/>
    <w:rsid w:val="140A39B3"/>
    <w:rsid w:val="141D643A"/>
    <w:rsid w:val="145002AE"/>
    <w:rsid w:val="1466192E"/>
    <w:rsid w:val="1497412F"/>
    <w:rsid w:val="14A71EEB"/>
    <w:rsid w:val="14EC0958"/>
    <w:rsid w:val="151D0C85"/>
    <w:rsid w:val="152E4807"/>
    <w:rsid w:val="155144B0"/>
    <w:rsid w:val="15571597"/>
    <w:rsid w:val="156B64AD"/>
    <w:rsid w:val="15711B2E"/>
    <w:rsid w:val="1573694A"/>
    <w:rsid w:val="1594066F"/>
    <w:rsid w:val="15A9275A"/>
    <w:rsid w:val="15B14D7D"/>
    <w:rsid w:val="15CD3230"/>
    <w:rsid w:val="15E11B06"/>
    <w:rsid w:val="15EE5FD1"/>
    <w:rsid w:val="15EF35C9"/>
    <w:rsid w:val="160615AE"/>
    <w:rsid w:val="161672D6"/>
    <w:rsid w:val="162D5DBF"/>
    <w:rsid w:val="1653052A"/>
    <w:rsid w:val="165E3157"/>
    <w:rsid w:val="16627107"/>
    <w:rsid w:val="16BD3B7A"/>
    <w:rsid w:val="16EB5D1E"/>
    <w:rsid w:val="16F209B1"/>
    <w:rsid w:val="174165D4"/>
    <w:rsid w:val="17451C21"/>
    <w:rsid w:val="17534F7D"/>
    <w:rsid w:val="1758789C"/>
    <w:rsid w:val="1776002C"/>
    <w:rsid w:val="17885FB1"/>
    <w:rsid w:val="1791130A"/>
    <w:rsid w:val="17942BA8"/>
    <w:rsid w:val="17B44FF8"/>
    <w:rsid w:val="17C47B17"/>
    <w:rsid w:val="182757CA"/>
    <w:rsid w:val="18297794"/>
    <w:rsid w:val="182A0E16"/>
    <w:rsid w:val="18343F5C"/>
    <w:rsid w:val="18500EE4"/>
    <w:rsid w:val="186F3188"/>
    <w:rsid w:val="18820C52"/>
    <w:rsid w:val="18837205"/>
    <w:rsid w:val="189D783A"/>
    <w:rsid w:val="189E3617"/>
    <w:rsid w:val="18A474FD"/>
    <w:rsid w:val="18B21EA4"/>
    <w:rsid w:val="18D45952"/>
    <w:rsid w:val="18D47700"/>
    <w:rsid w:val="18E11E1D"/>
    <w:rsid w:val="18EF3961"/>
    <w:rsid w:val="191621E2"/>
    <w:rsid w:val="191E2EA7"/>
    <w:rsid w:val="19265A82"/>
    <w:rsid w:val="193E101D"/>
    <w:rsid w:val="196842EC"/>
    <w:rsid w:val="196A01A7"/>
    <w:rsid w:val="196F11D7"/>
    <w:rsid w:val="197478B3"/>
    <w:rsid w:val="19763BF2"/>
    <w:rsid w:val="1982597F"/>
    <w:rsid w:val="1985320B"/>
    <w:rsid w:val="198550CD"/>
    <w:rsid w:val="1990114D"/>
    <w:rsid w:val="19B60BB4"/>
    <w:rsid w:val="19E82D37"/>
    <w:rsid w:val="1A00113C"/>
    <w:rsid w:val="1A2A3350"/>
    <w:rsid w:val="1A3441CE"/>
    <w:rsid w:val="1A57052A"/>
    <w:rsid w:val="1A6C3968"/>
    <w:rsid w:val="1A9058A9"/>
    <w:rsid w:val="1AC14671"/>
    <w:rsid w:val="1AC75042"/>
    <w:rsid w:val="1B3C333B"/>
    <w:rsid w:val="1B4062BB"/>
    <w:rsid w:val="1B446693"/>
    <w:rsid w:val="1B4A7B52"/>
    <w:rsid w:val="1B4D379A"/>
    <w:rsid w:val="1B544B28"/>
    <w:rsid w:val="1B575BA2"/>
    <w:rsid w:val="1B5B5EB7"/>
    <w:rsid w:val="1B6C5C86"/>
    <w:rsid w:val="1B835D4B"/>
    <w:rsid w:val="1BAF457F"/>
    <w:rsid w:val="1BB03B3E"/>
    <w:rsid w:val="1BD9363A"/>
    <w:rsid w:val="1BFA2E7A"/>
    <w:rsid w:val="1C0158BF"/>
    <w:rsid w:val="1C0A51E7"/>
    <w:rsid w:val="1C0F6CA1"/>
    <w:rsid w:val="1C197B20"/>
    <w:rsid w:val="1C253EE4"/>
    <w:rsid w:val="1C376F65"/>
    <w:rsid w:val="1C3B68C3"/>
    <w:rsid w:val="1C480CEA"/>
    <w:rsid w:val="1C5D09CD"/>
    <w:rsid w:val="1C6407FA"/>
    <w:rsid w:val="1C804D80"/>
    <w:rsid w:val="1C8632F4"/>
    <w:rsid w:val="1CBB4733"/>
    <w:rsid w:val="1CE30D4C"/>
    <w:rsid w:val="1CED6D06"/>
    <w:rsid w:val="1CF245F9"/>
    <w:rsid w:val="1D000507"/>
    <w:rsid w:val="1D096725"/>
    <w:rsid w:val="1D167BBB"/>
    <w:rsid w:val="1D3C1D18"/>
    <w:rsid w:val="1D436C02"/>
    <w:rsid w:val="1D462110"/>
    <w:rsid w:val="1D7065FD"/>
    <w:rsid w:val="1D721295"/>
    <w:rsid w:val="1D75574C"/>
    <w:rsid w:val="1D7F67FB"/>
    <w:rsid w:val="1D927673"/>
    <w:rsid w:val="1DBE272D"/>
    <w:rsid w:val="1DD8763B"/>
    <w:rsid w:val="1DD925F6"/>
    <w:rsid w:val="1DFE521F"/>
    <w:rsid w:val="1E0740D4"/>
    <w:rsid w:val="1E236A34"/>
    <w:rsid w:val="1E2F362A"/>
    <w:rsid w:val="1E3D18A3"/>
    <w:rsid w:val="1E4F2254"/>
    <w:rsid w:val="1E6037E4"/>
    <w:rsid w:val="1E6C3F37"/>
    <w:rsid w:val="1E7C1DD8"/>
    <w:rsid w:val="1E843945"/>
    <w:rsid w:val="1E890F8D"/>
    <w:rsid w:val="1E937715"/>
    <w:rsid w:val="1ED03DDD"/>
    <w:rsid w:val="1ED3045A"/>
    <w:rsid w:val="1ED710E6"/>
    <w:rsid w:val="1EDA17E8"/>
    <w:rsid w:val="1EE06169"/>
    <w:rsid w:val="1EE261C9"/>
    <w:rsid w:val="1EF87EC0"/>
    <w:rsid w:val="1F332CA6"/>
    <w:rsid w:val="1F3802BD"/>
    <w:rsid w:val="1F3A0E1F"/>
    <w:rsid w:val="1F4B6242"/>
    <w:rsid w:val="1FA92F69"/>
    <w:rsid w:val="1FBB7B67"/>
    <w:rsid w:val="1FE05965"/>
    <w:rsid w:val="20142A70"/>
    <w:rsid w:val="20196340"/>
    <w:rsid w:val="202A59DC"/>
    <w:rsid w:val="203A5927"/>
    <w:rsid w:val="203C577E"/>
    <w:rsid w:val="206063FE"/>
    <w:rsid w:val="209D487B"/>
    <w:rsid w:val="20AE781D"/>
    <w:rsid w:val="20B77599"/>
    <w:rsid w:val="20B83463"/>
    <w:rsid w:val="20C31E08"/>
    <w:rsid w:val="20CA13E8"/>
    <w:rsid w:val="20F578C8"/>
    <w:rsid w:val="20F76CF2"/>
    <w:rsid w:val="21041C00"/>
    <w:rsid w:val="21074889"/>
    <w:rsid w:val="2116462E"/>
    <w:rsid w:val="213B1EE2"/>
    <w:rsid w:val="2149301E"/>
    <w:rsid w:val="21696E53"/>
    <w:rsid w:val="21792990"/>
    <w:rsid w:val="21824F16"/>
    <w:rsid w:val="21970550"/>
    <w:rsid w:val="219A525F"/>
    <w:rsid w:val="219F0AC7"/>
    <w:rsid w:val="21AF0D0A"/>
    <w:rsid w:val="21B87493"/>
    <w:rsid w:val="21C26E80"/>
    <w:rsid w:val="21CD73E2"/>
    <w:rsid w:val="21EC5844"/>
    <w:rsid w:val="2201708C"/>
    <w:rsid w:val="221473EE"/>
    <w:rsid w:val="22317971"/>
    <w:rsid w:val="224376A4"/>
    <w:rsid w:val="224539EC"/>
    <w:rsid w:val="2274785E"/>
    <w:rsid w:val="227E06DD"/>
    <w:rsid w:val="22D327D6"/>
    <w:rsid w:val="230063DC"/>
    <w:rsid w:val="23105DBD"/>
    <w:rsid w:val="23131DEE"/>
    <w:rsid w:val="232C1665"/>
    <w:rsid w:val="233C28E7"/>
    <w:rsid w:val="23447230"/>
    <w:rsid w:val="235A75F8"/>
    <w:rsid w:val="235B1D41"/>
    <w:rsid w:val="23820928"/>
    <w:rsid w:val="238373B5"/>
    <w:rsid w:val="238629CF"/>
    <w:rsid w:val="23C95987"/>
    <w:rsid w:val="23D261A8"/>
    <w:rsid w:val="23DD70FB"/>
    <w:rsid w:val="23E9602A"/>
    <w:rsid w:val="24196848"/>
    <w:rsid w:val="241A5C0D"/>
    <w:rsid w:val="241C01AD"/>
    <w:rsid w:val="242D4168"/>
    <w:rsid w:val="24376D95"/>
    <w:rsid w:val="243C1AF0"/>
    <w:rsid w:val="246456B0"/>
    <w:rsid w:val="247C0775"/>
    <w:rsid w:val="248024EA"/>
    <w:rsid w:val="248D10AB"/>
    <w:rsid w:val="24A51F50"/>
    <w:rsid w:val="24C368D6"/>
    <w:rsid w:val="24D740D4"/>
    <w:rsid w:val="24DC16EA"/>
    <w:rsid w:val="24F167C8"/>
    <w:rsid w:val="24F33D50"/>
    <w:rsid w:val="250531BC"/>
    <w:rsid w:val="25275F7D"/>
    <w:rsid w:val="252B281D"/>
    <w:rsid w:val="25461985"/>
    <w:rsid w:val="255D69BA"/>
    <w:rsid w:val="257007B0"/>
    <w:rsid w:val="257B68F1"/>
    <w:rsid w:val="25987D07"/>
    <w:rsid w:val="25A510CE"/>
    <w:rsid w:val="25CC3D11"/>
    <w:rsid w:val="25D54EAB"/>
    <w:rsid w:val="25E90563"/>
    <w:rsid w:val="25EB6089"/>
    <w:rsid w:val="25F0024A"/>
    <w:rsid w:val="26127758"/>
    <w:rsid w:val="261F3F85"/>
    <w:rsid w:val="2620283A"/>
    <w:rsid w:val="263F5D82"/>
    <w:rsid w:val="26413C3E"/>
    <w:rsid w:val="264D464E"/>
    <w:rsid w:val="269947E7"/>
    <w:rsid w:val="26995AE5"/>
    <w:rsid w:val="26A85D28"/>
    <w:rsid w:val="26B97F35"/>
    <w:rsid w:val="26BF4BB5"/>
    <w:rsid w:val="26E74AA2"/>
    <w:rsid w:val="27035654"/>
    <w:rsid w:val="2753038A"/>
    <w:rsid w:val="27541A0C"/>
    <w:rsid w:val="276237A8"/>
    <w:rsid w:val="276E6F72"/>
    <w:rsid w:val="27856069"/>
    <w:rsid w:val="278A4F8F"/>
    <w:rsid w:val="279544FE"/>
    <w:rsid w:val="27DC037F"/>
    <w:rsid w:val="27DF39CB"/>
    <w:rsid w:val="280D0539"/>
    <w:rsid w:val="28260244"/>
    <w:rsid w:val="282E2A57"/>
    <w:rsid w:val="2856494B"/>
    <w:rsid w:val="28673C63"/>
    <w:rsid w:val="28795BCE"/>
    <w:rsid w:val="28884063"/>
    <w:rsid w:val="28AB03FD"/>
    <w:rsid w:val="28AB7D51"/>
    <w:rsid w:val="28BC4994"/>
    <w:rsid w:val="28C31D3D"/>
    <w:rsid w:val="28E05C4D"/>
    <w:rsid w:val="28E3573D"/>
    <w:rsid w:val="28EC2844"/>
    <w:rsid w:val="28F416F8"/>
    <w:rsid w:val="290E0FD5"/>
    <w:rsid w:val="293460DB"/>
    <w:rsid w:val="29362E60"/>
    <w:rsid w:val="29473EF5"/>
    <w:rsid w:val="296543A4"/>
    <w:rsid w:val="29736AC1"/>
    <w:rsid w:val="29794065"/>
    <w:rsid w:val="29915199"/>
    <w:rsid w:val="29A1535C"/>
    <w:rsid w:val="29A24CB1"/>
    <w:rsid w:val="29A63891"/>
    <w:rsid w:val="29AE5D4B"/>
    <w:rsid w:val="29B03871"/>
    <w:rsid w:val="29B6075C"/>
    <w:rsid w:val="29E76B67"/>
    <w:rsid w:val="29EB715A"/>
    <w:rsid w:val="29EF3C6E"/>
    <w:rsid w:val="29F43A2A"/>
    <w:rsid w:val="2A080C54"/>
    <w:rsid w:val="2A17569E"/>
    <w:rsid w:val="2A4030CE"/>
    <w:rsid w:val="2AAF3B29"/>
    <w:rsid w:val="2AC375D4"/>
    <w:rsid w:val="2AC831EB"/>
    <w:rsid w:val="2AD215C5"/>
    <w:rsid w:val="2B0100FD"/>
    <w:rsid w:val="2B0B4435"/>
    <w:rsid w:val="2B12230A"/>
    <w:rsid w:val="2B166C16"/>
    <w:rsid w:val="2B253DEB"/>
    <w:rsid w:val="2B275DB5"/>
    <w:rsid w:val="2B2C33CC"/>
    <w:rsid w:val="2B2F28A9"/>
    <w:rsid w:val="2B434D13"/>
    <w:rsid w:val="2B6B61DC"/>
    <w:rsid w:val="2B941070"/>
    <w:rsid w:val="2BBE4084"/>
    <w:rsid w:val="2BC74EA2"/>
    <w:rsid w:val="2BCC7B1D"/>
    <w:rsid w:val="2BEB6DE3"/>
    <w:rsid w:val="2BF043F9"/>
    <w:rsid w:val="2BF17D18"/>
    <w:rsid w:val="2BFF463C"/>
    <w:rsid w:val="2C230F61"/>
    <w:rsid w:val="2C351E0C"/>
    <w:rsid w:val="2C416FE4"/>
    <w:rsid w:val="2C5A5D16"/>
    <w:rsid w:val="2C8025E6"/>
    <w:rsid w:val="2CA927FA"/>
    <w:rsid w:val="2CB3174D"/>
    <w:rsid w:val="2CF10822"/>
    <w:rsid w:val="2CF33A75"/>
    <w:rsid w:val="2D1759B5"/>
    <w:rsid w:val="2D454C83"/>
    <w:rsid w:val="2D937732"/>
    <w:rsid w:val="2DA619DD"/>
    <w:rsid w:val="2DA74F8B"/>
    <w:rsid w:val="2DAF5BEE"/>
    <w:rsid w:val="2DD438A6"/>
    <w:rsid w:val="2DDA388C"/>
    <w:rsid w:val="2DEE2BBA"/>
    <w:rsid w:val="2DFF00C2"/>
    <w:rsid w:val="2E0413D2"/>
    <w:rsid w:val="2E08212D"/>
    <w:rsid w:val="2E184E1D"/>
    <w:rsid w:val="2E255EB0"/>
    <w:rsid w:val="2E301144"/>
    <w:rsid w:val="2E3B3926"/>
    <w:rsid w:val="2E7330BF"/>
    <w:rsid w:val="2E756E38"/>
    <w:rsid w:val="2E923AF4"/>
    <w:rsid w:val="2E9F2106"/>
    <w:rsid w:val="2EAD7E90"/>
    <w:rsid w:val="2EBE2ABC"/>
    <w:rsid w:val="2EC92CDF"/>
    <w:rsid w:val="2F14222E"/>
    <w:rsid w:val="2F191EB9"/>
    <w:rsid w:val="2F2A5E74"/>
    <w:rsid w:val="2F2B74F6"/>
    <w:rsid w:val="2F376888"/>
    <w:rsid w:val="2F753E89"/>
    <w:rsid w:val="2F7E7F6E"/>
    <w:rsid w:val="2F827A5E"/>
    <w:rsid w:val="2F86523C"/>
    <w:rsid w:val="2F8C545F"/>
    <w:rsid w:val="2F931175"/>
    <w:rsid w:val="2FA9132B"/>
    <w:rsid w:val="2FE03177"/>
    <w:rsid w:val="2FF7387C"/>
    <w:rsid w:val="301F63BC"/>
    <w:rsid w:val="305331A8"/>
    <w:rsid w:val="30590093"/>
    <w:rsid w:val="305E0606"/>
    <w:rsid w:val="307915D0"/>
    <w:rsid w:val="308E5F8F"/>
    <w:rsid w:val="30D53BBD"/>
    <w:rsid w:val="30E0445B"/>
    <w:rsid w:val="310C253D"/>
    <w:rsid w:val="31175F84"/>
    <w:rsid w:val="31556AAC"/>
    <w:rsid w:val="317F12ED"/>
    <w:rsid w:val="31816197"/>
    <w:rsid w:val="31D2405E"/>
    <w:rsid w:val="31E8297A"/>
    <w:rsid w:val="31FD7870"/>
    <w:rsid w:val="321B7CF6"/>
    <w:rsid w:val="32391C3C"/>
    <w:rsid w:val="3263534E"/>
    <w:rsid w:val="326E6078"/>
    <w:rsid w:val="327127D7"/>
    <w:rsid w:val="3276317E"/>
    <w:rsid w:val="32926F21"/>
    <w:rsid w:val="329B0E37"/>
    <w:rsid w:val="32B048E2"/>
    <w:rsid w:val="32EB3B6C"/>
    <w:rsid w:val="33055644"/>
    <w:rsid w:val="332562B4"/>
    <w:rsid w:val="3352264A"/>
    <w:rsid w:val="33704071"/>
    <w:rsid w:val="33AF4B9A"/>
    <w:rsid w:val="33D41D34"/>
    <w:rsid w:val="33D740F0"/>
    <w:rsid w:val="33F151B2"/>
    <w:rsid w:val="33F94067"/>
    <w:rsid w:val="33FC0975"/>
    <w:rsid w:val="340B0D72"/>
    <w:rsid w:val="341E587B"/>
    <w:rsid w:val="344022E0"/>
    <w:rsid w:val="344E5B55"/>
    <w:rsid w:val="34677222"/>
    <w:rsid w:val="347F7FFB"/>
    <w:rsid w:val="34936269"/>
    <w:rsid w:val="34E70363"/>
    <w:rsid w:val="35487054"/>
    <w:rsid w:val="354B444E"/>
    <w:rsid w:val="354B6B44"/>
    <w:rsid w:val="354E7D75"/>
    <w:rsid w:val="3555351F"/>
    <w:rsid w:val="35893329"/>
    <w:rsid w:val="35A3072E"/>
    <w:rsid w:val="35CB37E1"/>
    <w:rsid w:val="35D953D5"/>
    <w:rsid w:val="35EF44A1"/>
    <w:rsid w:val="35FE7713"/>
    <w:rsid w:val="36034D29"/>
    <w:rsid w:val="36085CF8"/>
    <w:rsid w:val="36181042"/>
    <w:rsid w:val="361C228F"/>
    <w:rsid w:val="36204793"/>
    <w:rsid w:val="36283BA1"/>
    <w:rsid w:val="3638571F"/>
    <w:rsid w:val="36451A94"/>
    <w:rsid w:val="365757D6"/>
    <w:rsid w:val="3660217B"/>
    <w:rsid w:val="36A04C6E"/>
    <w:rsid w:val="36A80715"/>
    <w:rsid w:val="36BE6EA2"/>
    <w:rsid w:val="36C56482"/>
    <w:rsid w:val="36DF562B"/>
    <w:rsid w:val="36EE59D9"/>
    <w:rsid w:val="37076A9B"/>
    <w:rsid w:val="37180CA8"/>
    <w:rsid w:val="372F0098"/>
    <w:rsid w:val="374970B3"/>
    <w:rsid w:val="37503F9E"/>
    <w:rsid w:val="37685C83"/>
    <w:rsid w:val="378D3E9F"/>
    <w:rsid w:val="379E4369"/>
    <w:rsid w:val="3801798E"/>
    <w:rsid w:val="38063178"/>
    <w:rsid w:val="385C4BC4"/>
    <w:rsid w:val="38675A43"/>
    <w:rsid w:val="388A34DF"/>
    <w:rsid w:val="38CD76EA"/>
    <w:rsid w:val="38F31085"/>
    <w:rsid w:val="38F44DFD"/>
    <w:rsid w:val="391060DB"/>
    <w:rsid w:val="394C0AD8"/>
    <w:rsid w:val="394F5453"/>
    <w:rsid w:val="39644A2A"/>
    <w:rsid w:val="397440E8"/>
    <w:rsid w:val="397C551E"/>
    <w:rsid w:val="397F500E"/>
    <w:rsid w:val="3982604D"/>
    <w:rsid w:val="398268AC"/>
    <w:rsid w:val="39830040"/>
    <w:rsid w:val="39D04646"/>
    <w:rsid w:val="39D4535A"/>
    <w:rsid w:val="39DA7D9B"/>
    <w:rsid w:val="39DC721F"/>
    <w:rsid w:val="39FE7053"/>
    <w:rsid w:val="3A0D29F1"/>
    <w:rsid w:val="3A0F6CB1"/>
    <w:rsid w:val="3A1E092C"/>
    <w:rsid w:val="3A1F4AEB"/>
    <w:rsid w:val="3A2F2590"/>
    <w:rsid w:val="3A415917"/>
    <w:rsid w:val="3A444D77"/>
    <w:rsid w:val="3A4D2A17"/>
    <w:rsid w:val="3A546876"/>
    <w:rsid w:val="3A681B75"/>
    <w:rsid w:val="3A7601BF"/>
    <w:rsid w:val="3A7C154E"/>
    <w:rsid w:val="3AAA1C17"/>
    <w:rsid w:val="3AAB21AB"/>
    <w:rsid w:val="3AD155DE"/>
    <w:rsid w:val="3AD47503"/>
    <w:rsid w:val="3ADB622B"/>
    <w:rsid w:val="3B286FE0"/>
    <w:rsid w:val="3B3671FB"/>
    <w:rsid w:val="3B4E6954"/>
    <w:rsid w:val="3B5D4EDB"/>
    <w:rsid w:val="3B5E2A01"/>
    <w:rsid w:val="3B963036"/>
    <w:rsid w:val="3B9C1EA7"/>
    <w:rsid w:val="3BC76026"/>
    <w:rsid w:val="3BDB13D8"/>
    <w:rsid w:val="3BF33A92"/>
    <w:rsid w:val="3C177780"/>
    <w:rsid w:val="3C23718C"/>
    <w:rsid w:val="3C277E24"/>
    <w:rsid w:val="3C4815BD"/>
    <w:rsid w:val="3C5373AC"/>
    <w:rsid w:val="3C551209"/>
    <w:rsid w:val="3C6329C5"/>
    <w:rsid w:val="3C805325"/>
    <w:rsid w:val="3C826567"/>
    <w:rsid w:val="3CA74F18"/>
    <w:rsid w:val="3CF47AC1"/>
    <w:rsid w:val="3D0763B7"/>
    <w:rsid w:val="3D285B0B"/>
    <w:rsid w:val="3D4674F0"/>
    <w:rsid w:val="3D4A76E1"/>
    <w:rsid w:val="3D4D7C6A"/>
    <w:rsid w:val="3D6726BF"/>
    <w:rsid w:val="3D7D4D0C"/>
    <w:rsid w:val="3D864BBD"/>
    <w:rsid w:val="3DB72FC9"/>
    <w:rsid w:val="3DEE4511"/>
    <w:rsid w:val="3E077380"/>
    <w:rsid w:val="3E2F1D14"/>
    <w:rsid w:val="3E7B69A2"/>
    <w:rsid w:val="3E7C7D6E"/>
    <w:rsid w:val="3E832EAB"/>
    <w:rsid w:val="3E8D210C"/>
    <w:rsid w:val="3EB67348"/>
    <w:rsid w:val="3EBC6464"/>
    <w:rsid w:val="3EC7548D"/>
    <w:rsid w:val="3ECE5AEA"/>
    <w:rsid w:val="3EED47C8"/>
    <w:rsid w:val="3EFB3B74"/>
    <w:rsid w:val="3F03223E"/>
    <w:rsid w:val="3F0D3980"/>
    <w:rsid w:val="3F0E1D80"/>
    <w:rsid w:val="3F300905"/>
    <w:rsid w:val="3F313292"/>
    <w:rsid w:val="3F342AE2"/>
    <w:rsid w:val="3F373C30"/>
    <w:rsid w:val="3F3C12AC"/>
    <w:rsid w:val="3F3D0AF1"/>
    <w:rsid w:val="3F4940F4"/>
    <w:rsid w:val="3F4B54D1"/>
    <w:rsid w:val="3F5900B0"/>
    <w:rsid w:val="3F592854"/>
    <w:rsid w:val="3F5C54AA"/>
    <w:rsid w:val="3F6A7BC7"/>
    <w:rsid w:val="3F84512C"/>
    <w:rsid w:val="3F8E1B07"/>
    <w:rsid w:val="3FAC6431"/>
    <w:rsid w:val="3FB028D3"/>
    <w:rsid w:val="3FB223D4"/>
    <w:rsid w:val="3FCA12BB"/>
    <w:rsid w:val="3FE71217"/>
    <w:rsid w:val="3FEF631E"/>
    <w:rsid w:val="4013200C"/>
    <w:rsid w:val="4026508C"/>
    <w:rsid w:val="40384169"/>
    <w:rsid w:val="40497D6B"/>
    <w:rsid w:val="40581FAB"/>
    <w:rsid w:val="4077259B"/>
    <w:rsid w:val="40936D08"/>
    <w:rsid w:val="40C73FD6"/>
    <w:rsid w:val="40C90854"/>
    <w:rsid w:val="40CA6C10"/>
    <w:rsid w:val="40E75CEE"/>
    <w:rsid w:val="40ED6D01"/>
    <w:rsid w:val="40F0234E"/>
    <w:rsid w:val="40F7192E"/>
    <w:rsid w:val="4105229D"/>
    <w:rsid w:val="41263DF8"/>
    <w:rsid w:val="41377F7D"/>
    <w:rsid w:val="415051F3"/>
    <w:rsid w:val="41637E73"/>
    <w:rsid w:val="4198167F"/>
    <w:rsid w:val="41A43864"/>
    <w:rsid w:val="41C619F5"/>
    <w:rsid w:val="41C631D2"/>
    <w:rsid w:val="41CE08AC"/>
    <w:rsid w:val="41EF2605"/>
    <w:rsid w:val="41FA16D6"/>
    <w:rsid w:val="42111C84"/>
    <w:rsid w:val="4239468E"/>
    <w:rsid w:val="42411CE9"/>
    <w:rsid w:val="424741EF"/>
    <w:rsid w:val="4247665C"/>
    <w:rsid w:val="42642B73"/>
    <w:rsid w:val="42975280"/>
    <w:rsid w:val="429C453B"/>
    <w:rsid w:val="42A653BA"/>
    <w:rsid w:val="42AE24C0"/>
    <w:rsid w:val="42BE0955"/>
    <w:rsid w:val="42D41701"/>
    <w:rsid w:val="42D433F9"/>
    <w:rsid w:val="42D74207"/>
    <w:rsid w:val="42F73E67"/>
    <w:rsid w:val="430F640C"/>
    <w:rsid w:val="43246EDC"/>
    <w:rsid w:val="433D2C2C"/>
    <w:rsid w:val="4346094B"/>
    <w:rsid w:val="43503578"/>
    <w:rsid w:val="4353722A"/>
    <w:rsid w:val="435A7F52"/>
    <w:rsid w:val="436573B3"/>
    <w:rsid w:val="43747ABE"/>
    <w:rsid w:val="43AA68C9"/>
    <w:rsid w:val="43B92ECB"/>
    <w:rsid w:val="43CA50D8"/>
    <w:rsid w:val="43CD0173"/>
    <w:rsid w:val="43DE0B83"/>
    <w:rsid w:val="43EB5F90"/>
    <w:rsid w:val="441746AF"/>
    <w:rsid w:val="44342F05"/>
    <w:rsid w:val="44427364"/>
    <w:rsid w:val="444A7FC7"/>
    <w:rsid w:val="44564BBE"/>
    <w:rsid w:val="445F7F16"/>
    <w:rsid w:val="4488746D"/>
    <w:rsid w:val="44A15C7B"/>
    <w:rsid w:val="44BA6EFA"/>
    <w:rsid w:val="44C84BF6"/>
    <w:rsid w:val="44EB3558"/>
    <w:rsid w:val="45120AE5"/>
    <w:rsid w:val="451C5BBF"/>
    <w:rsid w:val="452457E1"/>
    <w:rsid w:val="45286BB0"/>
    <w:rsid w:val="45464C32"/>
    <w:rsid w:val="454E48BD"/>
    <w:rsid w:val="454F1D39"/>
    <w:rsid w:val="454F528E"/>
    <w:rsid w:val="455D076D"/>
    <w:rsid w:val="45616F96"/>
    <w:rsid w:val="456E54E2"/>
    <w:rsid w:val="45795008"/>
    <w:rsid w:val="457C2402"/>
    <w:rsid w:val="459F01B9"/>
    <w:rsid w:val="45D73ADC"/>
    <w:rsid w:val="45E22BAD"/>
    <w:rsid w:val="45FE550D"/>
    <w:rsid w:val="46072613"/>
    <w:rsid w:val="461426D7"/>
    <w:rsid w:val="46195EA3"/>
    <w:rsid w:val="463D7DE3"/>
    <w:rsid w:val="464E1FF0"/>
    <w:rsid w:val="464E56AF"/>
    <w:rsid w:val="464F7389"/>
    <w:rsid w:val="465C6279"/>
    <w:rsid w:val="46696E2A"/>
    <w:rsid w:val="469A3487"/>
    <w:rsid w:val="46AE6F33"/>
    <w:rsid w:val="46BA58D8"/>
    <w:rsid w:val="46BD7176"/>
    <w:rsid w:val="46C329DE"/>
    <w:rsid w:val="470D5968"/>
    <w:rsid w:val="477C3392"/>
    <w:rsid w:val="47984645"/>
    <w:rsid w:val="47A0155D"/>
    <w:rsid w:val="47C84024"/>
    <w:rsid w:val="47F210A1"/>
    <w:rsid w:val="47F6293F"/>
    <w:rsid w:val="480A0199"/>
    <w:rsid w:val="480F301E"/>
    <w:rsid w:val="48297FEF"/>
    <w:rsid w:val="483A2442"/>
    <w:rsid w:val="483B2A48"/>
    <w:rsid w:val="484B7A51"/>
    <w:rsid w:val="484F02A2"/>
    <w:rsid w:val="48515D90"/>
    <w:rsid w:val="4856575F"/>
    <w:rsid w:val="485B3970"/>
    <w:rsid w:val="485C617C"/>
    <w:rsid w:val="48636163"/>
    <w:rsid w:val="487454C8"/>
    <w:rsid w:val="487B2E45"/>
    <w:rsid w:val="48AE427C"/>
    <w:rsid w:val="48B03752"/>
    <w:rsid w:val="48B06F92"/>
    <w:rsid w:val="48DB1B35"/>
    <w:rsid w:val="48F21359"/>
    <w:rsid w:val="490D603C"/>
    <w:rsid w:val="49170107"/>
    <w:rsid w:val="49261002"/>
    <w:rsid w:val="493D634C"/>
    <w:rsid w:val="494E0559"/>
    <w:rsid w:val="49543DC1"/>
    <w:rsid w:val="495777FB"/>
    <w:rsid w:val="497C6E74"/>
    <w:rsid w:val="499E444F"/>
    <w:rsid w:val="499F0DB5"/>
    <w:rsid w:val="49CD5922"/>
    <w:rsid w:val="4A172FFF"/>
    <w:rsid w:val="4A302885"/>
    <w:rsid w:val="4A381A7F"/>
    <w:rsid w:val="4A3C5376"/>
    <w:rsid w:val="4A4F217B"/>
    <w:rsid w:val="4A916951"/>
    <w:rsid w:val="4A965D14"/>
    <w:rsid w:val="4A983946"/>
    <w:rsid w:val="4AA62B1C"/>
    <w:rsid w:val="4AA743C5"/>
    <w:rsid w:val="4AC960E9"/>
    <w:rsid w:val="4AED0453"/>
    <w:rsid w:val="4AF91486"/>
    <w:rsid w:val="4B0435C5"/>
    <w:rsid w:val="4B141AEF"/>
    <w:rsid w:val="4B1A06F3"/>
    <w:rsid w:val="4B373AA2"/>
    <w:rsid w:val="4B553E21"/>
    <w:rsid w:val="4B565FA9"/>
    <w:rsid w:val="4B6B71A0"/>
    <w:rsid w:val="4B75001F"/>
    <w:rsid w:val="4B797B0F"/>
    <w:rsid w:val="4B814C16"/>
    <w:rsid w:val="4BA32DDE"/>
    <w:rsid w:val="4BED4EAA"/>
    <w:rsid w:val="4BFE1DC3"/>
    <w:rsid w:val="4C112999"/>
    <w:rsid w:val="4C3E6663"/>
    <w:rsid w:val="4C6A38FC"/>
    <w:rsid w:val="4CB91EB3"/>
    <w:rsid w:val="4D0E7048"/>
    <w:rsid w:val="4D10756F"/>
    <w:rsid w:val="4D3C7046"/>
    <w:rsid w:val="4D4F5DDD"/>
    <w:rsid w:val="4D514BA1"/>
    <w:rsid w:val="4D851C76"/>
    <w:rsid w:val="4DB27309"/>
    <w:rsid w:val="4DB82445"/>
    <w:rsid w:val="4DE07400"/>
    <w:rsid w:val="4DF83329"/>
    <w:rsid w:val="4E402B66"/>
    <w:rsid w:val="4E402BBF"/>
    <w:rsid w:val="4E575062"/>
    <w:rsid w:val="4E580585"/>
    <w:rsid w:val="4E5F3F25"/>
    <w:rsid w:val="4E95487A"/>
    <w:rsid w:val="4E9A3059"/>
    <w:rsid w:val="4E9A7E64"/>
    <w:rsid w:val="4EA56E6D"/>
    <w:rsid w:val="4EB1136E"/>
    <w:rsid w:val="4EB40E5E"/>
    <w:rsid w:val="4EC15329"/>
    <w:rsid w:val="4ECC43FA"/>
    <w:rsid w:val="4F155DA1"/>
    <w:rsid w:val="4F1658B8"/>
    <w:rsid w:val="4F3B50DC"/>
    <w:rsid w:val="4F4A6AA6"/>
    <w:rsid w:val="4F4C48A4"/>
    <w:rsid w:val="4F671881"/>
    <w:rsid w:val="4F7505EE"/>
    <w:rsid w:val="4FA107F2"/>
    <w:rsid w:val="4FA709C3"/>
    <w:rsid w:val="4FAE5DBB"/>
    <w:rsid w:val="4FBA06F6"/>
    <w:rsid w:val="4FBF7ABB"/>
    <w:rsid w:val="4FEB1054"/>
    <w:rsid w:val="4FEC63D6"/>
    <w:rsid w:val="4FF736F9"/>
    <w:rsid w:val="50046449"/>
    <w:rsid w:val="5019366F"/>
    <w:rsid w:val="50595A45"/>
    <w:rsid w:val="506A3DEE"/>
    <w:rsid w:val="50707007"/>
    <w:rsid w:val="50783EFD"/>
    <w:rsid w:val="50796879"/>
    <w:rsid w:val="50797CC1"/>
    <w:rsid w:val="50B42F2A"/>
    <w:rsid w:val="50C25AB5"/>
    <w:rsid w:val="50DD469C"/>
    <w:rsid w:val="510A2CDD"/>
    <w:rsid w:val="510E0CFA"/>
    <w:rsid w:val="51147D4A"/>
    <w:rsid w:val="512027DB"/>
    <w:rsid w:val="51381760"/>
    <w:rsid w:val="514737DE"/>
    <w:rsid w:val="514B29AD"/>
    <w:rsid w:val="515A7735"/>
    <w:rsid w:val="51610292"/>
    <w:rsid w:val="517C3887"/>
    <w:rsid w:val="51865E75"/>
    <w:rsid w:val="519136D9"/>
    <w:rsid w:val="51956D25"/>
    <w:rsid w:val="519D207E"/>
    <w:rsid w:val="51C518B1"/>
    <w:rsid w:val="51D51B93"/>
    <w:rsid w:val="51DB6702"/>
    <w:rsid w:val="51EE4687"/>
    <w:rsid w:val="51F55815"/>
    <w:rsid w:val="521560B8"/>
    <w:rsid w:val="525F6931"/>
    <w:rsid w:val="527530CE"/>
    <w:rsid w:val="5288688A"/>
    <w:rsid w:val="52FC0750"/>
    <w:rsid w:val="531B76FE"/>
    <w:rsid w:val="53536E98"/>
    <w:rsid w:val="536A1421"/>
    <w:rsid w:val="538C05FC"/>
    <w:rsid w:val="53BF493D"/>
    <w:rsid w:val="53C51D39"/>
    <w:rsid w:val="542149C4"/>
    <w:rsid w:val="54295E4B"/>
    <w:rsid w:val="542E2EFA"/>
    <w:rsid w:val="543D2803"/>
    <w:rsid w:val="54907C78"/>
    <w:rsid w:val="549732E4"/>
    <w:rsid w:val="549A523E"/>
    <w:rsid w:val="549B548E"/>
    <w:rsid w:val="549D3677"/>
    <w:rsid w:val="54A11D47"/>
    <w:rsid w:val="54D940C9"/>
    <w:rsid w:val="54DD7595"/>
    <w:rsid w:val="54E81862"/>
    <w:rsid w:val="54EB4EAE"/>
    <w:rsid w:val="54ED55F4"/>
    <w:rsid w:val="54F77C1B"/>
    <w:rsid w:val="54FF2587"/>
    <w:rsid w:val="55027D49"/>
    <w:rsid w:val="55104E28"/>
    <w:rsid w:val="55346855"/>
    <w:rsid w:val="553A3451"/>
    <w:rsid w:val="554051FA"/>
    <w:rsid w:val="559A7000"/>
    <w:rsid w:val="55A559A5"/>
    <w:rsid w:val="55BF4BF7"/>
    <w:rsid w:val="55D409D2"/>
    <w:rsid w:val="55F343AC"/>
    <w:rsid w:val="560E354A"/>
    <w:rsid w:val="561E7941"/>
    <w:rsid w:val="565151E5"/>
    <w:rsid w:val="565C42B5"/>
    <w:rsid w:val="565F7902"/>
    <w:rsid w:val="568630E0"/>
    <w:rsid w:val="568B4B9B"/>
    <w:rsid w:val="56A06D12"/>
    <w:rsid w:val="56A30136"/>
    <w:rsid w:val="56D9030D"/>
    <w:rsid w:val="5718003A"/>
    <w:rsid w:val="57203535"/>
    <w:rsid w:val="572F19CA"/>
    <w:rsid w:val="574E6C33"/>
    <w:rsid w:val="57573EDC"/>
    <w:rsid w:val="57664CC0"/>
    <w:rsid w:val="57723665"/>
    <w:rsid w:val="57842C6E"/>
    <w:rsid w:val="57A8352A"/>
    <w:rsid w:val="57AD4064"/>
    <w:rsid w:val="57E00F16"/>
    <w:rsid w:val="5805075F"/>
    <w:rsid w:val="580620E1"/>
    <w:rsid w:val="5827444F"/>
    <w:rsid w:val="588653B2"/>
    <w:rsid w:val="58977827"/>
    <w:rsid w:val="58A4081A"/>
    <w:rsid w:val="58B55EFF"/>
    <w:rsid w:val="58BF0B2C"/>
    <w:rsid w:val="58F74774"/>
    <w:rsid w:val="59012EF2"/>
    <w:rsid w:val="590A165C"/>
    <w:rsid w:val="5940532C"/>
    <w:rsid w:val="59567523"/>
    <w:rsid w:val="59590F80"/>
    <w:rsid w:val="59692CEE"/>
    <w:rsid w:val="597E09E7"/>
    <w:rsid w:val="59891133"/>
    <w:rsid w:val="59934492"/>
    <w:rsid w:val="59BC1723"/>
    <w:rsid w:val="59C36FD2"/>
    <w:rsid w:val="59C844EB"/>
    <w:rsid w:val="59EB55AC"/>
    <w:rsid w:val="5A0C4DED"/>
    <w:rsid w:val="5A0F7891"/>
    <w:rsid w:val="5A12465E"/>
    <w:rsid w:val="5A134EEC"/>
    <w:rsid w:val="5A1B6236"/>
    <w:rsid w:val="5A2450EA"/>
    <w:rsid w:val="5A276988"/>
    <w:rsid w:val="5A2A55E4"/>
    <w:rsid w:val="5A400CD9"/>
    <w:rsid w:val="5A451CD7"/>
    <w:rsid w:val="5A4532B2"/>
    <w:rsid w:val="5A4901E6"/>
    <w:rsid w:val="5A4D43FF"/>
    <w:rsid w:val="5A7812F8"/>
    <w:rsid w:val="5A951B44"/>
    <w:rsid w:val="5ABC17C7"/>
    <w:rsid w:val="5AE02ADF"/>
    <w:rsid w:val="5B0D5B7E"/>
    <w:rsid w:val="5B21162A"/>
    <w:rsid w:val="5B3124FF"/>
    <w:rsid w:val="5B6F57D8"/>
    <w:rsid w:val="5B9E75B9"/>
    <w:rsid w:val="5BCC1717"/>
    <w:rsid w:val="5BCE7A03"/>
    <w:rsid w:val="5BDB267D"/>
    <w:rsid w:val="5BF64864"/>
    <w:rsid w:val="5C142F3C"/>
    <w:rsid w:val="5C182A2D"/>
    <w:rsid w:val="5C195C09"/>
    <w:rsid w:val="5C2529CD"/>
    <w:rsid w:val="5C2A24B1"/>
    <w:rsid w:val="5C3864A3"/>
    <w:rsid w:val="5C4626CF"/>
    <w:rsid w:val="5C4E1F9A"/>
    <w:rsid w:val="5C821651"/>
    <w:rsid w:val="5C94782E"/>
    <w:rsid w:val="5CB52971"/>
    <w:rsid w:val="5CD32DF8"/>
    <w:rsid w:val="5CDA23D8"/>
    <w:rsid w:val="5CE2128D"/>
    <w:rsid w:val="5D11749B"/>
    <w:rsid w:val="5D153410"/>
    <w:rsid w:val="5D277C85"/>
    <w:rsid w:val="5D6A4BD0"/>
    <w:rsid w:val="5D955ED9"/>
    <w:rsid w:val="5D9C768D"/>
    <w:rsid w:val="5DAA2BBF"/>
    <w:rsid w:val="5DC12D95"/>
    <w:rsid w:val="5DC866D4"/>
    <w:rsid w:val="5DCD7847"/>
    <w:rsid w:val="5DDC7A8A"/>
    <w:rsid w:val="5DF01870"/>
    <w:rsid w:val="5DF43D57"/>
    <w:rsid w:val="5E2468C7"/>
    <w:rsid w:val="5E2D6E72"/>
    <w:rsid w:val="5E330F15"/>
    <w:rsid w:val="5E394EDC"/>
    <w:rsid w:val="5E6A778C"/>
    <w:rsid w:val="5E6E1B51"/>
    <w:rsid w:val="5E6F6B50"/>
    <w:rsid w:val="5E7B54F5"/>
    <w:rsid w:val="5E8455B7"/>
    <w:rsid w:val="5E8E08E8"/>
    <w:rsid w:val="5EA522CC"/>
    <w:rsid w:val="5ECB3377"/>
    <w:rsid w:val="5EDD7F5D"/>
    <w:rsid w:val="5EDF5A84"/>
    <w:rsid w:val="5EE17A4E"/>
    <w:rsid w:val="5EFD5F0A"/>
    <w:rsid w:val="5F04373C"/>
    <w:rsid w:val="5F10773B"/>
    <w:rsid w:val="5F1576F7"/>
    <w:rsid w:val="5F265461"/>
    <w:rsid w:val="5F346B47"/>
    <w:rsid w:val="5F3E265D"/>
    <w:rsid w:val="5F3F29C6"/>
    <w:rsid w:val="5F4A6A45"/>
    <w:rsid w:val="5F6B5EEE"/>
    <w:rsid w:val="5F926F9A"/>
    <w:rsid w:val="5F954394"/>
    <w:rsid w:val="5FB44474"/>
    <w:rsid w:val="5FD92ABE"/>
    <w:rsid w:val="6005450B"/>
    <w:rsid w:val="600A4D82"/>
    <w:rsid w:val="60185E74"/>
    <w:rsid w:val="601F47BF"/>
    <w:rsid w:val="60217AA4"/>
    <w:rsid w:val="60350732"/>
    <w:rsid w:val="6045400C"/>
    <w:rsid w:val="605346C7"/>
    <w:rsid w:val="60752D43"/>
    <w:rsid w:val="60A54B61"/>
    <w:rsid w:val="60BB7E2A"/>
    <w:rsid w:val="60C56EFB"/>
    <w:rsid w:val="60E2185B"/>
    <w:rsid w:val="61181721"/>
    <w:rsid w:val="612105D5"/>
    <w:rsid w:val="61321DBF"/>
    <w:rsid w:val="613227E3"/>
    <w:rsid w:val="61350CA5"/>
    <w:rsid w:val="61475666"/>
    <w:rsid w:val="6160294E"/>
    <w:rsid w:val="61750921"/>
    <w:rsid w:val="6175447D"/>
    <w:rsid w:val="61A11716"/>
    <w:rsid w:val="61B96A60"/>
    <w:rsid w:val="61C22B27"/>
    <w:rsid w:val="61E12E07"/>
    <w:rsid w:val="61E804E3"/>
    <w:rsid w:val="61F555BE"/>
    <w:rsid w:val="621A6DD3"/>
    <w:rsid w:val="621B669C"/>
    <w:rsid w:val="623B56C7"/>
    <w:rsid w:val="62794EF5"/>
    <w:rsid w:val="629848C7"/>
    <w:rsid w:val="62B612C4"/>
    <w:rsid w:val="62C0797A"/>
    <w:rsid w:val="62D003E9"/>
    <w:rsid w:val="62D43425"/>
    <w:rsid w:val="62F835B8"/>
    <w:rsid w:val="63017A09"/>
    <w:rsid w:val="630D799B"/>
    <w:rsid w:val="63310878"/>
    <w:rsid w:val="633164AE"/>
    <w:rsid w:val="633B34A5"/>
    <w:rsid w:val="63461EEC"/>
    <w:rsid w:val="63805E41"/>
    <w:rsid w:val="639E415F"/>
    <w:rsid w:val="63C76034"/>
    <w:rsid w:val="63E553E6"/>
    <w:rsid w:val="63ED0C43"/>
    <w:rsid w:val="63F7561D"/>
    <w:rsid w:val="641E0DFC"/>
    <w:rsid w:val="642C18C7"/>
    <w:rsid w:val="643A780A"/>
    <w:rsid w:val="645F6163"/>
    <w:rsid w:val="646F3406"/>
    <w:rsid w:val="647A6A9A"/>
    <w:rsid w:val="64981243"/>
    <w:rsid w:val="64A60D53"/>
    <w:rsid w:val="64C03C61"/>
    <w:rsid w:val="64E70B07"/>
    <w:rsid w:val="64EA1600"/>
    <w:rsid w:val="64F565FE"/>
    <w:rsid w:val="651A5A67"/>
    <w:rsid w:val="65436FAA"/>
    <w:rsid w:val="65640A91"/>
    <w:rsid w:val="656668F8"/>
    <w:rsid w:val="65681658"/>
    <w:rsid w:val="6572772F"/>
    <w:rsid w:val="658B10E8"/>
    <w:rsid w:val="65A96DEB"/>
    <w:rsid w:val="65B64BE3"/>
    <w:rsid w:val="65C5732A"/>
    <w:rsid w:val="65E9368C"/>
    <w:rsid w:val="662273FC"/>
    <w:rsid w:val="662809A0"/>
    <w:rsid w:val="663225B1"/>
    <w:rsid w:val="6632293D"/>
    <w:rsid w:val="667D7425"/>
    <w:rsid w:val="6685516D"/>
    <w:rsid w:val="66AA4BC9"/>
    <w:rsid w:val="66BD7A81"/>
    <w:rsid w:val="66E259B0"/>
    <w:rsid w:val="66F1118D"/>
    <w:rsid w:val="66F83B86"/>
    <w:rsid w:val="671169F6"/>
    <w:rsid w:val="672877CA"/>
    <w:rsid w:val="67376F0C"/>
    <w:rsid w:val="67645C10"/>
    <w:rsid w:val="6779459B"/>
    <w:rsid w:val="679715F1"/>
    <w:rsid w:val="679F04A6"/>
    <w:rsid w:val="67A61834"/>
    <w:rsid w:val="67B87403"/>
    <w:rsid w:val="67C2654A"/>
    <w:rsid w:val="67C577E1"/>
    <w:rsid w:val="67C63851"/>
    <w:rsid w:val="67EB73E9"/>
    <w:rsid w:val="67F46D51"/>
    <w:rsid w:val="67FC6A45"/>
    <w:rsid w:val="68016A6B"/>
    <w:rsid w:val="680A0E54"/>
    <w:rsid w:val="680E708B"/>
    <w:rsid w:val="68216989"/>
    <w:rsid w:val="682F2A7B"/>
    <w:rsid w:val="684822A5"/>
    <w:rsid w:val="68637725"/>
    <w:rsid w:val="687A6833"/>
    <w:rsid w:val="687D1E6A"/>
    <w:rsid w:val="6887169E"/>
    <w:rsid w:val="68925E05"/>
    <w:rsid w:val="68AD42AF"/>
    <w:rsid w:val="68D134DB"/>
    <w:rsid w:val="68E322A8"/>
    <w:rsid w:val="68EF2D67"/>
    <w:rsid w:val="68FE7531"/>
    <w:rsid w:val="69004F74"/>
    <w:rsid w:val="69006D22"/>
    <w:rsid w:val="691E5FF7"/>
    <w:rsid w:val="691F1FEC"/>
    <w:rsid w:val="69283C71"/>
    <w:rsid w:val="693E3CEF"/>
    <w:rsid w:val="69831701"/>
    <w:rsid w:val="69925ED5"/>
    <w:rsid w:val="6996293F"/>
    <w:rsid w:val="69D87C9F"/>
    <w:rsid w:val="6A2230B3"/>
    <w:rsid w:val="6A3D3FA6"/>
    <w:rsid w:val="6A415844"/>
    <w:rsid w:val="6AC01C9F"/>
    <w:rsid w:val="6AC56475"/>
    <w:rsid w:val="6AE53247"/>
    <w:rsid w:val="6AFE54E3"/>
    <w:rsid w:val="6B152E86"/>
    <w:rsid w:val="6B1D005F"/>
    <w:rsid w:val="6B2D401B"/>
    <w:rsid w:val="6B2E18B2"/>
    <w:rsid w:val="6B4355EC"/>
    <w:rsid w:val="6B4F3EEC"/>
    <w:rsid w:val="6B573788"/>
    <w:rsid w:val="6B872974"/>
    <w:rsid w:val="6B8D0B83"/>
    <w:rsid w:val="6BB43DF4"/>
    <w:rsid w:val="6BBF2EC5"/>
    <w:rsid w:val="6BCE6328"/>
    <w:rsid w:val="6BE00A77"/>
    <w:rsid w:val="6C066D46"/>
    <w:rsid w:val="6C07486C"/>
    <w:rsid w:val="6C0B610A"/>
    <w:rsid w:val="6C115E3F"/>
    <w:rsid w:val="6C246ED6"/>
    <w:rsid w:val="6C2D5DC0"/>
    <w:rsid w:val="6C2E1DF8"/>
    <w:rsid w:val="6C3C4515"/>
    <w:rsid w:val="6C442B6B"/>
    <w:rsid w:val="6C4C2271"/>
    <w:rsid w:val="6C521059"/>
    <w:rsid w:val="6C670457"/>
    <w:rsid w:val="6C677879"/>
    <w:rsid w:val="6C9E1B12"/>
    <w:rsid w:val="6CAA4B46"/>
    <w:rsid w:val="6CAE5F57"/>
    <w:rsid w:val="6CBC7B76"/>
    <w:rsid w:val="6CC8096D"/>
    <w:rsid w:val="6CC85DA9"/>
    <w:rsid w:val="6CCC7FBB"/>
    <w:rsid w:val="6CDB6E8A"/>
    <w:rsid w:val="6CED3A62"/>
    <w:rsid w:val="6CFE56DF"/>
    <w:rsid w:val="6D06067F"/>
    <w:rsid w:val="6D400035"/>
    <w:rsid w:val="6D583386"/>
    <w:rsid w:val="6D641E4C"/>
    <w:rsid w:val="6D6F091A"/>
    <w:rsid w:val="6D8C0420"/>
    <w:rsid w:val="6D9C13E7"/>
    <w:rsid w:val="6DC018FC"/>
    <w:rsid w:val="6DEF55B7"/>
    <w:rsid w:val="6E11327E"/>
    <w:rsid w:val="6E153270"/>
    <w:rsid w:val="6E1B63AC"/>
    <w:rsid w:val="6E2711F5"/>
    <w:rsid w:val="6E31797E"/>
    <w:rsid w:val="6E630D7B"/>
    <w:rsid w:val="6E764DFC"/>
    <w:rsid w:val="6E82467D"/>
    <w:rsid w:val="6E8E4DD0"/>
    <w:rsid w:val="6E8E5568"/>
    <w:rsid w:val="6EDD18B4"/>
    <w:rsid w:val="6EFB06D8"/>
    <w:rsid w:val="6EFC0E94"/>
    <w:rsid w:val="6F1445F8"/>
    <w:rsid w:val="6F2E6B11"/>
    <w:rsid w:val="6F435BBB"/>
    <w:rsid w:val="6F6576C7"/>
    <w:rsid w:val="6F7538EF"/>
    <w:rsid w:val="6F860807"/>
    <w:rsid w:val="6F981E2B"/>
    <w:rsid w:val="6F9D65DD"/>
    <w:rsid w:val="6FA06B69"/>
    <w:rsid w:val="6FC34F4E"/>
    <w:rsid w:val="6FE70EE8"/>
    <w:rsid w:val="6FF4251F"/>
    <w:rsid w:val="6FFB0243"/>
    <w:rsid w:val="70001CFE"/>
    <w:rsid w:val="70651549"/>
    <w:rsid w:val="706C2EEF"/>
    <w:rsid w:val="70733268"/>
    <w:rsid w:val="70746064"/>
    <w:rsid w:val="709B37D5"/>
    <w:rsid w:val="70CC5C94"/>
    <w:rsid w:val="70DD3B27"/>
    <w:rsid w:val="70ED0BE3"/>
    <w:rsid w:val="70FE02DC"/>
    <w:rsid w:val="7104137A"/>
    <w:rsid w:val="713F0E45"/>
    <w:rsid w:val="714B27BD"/>
    <w:rsid w:val="71631E2F"/>
    <w:rsid w:val="719C7804"/>
    <w:rsid w:val="71C70D25"/>
    <w:rsid w:val="71D81693"/>
    <w:rsid w:val="71F92EA9"/>
    <w:rsid w:val="72103967"/>
    <w:rsid w:val="72584A9A"/>
    <w:rsid w:val="727F515C"/>
    <w:rsid w:val="72862412"/>
    <w:rsid w:val="728E1843"/>
    <w:rsid w:val="72A03324"/>
    <w:rsid w:val="72B73991"/>
    <w:rsid w:val="72BF19FC"/>
    <w:rsid w:val="72C0653A"/>
    <w:rsid w:val="72FA692B"/>
    <w:rsid w:val="72FC72C0"/>
    <w:rsid w:val="73151A91"/>
    <w:rsid w:val="734F0FD2"/>
    <w:rsid w:val="738B5D82"/>
    <w:rsid w:val="73A725A1"/>
    <w:rsid w:val="73BD7C81"/>
    <w:rsid w:val="73BE3A62"/>
    <w:rsid w:val="73CC3AB4"/>
    <w:rsid w:val="73ED5108"/>
    <w:rsid w:val="741E22D4"/>
    <w:rsid w:val="74314780"/>
    <w:rsid w:val="74567281"/>
    <w:rsid w:val="7463285B"/>
    <w:rsid w:val="748C590E"/>
    <w:rsid w:val="748D1686"/>
    <w:rsid w:val="74BD6383"/>
    <w:rsid w:val="74CD5161"/>
    <w:rsid w:val="74D22F0D"/>
    <w:rsid w:val="74DB6895"/>
    <w:rsid w:val="74E818AE"/>
    <w:rsid w:val="75096F5F"/>
    <w:rsid w:val="750A5D5F"/>
    <w:rsid w:val="750D000B"/>
    <w:rsid w:val="751B23F6"/>
    <w:rsid w:val="752136E9"/>
    <w:rsid w:val="75356BF2"/>
    <w:rsid w:val="75436915"/>
    <w:rsid w:val="75510906"/>
    <w:rsid w:val="755928A9"/>
    <w:rsid w:val="755C1784"/>
    <w:rsid w:val="75696A96"/>
    <w:rsid w:val="757F3A75"/>
    <w:rsid w:val="75BB2BFD"/>
    <w:rsid w:val="75BE1F17"/>
    <w:rsid w:val="75BF1D13"/>
    <w:rsid w:val="75CB2637"/>
    <w:rsid w:val="75CD22FF"/>
    <w:rsid w:val="75D532E5"/>
    <w:rsid w:val="75D752AF"/>
    <w:rsid w:val="75DF4163"/>
    <w:rsid w:val="75F145C2"/>
    <w:rsid w:val="75F5230F"/>
    <w:rsid w:val="761B163F"/>
    <w:rsid w:val="763224E5"/>
    <w:rsid w:val="763340F0"/>
    <w:rsid w:val="764D37C3"/>
    <w:rsid w:val="765E32DA"/>
    <w:rsid w:val="76B81653"/>
    <w:rsid w:val="76E9529A"/>
    <w:rsid w:val="7705113B"/>
    <w:rsid w:val="770D392A"/>
    <w:rsid w:val="7710223A"/>
    <w:rsid w:val="7742433F"/>
    <w:rsid w:val="778615D8"/>
    <w:rsid w:val="77905A67"/>
    <w:rsid w:val="77961161"/>
    <w:rsid w:val="77992A2F"/>
    <w:rsid w:val="77996CC0"/>
    <w:rsid w:val="779F3DE9"/>
    <w:rsid w:val="77A64117"/>
    <w:rsid w:val="77AA0B1F"/>
    <w:rsid w:val="77CA50CB"/>
    <w:rsid w:val="78047EB1"/>
    <w:rsid w:val="78164848"/>
    <w:rsid w:val="782567A5"/>
    <w:rsid w:val="78670B6C"/>
    <w:rsid w:val="787C544D"/>
    <w:rsid w:val="788A485A"/>
    <w:rsid w:val="78A3591C"/>
    <w:rsid w:val="78A71DBF"/>
    <w:rsid w:val="78AC1CA3"/>
    <w:rsid w:val="78AD7E32"/>
    <w:rsid w:val="78C85C21"/>
    <w:rsid w:val="78E21FA1"/>
    <w:rsid w:val="78E51A91"/>
    <w:rsid w:val="78ED6446"/>
    <w:rsid w:val="78F16688"/>
    <w:rsid w:val="78F230ED"/>
    <w:rsid w:val="790E7239"/>
    <w:rsid w:val="79102FB2"/>
    <w:rsid w:val="79106264"/>
    <w:rsid w:val="79354F23"/>
    <w:rsid w:val="794C38BE"/>
    <w:rsid w:val="79537342"/>
    <w:rsid w:val="79607EAC"/>
    <w:rsid w:val="7971043B"/>
    <w:rsid w:val="797118DE"/>
    <w:rsid w:val="797D7F1B"/>
    <w:rsid w:val="798017B9"/>
    <w:rsid w:val="798A150A"/>
    <w:rsid w:val="79CD2C51"/>
    <w:rsid w:val="79E61F64"/>
    <w:rsid w:val="7A1E34AC"/>
    <w:rsid w:val="7A2E4F39"/>
    <w:rsid w:val="7A4078C7"/>
    <w:rsid w:val="7A4B453E"/>
    <w:rsid w:val="7A5A5398"/>
    <w:rsid w:val="7A6020D1"/>
    <w:rsid w:val="7A7C4677"/>
    <w:rsid w:val="7A996FD7"/>
    <w:rsid w:val="7A9A5FC9"/>
    <w:rsid w:val="7ADE49EA"/>
    <w:rsid w:val="7AE85672"/>
    <w:rsid w:val="7B187FAA"/>
    <w:rsid w:val="7B234B9D"/>
    <w:rsid w:val="7B4220D4"/>
    <w:rsid w:val="7B476A33"/>
    <w:rsid w:val="7B66335D"/>
    <w:rsid w:val="7B8E622C"/>
    <w:rsid w:val="7B95154C"/>
    <w:rsid w:val="7B9854E0"/>
    <w:rsid w:val="7B9F23CB"/>
    <w:rsid w:val="7BA619AB"/>
    <w:rsid w:val="7BBA5457"/>
    <w:rsid w:val="7BC22BFF"/>
    <w:rsid w:val="7BC95407"/>
    <w:rsid w:val="7BD36518"/>
    <w:rsid w:val="7BD742F0"/>
    <w:rsid w:val="7BE35CBC"/>
    <w:rsid w:val="7BE73D72"/>
    <w:rsid w:val="7BFD3595"/>
    <w:rsid w:val="7C273B24"/>
    <w:rsid w:val="7C2A25DC"/>
    <w:rsid w:val="7C336FB7"/>
    <w:rsid w:val="7C43369E"/>
    <w:rsid w:val="7C5F2EA5"/>
    <w:rsid w:val="7C701245"/>
    <w:rsid w:val="7C892AAF"/>
    <w:rsid w:val="7C943EFA"/>
    <w:rsid w:val="7CA331DB"/>
    <w:rsid w:val="7CB37868"/>
    <w:rsid w:val="7CB63E70"/>
    <w:rsid w:val="7CC876FF"/>
    <w:rsid w:val="7CDF6B6E"/>
    <w:rsid w:val="7D006E99"/>
    <w:rsid w:val="7D070E10"/>
    <w:rsid w:val="7D0938C2"/>
    <w:rsid w:val="7D0A5F6A"/>
    <w:rsid w:val="7D1B3CD3"/>
    <w:rsid w:val="7D1D1A03"/>
    <w:rsid w:val="7D24527D"/>
    <w:rsid w:val="7D45285A"/>
    <w:rsid w:val="7D483C18"/>
    <w:rsid w:val="7D4E2653"/>
    <w:rsid w:val="7D5947FB"/>
    <w:rsid w:val="7D642AC1"/>
    <w:rsid w:val="7D6768E5"/>
    <w:rsid w:val="7D676F18"/>
    <w:rsid w:val="7D762947"/>
    <w:rsid w:val="7D851A94"/>
    <w:rsid w:val="7DBA2679"/>
    <w:rsid w:val="7DBD3626"/>
    <w:rsid w:val="7DC96F46"/>
    <w:rsid w:val="7DDE37DF"/>
    <w:rsid w:val="7DE20C95"/>
    <w:rsid w:val="7DEC566F"/>
    <w:rsid w:val="7DF32EA2"/>
    <w:rsid w:val="7DFD787D"/>
    <w:rsid w:val="7E0C716E"/>
    <w:rsid w:val="7E1B090D"/>
    <w:rsid w:val="7E313F70"/>
    <w:rsid w:val="7E340930"/>
    <w:rsid w:val="7E3F4248"/>
    <w:rsid w:val="7E413C0D"/>
    <w:rsid w:val="7E655B4E"/>
    <w:rsid w:val="7E7F2FEF"/>
    <w:rsid w:val="7E8423E7"/>
    <w:rsid w:val="7E950D42"/>
    <w:rsid w:val="7E991900"/>
    <w:rsid w:val="7ECD54A1"/>
    <w:rsid w:val="7EE07A9F"/>
    <w:rsid w:val="7EF61719"/>
    <w:rsid w:val="7F2A644F"/>
    <w:rsid w:val="7F327676"/>
    <w:rsid w:val="7F385010"/>
    <w:rsid w:val="7F3C5F66"/>
    <w:rsid w:val="7F741DC0"/>
    <w:rsid w:val="7F842D09"/>
    <w:rsid w:val="7F853FCE"/>
    <w:rsid w:val="7F8F6BFA"/>
    <w:rsid w:val="7FB36445"/>
    <w:rsid w:val="7FD10FC1"/>
    <w:rsid w:val="7FDA38C0"/>
    <w:rsid w:val="7FDD6DE5"/>
    <w:rsid w:val="7FF20E2D"/>
    <w:rsid w:val="7FF52F0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qFormat="1" w:unhideWhenUsed="0" w:uiPriority="0" w:semiHidden="0" w:name="index 8"/>
    <w:lsdException w:uiPriority="99" w:name="index 9"/>
    <w:lsdException w:qFormat="1" w:unhideWhenUsed="0" w:uiPriority="39" w:semiHidden="0" w:name="toc 1"/>
    <w:lsdException w:qFormat="1" w:unhideWhenUsed="0"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qFormat="1" w:unhideWhenUsed="0" w:uiPriority="0" w:semiHidden="0" w:name="footnote text"/>
    <w:lsdException w:qFormat="1"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99" w:name="Note Heading"/>
    <w:lsdException w:qFormat="1" w:uiPriority="99" w:semiHidden="0"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uiPriority="99" w:name="HTML Keyboard"/>
    <w:lsdException w:uiPriority="99" w:name="HTML Preformatted"/>
    <w:lsdException w:uiPriority="99" w:name="HTML Sample"/>
    <w:lsdException w:uiPriority="99" w:name="HTML Typewriter"/>
    <w:lsdException w:qFormat="1" w:uiPriority="99"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6"/>
    <w:qFormat/>
    <w:uiPriority w:val="0"/>
    <w:pPr>
      <w:keepNext/>
      <w:keepLines/>
      <w:adjustRightInd w:val="0"/>
      <w:spacing w:before="120" w:line="360" w:lineRule="auto"/>
      <w:ind w:left="284"/>
      <w:textAlignment w:val="baseline"/>
      <w:outlineLvl w:val="0"/>
    </w:pPr>
    <w:rPr>
      <w:rFonts w:eastAsia="黑体"/>
      <w:color w:val="000000"/>
      <w:kern w:val="44"/>
      <w:sz w:val="36"/>
      <w:szCs w:val="20"/>
    </w:rPr>
  </w:style>
  <w:style w:type="paragraph" w:styleId="4">
    <w:name w:val="heading 2"/>
    <w:basedOn w:val="1"/>
    <w:next w:val="1"/>
    <w:link w:val="47"/>
    <w:qFormat/>
    <w:uiPriority w:val="0"/>
    <w:pPr>
      <w:keepNext/>
      <w:numPr>
        <w:ilvl w:val="1"/>
        <w:numId w:val="1"/>
      </w:numPr>
      <w:adjustRightInd w:val="0"/>
      <w:spacing w:before="120" w:line="360" w:lineRule="auto"/>
      <w:textAlignment w:val="baseline"/>
      <w:outlineLvl w:val="1"/>
    </w:pPr>
    <w:rPr>
      <w:rFonts w:eastAsia="黑体"/>
      <w:b/>
      <w:kern w:val="0"/>
      <w:sz w:val="28"/>
      <w:szCs w:val="20"/>
    </w:rPr>
  </w:style>
  <w:style w:type="paragraph" w:styleId="5">
    <w:name w:val="heading 3"/>
    <w:basedOn w:val="1"/>
    <w:next w:val="1"/>
    <w:link w:val="48"/>
    <w:qFormat/>
    <w:uiPriority w:val="0"/>
    <w:pPr>
      <w:numPr>
        <w:ilvl w:val="2"/>
        <w:numId w:val="1"/>
      </w:numPr>
      <w:tabs>
        <w:tab w:val="left" w:pos="900"/>
      </w:tabs>
      <w:adjustRightInd w:val="0"/>
      <w:spacing w:before="120" w:line="360" w:lineRule="auto"/>
      <w:textAlignment w:val="baseline"/>
      <w:outlineLvl w:val="2"/>
    </w:pPr>
    <w:rPr>
      <w:rFonts w:eastAsia="黑体"/>
      <w:b/>
      <w:kern w:val="0"/>
      <w:sz w:val="28"/>
      <w:szCs w:val="20"/>
    </w:rPr>
  </w:style>
  <w:style w:type="paragraph" w:styleId="2">
    <w:name w:val="heading 4"/>
    <w:basedOn w:val="1"/>
    <w:next w:val="1"/>
    <w:link w:val="49"/>
    <w:qFormat/>
    <w:uiPriority w:val="0"/>
    <w:pPr>
      <w:numPr>
        <w:ilvl w:val="3"/>
        <w:numId w:val="1"/>
      </w:numPr>
      <w:adjustRightInd w:val="0"/>
      <w:spacing w:before="120" w:line="360" w:lineRule="auto"/>
      <w:textAlignment w:val="baseline"/>
      <w:outlineLvl w:val="3"/>
    </w:pPr>
    <w:rPr>
      <w:rFonts w:ascii="Arial" w:eastAsia="黑体"/>
      <w:kern w:val="0"/>
      <w:sz w:val="28"/>
      <w:szCs w:val="20"/>
    </w:rPr>
  </w:style>
  <w:style w:type="paragraph" w:styleId="6">
    <w:name w:val="heading 9"/>
    <w:basedOn w:val="1"/>
    <w:next w:val="1"/>
    <w:link w:val="50"/>
    <w:qFormat/>
    <w:uiPriority w:val="0"/>
    <w:pPr>
      <w:numPr>
        <w:ilvl w:val="8"/>
        <w:numId w:val="2"/>
      </w:numPr>
      <w:outlineLvl w:val="8"/>
    </w:pPr>
    <w:rPr>
      <w:szCs w:val="21"/>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7">
    <w:name w:val="index 8"/>
    <w:basedOn w:val="1"/>
    <w:next w:val="1"/>
    <w:qFormat/>
    <w:uiPriority w:val="0"/>
    <w:pPr>
      <w:ind w:left="2940"/>
    </w:pPr>
  </w:style>
  <w:style w:type="paragraph" w:styleId="8">
    <w:name w:val="Normal Indent"/>
    <w:unhideWhenUsed/>
    <w:qFormat/>
    <w:uiPriority w:val="0"/>
    <w:pPr>
      <w:widowControl w:val="0"/>
      <w:spacing w:line="360" w:lineRule="auto"/>
      <w:ind w:firstLine="420"/>
      <w:jc w:val="both"/>
    </w:pPr>
    <w:rPr>
      <w:rFonts w:ascii="宋体" w:hAnsi="宋体" w:eastAsia="楷体_GB2312" w:cs="Times New Roman"/>
      <w:kern w:val="2"/>
      <w:sz w:val="24"/>
      <w:szCs w:val="28"/>
      <w:lang w:val="en-US" w:eastAsia="zh-CN" w:bidi="ar-SA"/>
    </w:rPr>
  </w:style>
  <w:style w:type="paragraph" w:styleId="9">
    <w:name w:val="Document Map"/>
    <w:basedOn w:val="1"/>
    <w:link w:val="53"/>
    <w:qFormat/>
    <w:uiPriority w:val="0"/>
    <w:rPr>
      <w:rFonts w:ascii="宋体"/>
      <w:sz w:val="18"/>
      <w:szCs w:val="18"/>
    </w:rPr>
  </w:style>
  <w:style w:type="paragraph" w:styleId="10">
    <w:name w:val="annotation text"/>
    <w:basedOn w:val="1"/>
    <w:link w:val="51"/>
    <w:unhideWhenUsed/>
    <w:qFormat/>
    <w:uiPriority w:val="0"/>
    <w:pPr>
      <w:jc w:val="left"/>
    </w:pPr>
  </w:style>
  <w:style w:type="paragraph" w:styleId="11">
    <w:name w:val="Body Text"/>
    <w:basedOn w:val="1"/>
    <w:next w:val="12"/>
    <w:link w:val="54"/>
    <w:qFormat/>
    <w:uiPriority w:val="0"/>
    <w:pPr>
      <w:spacing w:after="120"/>
    </w:pPr>
  </w:style>
  <w:style w:type="paragraph" w:styleId="12">
    <w:name w:val="Body Text 2"/>
    <w:basedOn w:val="1"/>
    <w:next w:val="11"/>
    <w:unhideWhenUsed/>
    <w:qFormat/>
    <w:uiPriority w:val="99"/>
    <w:pPr>
      <w:widowControl w:val="0"/>
      <w:spacing w:after="120" w:line="480" w:lineRule="auto"/>
      <w:jc w:val="both"/>
    </w:pPr>
    <w:rPr>
      <w:rFonts w:ascii="Calibri" w:hAnsi="Calibri" w:eastAsia="宋体" w:cs="Times New Roman"/>
      <w:kern w:val="2"/>
      <w:sz w:val="21"/>
      <w:szCs w:val="22"/>
      <w:lang w:val="en-US" w:eastAsia="zh-CN" w:bidi="ar-SA"/>
    </w:rPr>
  </w:style>
  <w:style w:type="paragraph" w:styleId="13">
    <w:name w:val="Body Text Indent"/>
    <w:basedOn w:val="1"/>
    <w:next w:val="1"/>
    <w:link w:val="55"/>
    <w:qFormat/>
    <w:uiPriority w:val="0"/>
    <w:pPr>
      <w:spacing w:line="200" w:lineRule="exact"/>
      <w:ind w:firstLine="301"/>
    </w:pPr>
    <w:rPr>
      <w:rFonts w:ascii="宋体" w:hAnsi="Courier New"/>
      <w:spacing w:val="-4"/>
      <w:sz w:val="18"/>
      <w:szCs w:val="20"/>
    </w:rPr>
  </w:style>
  <w:style w:type="paragraph" w:styleId="14">
    <w:name w:val="toc 3"/>
    <w:basedOn w:val="1"/>
    <w:next w:val="1"/>
    <w:unhideWhenUsed/>
    <w:qFormat/>
    <w:uiPriority w:val="39"/>
    <w:pPr>
      <w:widowControl/>
      <w:spacing w:after="100" w:line="276" w:lineRule="auto"/>
      <w:ind w:left="440"/>
      <w:jc w:val="left"/>
    </w:pPr>
    <w:rPr>
      <w:rFonts w:ascii="Calibri" w:hAnsi="Calibri"/>
      <w:kern w:val="0"/>
      <w:sz w:val="22"/>
      <w:szCs w:val="22"/>
    </w:rPr>
  </w:style>
  <w:style w:type="paragraph" w:styleId="15">
    <w:name w:val="Plain Text"/>
    <w:basedOn w:val="1"/>
    <w:next w:val="2"/>
    <w:link w:val="56"/>
    <w:qFormat/>
    <w:uiPriority w:val="0"/>
    <w:rPr>
      <w:rFonts w:ascii="宋体" w:hAnsi="Courier New"/>
      <w:szCs w:val="20"/>
    </w:rPr>
  </w:style>
  <w:style w:type="paragraph" w:styleId="16">
    <w:name w:val="Date"/>
    <w:basedOn w:val="1"/>
    <w:next w:val="1"/>
    <w:link w:val="57"/>
    <w:qFormat/>
    <w:uiPriority w:val="0"/>
  </w:style>
  <w:style w:type="paragraph" w:styleId="17">
    <w:name w:val="Body Text Indent 2"/>
    <w:basedOn w:val="1"/>
    <w:link w:val="58"/>
    <w:qFormat/>
    <w:uiPriority w:val="0"/>
    <w:pPr>
      <w:spacing w:after="120" w:line="480" w:lineRule="auto"/>
      <w:ind w:left="420" w:leftChars="200"/>
    </w:pPr>
  </w:style>
  <w:style w:type="paragraph" w:styleId="18">
    <w:name w:val="Balloon Text"/>
    <w:basedOn w:val="1"/>
    <w:link w:val="59"/>
    <w:semiHidden/>
    <w:qFormat/>
    <w:uiPriority w:val="0"/>
    <w:rPr>
      <w:sz w:val="18"/>
      <w:szCs w:val="18"/>
    </w:rPr>
  </w:style>
  <w:style w:type="paragraph" w:styleId="19">
    <w:name w:val="footer"/>
    <w:basedOn w:val="1"/>
    <w:next w:val="1"/>
    <w:link w:val="60"/>
    <w:qFormat/>
    <w:uiPriority w:val="99"/>
    <w:pPr>
      <w:tabs>
        <w:tab w:val="center" w:pos="4153"/>
        <w:tab w:val="right" w:pos="8306"/>
      </w:tabs>
      <w:snapToGrid w:val="0"/>
      <w:jc w:val="left"/>
    </w:pPr>
    <w:rPr>
      <w:sz w:val="18"/>
      <w:szCs w:val="18"/>
    </w:rPr>
  </w:style>
  <w:style w:type="paragraph" w:styleId="20">
    <w:name w:val="header"/>
    <w:basedOn w:val="1"/>
    <w:link w:val="61"/>
    <w:qFormat/>
    <w:uiPriority w:val="0"/>
    <w:pPr>
      <w:pBdr>
        <w:bottom w:val="single" w:color="auto" w:sz="6" w:space="1"/>
      </w:pBdr>
      <w:tabs>
        <w:tab w:val="center" w:pos="4153"/>
        <w:tab w:val="right" w:pos="8306"/>
      </w:tabs>
      <w:snapToGrid w:val="0"/>
      <w:jc w:val="center"/>
    </w:pPr>
    <w:rPr>
      <w:sz w:val="18"/>
      <w:szCs w:val="18"/>
    </w:rPr>
  </w:style>
  <w:style w:type="paragraph" w:styleId="21">
    <w:name w:val="toc 1"/>
    <w:basedOn w:val="1"/>
    <w:next w:val="1"/>
    <w:qFormat/>
    <w:uiPriority w:val="39"/>
    <w:pPr>
      <w:spacing w:before="120" w:after="120"/>
      <w:jc w:val="left"/>
      <w:outlineLvl w:val="0"/>
    </w:pPr>
    <w:rPr>
      <w:b/>
      <w:color w:val="000000"/>
      <w:sz w:val="48"/>
      <w:szCs w:val="48"/>
    </w:rPr>
  </w:style>
  <w:style w:type="paragraph" w:styleId="22">
    <w:name w:val="footnote text"/>
    <w:basedOn w:val="1"/>
    <w:next w:val="23"/>
    <w:qFormat/>
    <w:uiPriority w:val="0"/>
    <w:pPr>
      <w:widowControl/>
      <w:snapToGrid w:val="0"/>
      <w:jc w:val="left"/>
    </w:pPr>
    <w:rPr>
      <w:rFonts w:hint="eastAsia" w:ascii="Calibri" w:hAnsi="Calibri" w:eastAsia="宋体" w:cs="Times New Roman"/>
      <w:kern w:val="0"/>
      <w:sz w:val="18"/>
      <w:szCs w:val="18"/>
    </w:rPr>
  </w:style>
  <w:style w:type="paragraph" w:styleId="23">
    <w:name w:val="Body Text First Indent 2"/>
    <w:basedOn w:val="13"/>
    <w:next w:val="24"/>
    <w:qFormat/>
    <w:uiPriority w:val="0"/>
    <w:pPr>
      <w:ind w:firstLine="200" w:firstLineChars="200"/>
    </w:pPr>
    <w:rPr>
      <w:lang w:val="zh-CN"/>
    </w:rPr>
  </w:style>
  <w:style w:type="paragraph" w:styleId="24">
    <w:name w:val="Body Text First Indent"/>
    <w:basedOn w:val="11"/>
    <w:next w:val="23"/>
    <w:qFormat/>
    <w:uiPriority w:val="99"/>
    <w:pPr>
      <w:ind w:firstLine="420" w:firstLineChars="100"/>
    </w:pPr>
    <w:rPr>
      <w:rFonts w:ascii="宋体"/>
      <w:sz w:val="34"/>
      <w:szCs w:val="22"/>
    </w:rPr>
  </w:style>
  <w:style w:type="paragraph" w:styleId="25">
    <w:name w:val="toc 2"/>
    <w:basedOn w:val="1"/>
    <w:next w:val="1"/>
    <w:qFormat/>
    <w:uiPriority w:val="39"/>
    <w:pPr>
      <w:tabs>
        <w:tab w:val="right" w:leader="dot" w:pos="9628"/>
      </w:tabs>
      <w:ind w:left="420" w:firstLine="120"/>
      <w:jc w:val="left"/>
    </w:pPr>
    <w:rPr>
      <w:smallCaps/>
      <w:sz w:val="20"/>
      <w:szCs w:val="20"/>
    </w:rPr>
  </w:style>
  <w:style w:type="paragraph" w:styleId="26">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7">
    <w:name w:val="Title"/>
    <w:basedOn w:val="1"/>
    <w:next w:val="1"/>
    <w:link w:val="62"/>
    <w:qFormat/>
    <w:uiPriority w:val="0"/>
    <w:pPr>
      <w:spacing w:before="240" w:after="60"/>
      <w:jc w:val="center"/>
      <w:outlineLvl w:val="0"/>
    </w:pPr>
    <w:rPr>
      <w:rFonts w:ascii="Cambria" w:hAnsi="Cambria"/>
      <w:b/>
      <w:bCs/>
      <w:sz w:val="32"/>
      <w:szCs w:val="32"/>
    </w:rPr>
  </w:style>
  <w:style w:type="paragraph" w:styleId="28">
    <w:name w:val="annotation subject"/>
    <w:basedOn w:val="10"/>
    <w:next w:val="10"/>
    <w:link w:val="52"/>
    <w:semiHidden/>
    <w:qFormat/>
    <w:uiPriority w:val="0"/>
    <w:rPr>
      <w:b/>
      <w:bCs/>
    </w:rPr>
  </w:style>
  <w:style w:type="table" w:styleId="30">
    <w:name w:val="Table Grid"/>
    <w:basedOn w:val="2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0"/>
  </w:style>
  <w:style w:type="character" w:styleId="33">
    <w:name w:val="page number"/>
    <w:basedOn w:val="31"/>
    <w:qFormat/>
    <w:uiPriority w:val="0"/>
  </w:style>
  <w:style w:type="character" w:styleId="34">
    <w:name w:val="FollowedHyperlink"/>
    <w:basedOn w:val="31"/>
    <w:unhideWhenUsed/>
    <w:qFormat/>
    <w:uiPriority w:val="99"/>
    <w:rPr>
      <w:color w:val="666699"/>
      <w:u w:val="none"/>
    </w:rPr>
  </w:style>
  <w:style w:type="character" w:styleId="35">
    <w:name w:val="Emphasis"/>
    <w:basedOn w:val="31"/>
    <w:qFormat/>
    <w:uiPriority w:val="20"/>
  </w:style>
  <w:style w:type="character" w:styleId="36">
    <w:name w:val="HTML Definition"/>
    <w:basedOn w:val="31"/>
    <w:unhideWhenUsed/>
    <w:qFormat/>
    <w:uiPriority w:val="99"/>
  </w:style>
  <w:style w:type="character" w:styleId="37">
    <w:name w:val="HTML Acronym"/>
    <w:basedOn w:val="31"/>
    <w:unhideWhenUsed/>
    <w:qFormat/>
    <w:uiPriority w:val="99"/>
  </w:style>
  <w:style w:type="character" w:styleId="38">
    <w:name w:val="HTML Variable"/>
    <w:basedOn w:val="31"/>
    <w:unhideWhenUsed/>
    <w:qFormat/>
    <w:uiPriority w:val="99"/>
    <w:rPr>
      <w:color w:val="FFFFFF"/>
      <w:u w:val="none"/>
      <w:shd w:val="clear" w:color="auto" w:fill="FF9933"/>
    </w:rPr>
  </w:style>
  <w:style w:type="character" w:styleId="39">
    <w:name w:val="Hyperlink"/>
    <w:basedOn w:val="31"/>
    <w:qFormat/>
    <w:uiPriority w:val="99"/>
    <w:rPr>
      <w:color w:val="0000FF"/>
      <w:u w:val="none"/>
    </w:rPr>
  </w:style>
  <w:style w:type="character" w:styleId="40">
    <w:name w:val="HTML Code"/>
    <w:basedOn w:val="31"/>
    <w:unhideWhenUsed/>
    <w:qFormat/>
    <w:uiPriority w:val="99"/>
    <w:rPr>
      <w:rFonts w:ascii="Courier New" w:hAnsi="Courier New"/>
      <w:sz w:val="20"/>
    </w:rPr>
  </w:style>
  <w:style w:type="character" w:styleId="41">
    <w:name w:val="annotation reference"/>
    <w:semiHidden/>
    <w:qFormat/>
    <w:uiPriority w:val="0"/>
    <w:rPr>
      <w:sz w:val="21"/>
      <w:szCs w:val="21"/>
    </w:rPr>
  </w:style>
  <w:style w:type="character" w:styleId="42">
    <w:name w:val="HTML Cite"/>
    <w:basedOn w:val="31"/>
    <w:unhideWhenUsed/>
    <w:qFormat/>
    <w:uiPriority w:val="99"/>
  </w:style>
  <w:style w:type="paragraph" w:customStyle="1" w:styleId="43">
    <w:name w:val="样式 标题 2 + 宋体"/>
    <w:basedOn w:val="4"/>
    <w:qFormat/>
    <w:uiPriority w:val="99"/>
    <w:rPr>
      <w:rFonts w:ascii="宋体" w:hAnsi="宋体"/>
      <w:sz w:val="30"/>
    </w:rPr>
  </w:style>
  <w:style w:type="paragraph" w:styleId="44">
    <w:name w:val="Quote"/>
    <w:next w:val="1"/>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paragraph" w:customStyle="1" w:styleId="45">
    <w:name w:val="表格文字"/>
    <w:basedOn w:val="1"/>
    <w:qFormat/>
    <w:uiPriority w:val="99"/>
    <w:pPr>
      <w:spacing w:before="25" w:after="25"/>
      <w:jc w:val="left"/>
    </w:pPr>
    <w:rPr>
      <w:bCs/>
      <w:spacing w:val="10"/>
      <w:kern w:val="0"/>
      <w:sz w:val="24"/>
      <w:szCs w:val="20"/>
    </w:rPr>
  </w:style>
  <w:style w:type="character" w:customStyle="1" w:styleId="46">
    <w:name w:val="标题 1 字符"/>
    <w:basedOn w:val="31"/>
    <w:link w:val="3"/>
    <w:qFormat/>
    <w:uiPriority w:val="0"/>
    <w:rPr>
      <w:rFonts w:ascii="Times New Roman" w:hAnsi="Times New Roman" w:eastAsia="黑体" w:cs="Times New Roman"/>
      <w:color w:val="000000"/>
      <w:kern w:val="44"/>
      <w:sz w:val="36"/>
      <w:szCs w:val="20"/>
    </w:rPr>
  </w:style>
  <w:style w:type="character" w:customStyle="1" w:styleId="47">
    <w:name w:val="标题 2 字符"/>
    <w:basedOn w:val="31"/>
    <w:link w:val="4"/>
    <w:qFormat/>
    <w:uiPriority w:val="0"/>
    <w:rPr>
      <w:rFonts w:ascii="Times New Roman" w:hAnsi="Times New Roman" w:eastAsia="黑体" w:cs="Times New Roman"/>
      <w:b/>
      <w:kern w:val="0"/>
      <w:sz w:val="28"/>
      <w:szCs w:val="20"/>
    </w:rPr>
  </w:style>
  <w:style w:type="character" w:customStyle="1" w:styleId="48">
    <w:name w:val="标题 3 字符"/>
    <w:basedOn w:val="31"/>
    <w:link w:val="5"/>
    <w:qFormat/>
    <w:uiPriority w:val="0"/>
    <w:rPr>
      <w:rFonts w:ascii="Times New Roman" w:hAnsi="Times New Roman" w:eastAsia="黑体" w:cs="Times New Roman"/>
      <w:b/>
      <w:kern w:val="0"/>
      <w:sz w:val="28"/>
      <w:szCs w:val="20"/>
    </w:rPr>
  </w:style>
  <w:style w:type="character" w:customStyle="1" w:styleId="49">
    <w:name w:val="标题 4 字符"/>
    <w:basedOn w:val="31"/>
    <w:link w:val="2"/>
    <w:qFormat/>
    <w:uiPriority w:val="0"/>
    <w:rPr>
      <w:rFonts w:ascii="Arial" w:hAnsi="Times New Roman" w:eastAsia="黑体" w:cs="Times New Roman"/>
      <w:kern w:val="0"/>
      <w:sz w:val="28"/>
      <w:szCs w:val="20"/>
    </w:rPr>
  </w:style>
  <w:style w:type="character" w:customStyle="1" w:styleId="50">
    <w:name w:val="标题 9 字符"/>
    <w:basedOn w:val="31"/>
    <w:link w:val="6"/>
    <w:qFormat/>
    <w:uiPriority w:val="0"/>
    <w:rPr>
      <w:rFonts w:ascii="Times New Roman" w:hAnsi="Times New Roman" w:eastAsia="宋体" w:cs="Times New Roman"/>
      <w:szCs w:val="21"/>
    </w:rPr>
  </w:style>
  <w:style w:type="character" w:customStyle="1" w:styleId="51">
    <w:name w:val="批注文字 字符"/>
    <w:basedOn w:val="31"/>
    <w:link w:val="10"/>
    <w:qFormat/>
    <w:uiPriority w:val="0"/>
    <w:rPr>
      <w:rFonts w:ascii="Times New Roman" w:hAnsi="Times New Roman" w:eastAsia="宋体" w:cs="Times New Roman"/>
      <w:szCs w:val="24"/>
    </w:rPr>
  </w:style>
  <w:style w:type="character" w:customStyle="1" w:styleId="52">
    <w:name w:val="批注主题 字符"/>
    <w:basedOn w:val="51"/>
    <w:link w:val="28"/>
    <w:semiHidden/>
    <w:qFormat/>
    <w:uiPriority w:val="0"/>
    <w:rPr>
      <w:rFonts w:ascii="Times New Roman" w:hAnsi="Times New Roman" w:eastAsia="宋体" w:cs="Times New Roman"/>
      <w:b/>
      <w:bCs/>
      <w:szCs w:val="24"/>
    </w:rPr>
  </w:style>
  <w:style w:type="character" w:customStyle="1" w:styleId="53">
    <w:name w:val="文档结构图 字符"/>
    <w:basedOn w:val="31"/>
    <w:link w:val="9"/>
    <w:qFormat/>
    <w:uiPriority w:val="0"/>
    <w:rPr>
      <w:rFonts w:ascii="宋体" w:hAnsi="Times New Roman" w:eastAsia="宋体" w:cs="Times New Roman"/>
      <w:sz w:val="18"/>
      <w:szCs w:val="18"/>
    </w:rPr>
  </w:style>
  <w:style w:type="character" w:customStyle="1" w:styleId="54">
    <w:name w:val="正文文本 字符"/>
    <w:basedOn w:val="31"/>
    <w:link w:val="11"/>
    <w:qFormat/>
    <w:uiPriority w:val="0"/>
    <w:rPr>
      <w:rFonts w:ascii="Times New Roman" w:hAnsi="Times New Roman" w:eastAsia="宋体" w:cs="Times New Roman"/>
      <w:szCs w:val="24"/>
    </w:rPr>
  </w:style>
  <w:style w:type="character" w:customStyle="1" w:styleId="55">
    <w:name w:val="正文文本缩进 字符"/>
    <w:basedOn w:val="31"/>
    <w:link w:val="13"/>
    <w:qFormat/>
    <w:uiPriority w:val="0"/>
    <w:rPr>
      <w:rFonts w:ascii="宋体" w:hAnsi="Courier New" w:eastAsia="宋体" w:cs="Times New Roman"/>
      <w:spacing w:val="-4"/>
      <w:sz w:val="18"/>
      <w:szCs w:val="20"/>
    </w:rPr>
  </w:style>
  <w:style w:type="character" w:customStyle="1" w:styleId="56">
    <w:name w:val="纯文本 字符"/>
    <w:basedOn w:val="31"/>
    <w:link w:val="15"/>
    <w:qFormat/>
    <w:uiPriority w:val="0"/>
    <w:rPr>
      <w:rFonts w:ascii="宋体" w:hAnsi="Courier New" w:eastAsia="宋体" w:cs="Times New Roman"/>
      <w:szCs w:val="20"/>
    </w:rPr>
  </w:style>
  <w:style w:type="character" w:customStyle="1" w:styleId="57">
    <w:name w:val="日期 字符"/>
    <w:basedOn w:val="31"/>
    <w:link w:val="16"/>
    <w:qFormat/>
    <w:uiPriority w:val="0"/>
    <w:rPr>
      <w:rFonts w:ascii="Times New Roman" w:hAnsi="Times New Roman" w:eastAsia="宋体" w:cs="Times New Roman"/>
      <w:szCs w:val="24"/>
    </w:rPr>
  </w:style>
  <w:style w:type="character" w:customStyle="1" w:styleId="58">
    <w:name w:val="正文文本缩进 2 字符"/>
    <w:basedOn w:val="31"/>
    <w:link w:val="17"/>
    <w:qFormat/>
    <w:uiPriority w:val="0"/>
    <w:rPr>
      <w:rFonts w:ascii="Times New Roman" w:hAnsi="Times New Roman" w:eastAsia="宋体" w:cs="Times New Roman"/>
      <w:szCs w:val="24"/>
    </w:rPr>
  </w:style>
  <w:style w:type="character" w:customStyle="1" w:styleId="59">
    <w:name w:val="批注框文本 字符"/>
    <w:basedOn w:val="31"/>
    <w:link w:val="18"/>
    <w:semiHidden/>
    <w:qFormat/>
    <w:uiPriority w:val="0"/>
    <w:rPr>
      <w:rFonts w:ascii="Times New Roman" w:hAnsi="Times New Roman" w:eastAsia="宋体" w:cs="Times New Roman"/>
      <w:sz w:val="18"/>
      <w:szCs w:val="18"/>
    </w:rPr>
  </w:style>
  <w:style w:type="character" w:customStyle="1" w:styleId="60">
    <w:name w:val="页脚 字符"/>
    <w:basedOn w:val="31"/>
    <w:link w:val="19"/>
    <w:qFormat/>
    <w:uiPriority w:val="99"/>
    <w:rPr>
      <w:rFonts w:ascii="Times New Roman" w:hAnsi="Times New Roman" w:eastAsia="宋体" w:cs="Times New Roman"/>
      <w:sz w:val="18"/>
      <w:szCs w:val="18"/>
    </w:rPr>
  </w:style>
  <w:style w:type="character" w:customStyle="1" w:styleId="61">
    <w:name w:val="页眉 字符"/>
    <w:basedOn w:val="31"/>
    <w:link w:val="20"/>
    <w:qFormat/>
    <w:uiPriority w:val="0"/>
    <w:rPr>
      <w:rFonts w:ascii="Times New Roman" w:hAnsi="Times New Roman" w:eastAsia="宋体" w:cs="Times New Roman"/>
      <w:sz w:val="18"/>
      <w:szCs w:val="18"/>
    </w:rPr>
  </w:style>
  <w:style w:type="character" w:customStyle="1" w:styleId="62">
    <w:name w:val="标题 字符"/>
    <w:basedOn w:val="31"/>
    <w:link w:val="27"/>
    <w:qFormat/>
    <w:uiPriority w:val="0"/>
    <w:rPr>
      <w:rFonts w:ascii="Cambria" w:hAnsi="Cambria" w:eastAsia="宋体" w:cs="Times New Roman"/>
      <w:b/>
      <w:bCs/>
      <w:sz w:val="32"/>
      <w:szCs w:val="32"/>
    </w:rPr>
  </w:style>
  <w:style w:type="paragraph" w:customStyle="1" w:styleId="63">
    <w:name w:val="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64">
    <w:name w:val="正文段"/>
    <w:basedOn w:val="1"/>
    <w:qFormat/>
    <w:uiPriority w:val="0"/>
    <w:pPr>
      <w:widowControl/>
      <w:snapToGrid w:val="0"/>
      <w:spacing w:afterLines="50"/>
      <w:ind w:firstLine="200" w:firstLineChars="200"/>
    </w:pPr>
    <w:rPr>
      <w:kern w:val="0"/>
      <w:sz w:val="24"/>
      <w:szCs w:val="20"/>
    </w:rPr>
  </w:style>
  <w:style w:type="paragraph" w:customStyle="1" w:styleId="65">
    <w:name w:val="Char Char Char Char Char Char Char"/>
    <w:basedOn w:val="1"/>
    <w:qFormat/>
    <w:uiPriority w:val="0"/>
    <w:rPr>
      <w:szCs w:val="21"/>
    </w:rPr>
  </w:style>
  <w:style w:type="paragraph" w:customStyle="1" w:styleId="66">
    <w:name w:val="Char"/>
    <w:basedOn w:val="1"/>
    <w:qFormat/>
    <w:uiPriority w:val="0"/>
    <w:rPr>
      <w:szCs w:val="21"/>
    </w:rPr>
  </w:style>
  <w:style w:type="paragraph" w:customStyle="1" w:styleId="67">
    <w:name w:val="Char Char Char1"/>
    <w:basedOn w:val="1"/>
    <w:qFormat/>
    <w:uiPriority w:val="0"/>
    <w:rPr>
      <w:rFonts w:ascii="Tahoma" w:hAnsi="Tahoma"/>
      <w:sz w:val="24"/>
      <w:szCs w:val="20"/>
    </w:rPr>
  </w:style>
  <w:style w:type="paragraph" w:customStyle="1" w:styleId="68">
    <w:name w:val="_Style 33"/>
    <w:basedOn w:val="3"/>
    <w:next w:val="1"/>
    <w:unhideWhenUsed/>
    <w:qFormat/>
    <w:uiPriority w:val="39"/>
    <w:pPr>
      <w:widowControl/>
      <w:adjustRightInd/>
      <w:spacing w:before="480" w:line="276" w:lineRule="auto"/>
      <w:ind w:left="0"/>
      <w:jc w:val="left"/>
      <w:textAlignment w:val="auto"/>
      <w:outlineLvl w:val="9"/>
    </w:pPr>
    <w:rPr>
      <w:rFonts w:ascii="Cambria" w:hAnsi="Cambria" w:eastAsia="宋体"/>
      <w:bCs/>
      <w:color w:val="365F91"/>
      <w:kern w:val="0"/>
      <w:szCs w:val="28"/>
    </w:rPr>
  </w:style>
  <w:style w:type="character" w:customStyle="1" w:styleId="69">
    <w:name w:val="纯文本 Char2"/>
    <w:qFormat/>
    <w:uiPriority w:val="0"/>
    <w:rPr>
      <w:rFonts w:ascii="宋体" w:hAnsi="Courier New" w:eastAsia="宋体"/>
      <w:kern w:val="2"/>
      <w:sz w:val="21"/>
      <w:lang w:val="en-US" w:eastAsia="zh-CN" w:bidi="ar-SA"/>
    </w:rPr>
  </w:style>
  <w:style w:type="paragraph" w:customStyle="1" w:styleId="70">
    <w:name w:val="p16"/>
    <w:basedOn w:val="1"/>
    <w:qFormat/>
    <w:uiPriority w:val="0"/>
    <w:pPr>
      <w:widowControl/>
    </w:pPr>
    <w:rPr>
      <w:rFonts w:ascii="宋体" w:hAnsi="宋体" w:cs="宋体"/>
      <w:kern w:val="0"/>
      <w:szCs w:val="21"/>
    </w:rPr>
  </w:style>
  <w:style w:type="paragraph" w:customStyle="1" w:styleId="71">
    <w:name w:val="列出段落1"/>
    <w:basedOn w:val="1"/>
    <w:unhideWhenUsed/>
    <w:qFormat/>
    <w:uiPriority w:val="34"/>
    <w:pPr>
      <w:ind w:firstLine="420" w:firstLineChars="200"/>
    </w:pPr>
  </w:style>
  <w:style w:type="character" w:customStyle="1" w:styleId="72">
    <w:name w:val="纯文本 Char1"/>
    <w:qFormat/>
    <w:uiPriority w:val="0"/>
    <w:rPr>
      <w:rFonts w:ascii="宋体" w:hAnsi="Courier New" w:eastAsia="宋体"/>
    </w:rPr>
  </w:style>
  <w:style w:type="paragraph" w:customStyle="1" w:styleId="73">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74">
    <w:name w:val="#"/>
    <w:basedOn w:val="1"/>
    <w:qFormat/>
    <w:uiPriority w:val="0"/>
    <w:pPr>
      <w:numPr>
        <w:ilvl w:val="0"/>
        <w:numId w:val="2"/>
      </w:numPr>
      <w:tabs>
        <w:tab w:val="left" w:pos="964"/>
      </w:tabs>
      <w:spacing w:line="360" w:lineRule="auto"/>
    </w:pPr>
    <w:rPr>
      <w:sz w:val="24"/>
    </w:rPr>
  </w:style>
  <w:style w:type="paragraph" w:customStyle="1" w:styleId="75">
    <w:name w:val="列出段落2"/>
    <w:basedOn w:val="1"/>
    <w:link w:val="76"/>
    <w:unhideWhenUsed/>
    <w:qFormat/>
    <w:uiPriority w:val="0"/>
    <w:pPr>
      <w:ind w:firstLine="420" w:firstLineChars="200"/>
    </w:pPr>
  </w:style>
  <w:style w:type="character" w:customStyle="1" w:styleId="76">
    <w:name w:val="列出段落 Char"/>
    <w:link w:val="75"/>
    <w:qFormat/>
    <w:uiPriority w:val="34"/>
    <w:rPr>
      <w:rFonts w:ascii="Times New Roman" w:hAnsi="Times New Roman" w:eastAsia="宋体" w:cs="Times New Roman"/>
      <w:szCs w:val="24"/>
    </w:rPr>
  </w:style>
  <w:style w:type="paragraph" w:customStyle="1" w:styleId="77">
    <w:name w:val="列出段落21"/>
    <w:basedOn w:val="1"/>
    <w:qFormat/>
    <w:uiPriority w:val="34"/>
    <w:pPr>
      <w:ind w:firstLine="420" w:firstLineChars="200"/>
    </w:pPr>
  </w:style>
  <w:style w:type="paragraph" w:customStyle="1" w:styleId="78">
    <w:name w:val="_Style 1"/>
    <w:basedOn w:val="1"/>
    <w:qFormat/>
    <w:uiPriority w:val="34"/>
    <w:pPr>
      <w:ind w:firstLine="420" w:firstLineChars="200"/>
    </w:pPr>
  </w:style>
  <w:style w:type="character" w:customStyle="1" w:styleId="79">
    <w:name w:val="now1"/>
    <w:basedOn w:val="31"/>
    <w:qFormat/>
    <w:uiPriority w:val="0"/>
  </w:style>
  <w:style w:type="character" w:customStyle="1" w:styleId="80">
    <w:name w:val="now2"/>
    <w:basedOn w:val="31"/>
    <w:qFormat/>
    <w:uiPriority w:val="0"/>
  </w:style>
  <w:style w:type="character" w:customStyle="1" w:styleId="81">
    <w:name w:val="reason"/>
    <w:basedOn w:val="31"/>
    <w:qFormat/>
    <w:uiPriority w:val="0"/>
    <w:rPr>
      <w:color w:val="999999"/>
    </w:rPr>
  </w:style>
  <w:style w:type="character" w:customStyle="1" w:styleId="82">
    <w:name w:val="inq"/>
    <w:basedOn w:val="31"/>
    <w:qFormat/>
    <w:uiPriority w:val="0"/>
    <w:rPr>
      <w:color w:val="333333"/>
    </w:rPr>
  </w:style>
  <w:style w:type="character" w:customStyle="1" w:styleId="83">
    <w:name w:val="inq1"/>
    <w:basedOn w:val="31"/>
    <w:qFormat/>
    <w:uiPriority w:val="0"/>
  </w:style>
  <w:style w:type="character" w:customStyle="1" w:styleId="84">
    <w:name w:val="submit4"/>
    <w:basedOn w:val="31"/>
    <w:qFormat/>
    <w:uiPriority w:val="0"/>
  </w:style>
  <w:style w:type="character" w:customStyle="1" w:styleId="85">
    <w:name w:val="pl9"/>
    <w:basedOn w:val="31"/>
    <w:qFormat/>
    <w:uiPriority w:val="0"/>
  </w:style>
  <w:style w:type="character" w:customStyle="1" w:styleId="86">
    <w:name w:val="pl10"/>
    <w:basedOn w:val="31"/>
    <w:qFormat/>
    <w:uiPriority w:val="0"/>
  </w:style>
  <w:style w:type="character" w:customStyle="1" w:styleId="87">
    <w:name w:val="info"/>
    <w:basedOn w:val="31"/>
    <w:qFormat/>
    <w:uiPriority w:val="0"/>
    <w:rPr>
      <w:color w:val="666666"/>
    </w:rPr>
  </w:style>
  <w:style w:type="character" w:customStyle="1" w:styleId="88">
    <w:name w:val="up2"/>
    <w:basedOn w:val="31"/>
    <w:qFormat/>
    <w:uiPriority w:val="0"/>
  </w:style>
  <w:style w:type="character" w:customStyle="1" w:styleId="89">
    <w:name w:val="subject-rate2"/>
    <w:basedOn w:val="31"/>
    <w:qFormat/>
    <w:uiPriority w:val="0"/>
    <w:rPr>
      <w:color w:val="E09015"/>
    </w:rPr>
  </w:style>
  <w:style w:type="character" w:customStyle="1" w:styleId="90">
    <w:name w:val="up"/>
    <w:basedOn w:val="31"/>
    <w:qFormat/>
    <w:uiPriority w:val="0"/>
  </w:style>
  <w:style w:type="character" w:customStyle="1" w:styleId="91">
    <w:name w:val="now"/>
    <w:basedOn w:val="31"/>
    <w:qFormat/>
    <w:uiPriority w:val="0"/>
  </w:style>
  <w:style w:type="character" w:customStyle="1" w:styleId="92">
    <w:name w:val="submit"/>
    <w:basedOn w:val="31"/>
    <w:qFormat/>
    <w:uiPriority w:val="0"/>
    <w:rPr>
      <w:vanish/>
    </w:rPr>
  </w:style>
  <w:style w:type="character" w:customStyle="1" w:styleId="93">
    <w:name w:val="pl7"/>
    <w:basedOn w:val="31"/>
    <w:qFormat/>
    <w:uiPriority w:val="0"/>
  </w:style>
  <w:style w:type="character" w:customStyle="1" w:styleId="94">
    <w:name w:val="info12"/>
    <w:basedOn w:val="31"/>
    <w:qFormat/>
    <w:uiPriority w:val="0"/>
    <w:rPr>
      <w:color w:val="666666"/>
    </w:rPr>
  </w:style>
  <w:style w:type="character" w:customStyle="1" w:styleId="95">
    <w:name w:val="pl8"/>
    <w:basedOn w:val="31"/>
    <w:qFormat/>
    <w:uiPriority w:val="0"/>
  </w:style>
  <w:style w:type="paragraph" w:styleId="96">
    <w:name w:val="No Spacing"/>
    <w:qFormat/>
    <w:uiPriority w:val="1"/>
    <w:pPr>
      <w:widowControl w:val="0"/>
      <w:jc w:val="both"/>
    </w:pPr>
    <w:rPr>
      <w:rFonts w:ascii="Calibri" w:hAnsi="Calibri" w:eastAsia="宋体" w:cs="Times New Roman"/>
      <w:kern w:val="2"/>
      <w:sz w:val="21"/>
      <w:szCs w:val="22"/>
      <w:lang w:val="en-US" w:eastAsia="zh-CN" w:bidi="ar-SA"/>
    </w:rPr>
  </w:style>
  <w:style w:type="character" w:customStyle="1" w:styleId="97">
    <w:name w:val="正文文本1"/>
    <w:qFormat/>
    <w:uiPriority w:val="0"/>
    <w:rPr>
      <w:rFonts w:ascii="宋体" w:hAnsi="宋体" w:eastAsia="宋体" w:cs="宋体"/>
      <w:color w:val="000000"/>
      <w:spacing w:val="0"/>
      <w:w w:val="100"/>
      <w:position w:val="0"/>
      <w:sz w:val="22"/>
      <w:szCs w:val="22"/>
      <w:u w:val="none"/>
      <w:shd w:val="clear" w:color="auto" w:fill="FFFFFF"/>
      <w:lang w:val="zh-CN"/>
    </w:rPr>
  </w:style>
  <w:style w:type="character" w:customStyle="1" w:styleId="98">
    <w:name w:val="正文文本 + Gungsuh"/>
    <w:basedOn w:val="99"/>
    <w:qFormat/>
    <w:uiPriority w:val="0"/>
    <w:rPr>
      <w:rFonts w:ascii="Gungsuh" w:hAnsi="Gungsuh" w:eastAsia="Gungsuh" w:cs="Gungsuh"/>
      <w:color w:val="000000"/>
      <w:spacing w:val="0"/>
      <w:w w:val="100"/>
      <w:kern w:val="0"/>
      <w:position w:val="0"/>
      <w:sz w:val="19"/>
      <w:szCs w:val="19"/>
      <w:u w:val="none"/>
      <w:shd w:val="clear" w:color="auto" w:fill="FFFFFF"/>
      <w:lang w:val="zh-CN"/>
    </w:rPr>
  </w:style>
  <w:style w:type="character" w:customStyle="1" w:styleId="99">
    <w:name w:val="正文文本_"/>
    <w:basedOn w:val="31"/>
    <w:link w:val="100"/>
    <w:qFormat/>
    <w:uiPriority w:val="0"/>
    <w:rPr>
      <w:rFonts w:ascii="宋体" w:hAnsi="宋体" w:cs="宋体"/>
      <w:kern w:val="0"/>
      <w:sz w:val="22"/>
      <w:szCs w:val="20"/>
    </w:rPr>
  </w:style>
  <w:style w:type="paragraph" w:customStyle="1" w:styleId="100">
    <w:name w:val="正文文本7"/>
    <w:basedOn w:val="1"/>
    <w:link w:val="99"/>
    <w:qFormat/>
    <w:uiPriority w:val="0"/>
    <w:pPr>
      <w:shd w:val="clear" w:color="auto" w:fill="FFFFFF"/>
      <w:spacing w:before="420" w:line="558" w:lineRule="exact"/>
      <w:jc w:val="center"/>
    </w:pPr>
    <w:rPr>
      <w:rFonts w:ascii="宋体" w:hAnsi="宋体" w:cs="宋体"/>
      <w:kern w:val="0"/>
      <w:sz w:val="22"/>
      <w:szCs w:val="20"/>
    </w:rPr>
  </w:style>
  <w:style w:type="character" w:customStyle="1" w:styleId="101">
    <w:name w:val="layui-layer-tabnow"/>
    <w:basedOn w:val="31"/>
    <w:qFormat/>
    <w:uiPriority w:val="0"/>
    <w:rPr>
      <w:bdr w:val="single" w:color="CCCCCC" w:sz="6" w:space="0"/>
      <w:shd w:val="clear" w:color="auto" w:fill="FFFFFF"/>
    </w:rPr>
  </w:style>
  <w:style w:type="character" w:customStyle="1" w:styleId="102">
    <w:name w:val="dot"/>
    <w:basedOn w:val="31"/>
    <w:qFormat/>
    <w:uiPriority w:val="0"/>
  </w:style>
  <w:style w:type="character" w:customStyle="1" w:styleId="103">
    <w:name w:val="time"/>
    <w:basedOn w:val="31"/>
    <w:qFormat/>
    <w:uiPriority w:val="0"/>
    <w:rPr>
      <w:color w:val="999999"/>
    </w:rPr>
  </w:style>
  <w:style w:type="character" w:customStyle="1" w:styleId="104">
    <w:name w:val="first-child"/>
    <w:basedOn w:val="31"/>
    <w:qFormat/>
    <w:uiPriority w:val="0"/>
  </w:style>
  <w:style w:type="paragraph" w:customStyle="1" w:styleId="105">
    <w:name w:val="cjk"/>
    <w:basedOn w:val="1"/>
    <w:qFormat/>
    <w:uiPriority w:val="0"/>
    <w:pPr>
      <w:spacing w:line="480" w:lineRule="auto"/>
    </w:pPr>
    <w:rPr>
      <w:rFonts w:ascii="宋体" w:hAnsi="宋体"/>
      <w:sz w:val="24"/>
    </w:rPr>
  </w:style>
  <w:style w:type="paragraph" w:customStyle="1" w:styleId="106">
    <w:name w:val="WPSOffice手动目录 1"/>
    <w:qFormat/>
    <w:uiPriority w:val="0"/>
    <w:rPr>
      <w:rFonts w:ascii="Times New Roman" w:hAnsi="Times New Roman" w:eastAsia="宋体" w:cs="Times New Roman"/>
      <w:lang w:val="en-US" w:eastAsia="zh-CN" w:bidi="ar-SA"/>
    </w:rPr>
  </w:style>
  <w:style w:type="paragraph" w:styleId="107">
    <w:name w:val="List Paragraph"/>
    <w:basedOn w:val="1"/>
    <w:qFormat/>
    <w:uiPriority w:val="99"/>
    <w:pPr>
      <w:ind w:firstLine="420" w:firstLineChars="200"/>
    </w:pPr>
  </w:style>
  <w:style w:type="character" w:customStyle="1" w:styleId="108">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19D15FD-DCB5-4E4E-A91C-5ED2A6494DDD}">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66</Pages>
  <Words>19033</Words>
  <Characters>20239</Characters>
  <Lines>202</Lines>
  <Paragraphs>57</Paragraphs>
  <TotalTime>7</TotalTime>
  <ScaleCrop>false</ScaleCrop>
  <LinksUpToDate>false</LinksUpToDate>
  <CharactersWithSpaces>20738</CharactersWithSpaces>
  <Application>WPS Office_11.8.2.12195_F1E327BC-269C-435d-A152-05C5408002CA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2022-10-18T07:24:00Z</dcterms:created>
  <dc:creator>农春燕</dc:creator>
  <cp:lastModifiedBy>'undefined'</cp:lastModifiedBy>
  <cp:lastPrinted>2020-09-04T02:21:00Z</cp:lastPrinted>
  <dcterms:modified xsi:type="dcterms:W3CDTF">2025-02-27T01:11:27Z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2052-11.8.2.12195</vt:lpwstr>
  </property>
  <property fmtid="{D5CDD505-2E9C-101B-9397-08002B2CF9AE}" pid="3" name="ICV">
    <vt:lpwstr>6EAC3CFA61DB49EF82CDF6EB88EEB1BA</vt:lpwstr>
  </property>
  <property fmtid="{D5CDD505-2E9C-101B-9397-08002B2CF9AE}" pid="4" name="KSOTemplateDocerSaveRecord">
    <vt:lpwstr>eyJoZGlkIjoiNTAwMzRiZjNhYTg4MzNhZDRkM2I3ZjJjOWY1NWE1NzYiLCJ1c2VySWQiOiI0MjczMzY0MjIifQ==</vt:lpwstr>
  </property>
</Properties>
</file>