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BB18A">
      <w:pPr>
        <w:pStyle w:val="15"/>
        <w:jc w:val="center"/>
        <w:rPr>
          <w:rFonts w:hAnsi="宋体" w:cs="宋体"/>
          <w:b/>
          <w:bCs/>
          <w:color w:val="auto"/>
          <w:sz w:val="72"/>
          <w:szCs w:val="72"/>
          <w:highlight w:val="none"/>
        </w:rPr>
      </w:pPr>
    </w:p>
    <w:p w14:paraId="6ADDCBEB">
      <w:pPr>
        <w:pStyle w:val="15"/>
        <w:jc w:val="center"/>
        <w:rPr>
          <w:rFonts w:hAnsi="宋体" w:cs="宋体"/>
          <w:b/>
          <w:bCs/>
          <w:color w:val="auto"/>
          <w:sz w:val="72"/>
          <w:szCs w:val="72"/>
          <w:highlight w:val="none"/>
        </w:rPr>
      </w:pPr>
      <w:r>
        <w:rPr>
          <w:rFonts w:hint="eastAsia" w:hAnsi="宋体" w:cs="宋体"/>
          <w:b/>
          <w:bCs/>
          <w:color w:val="auto"/>
          <w:sz w:val="72"/>
          <w:szCs w:val="72"/>
          <w:highlight w:val="none"/>
        </w:rPr>
        <w:t>竞争性谈判采购文件</w:t>
      </w:r>
    </w:p>
    <w:p w14:paraId="2FCF9F1B">
      <w:pPr>
        <w:snapToGrid w:val="0"/>
        <w:spacing w:line="360" w:lineRule="auto"/>
        <w:rPr>
          <w:rFonts w:hint="default" w:ascii="宋体" w:hAnsi="宋体" w:eastAsia="宋体" w:cs="宋体"/>
          <w:color w:val="auto"/>
          <w:sz w:val="30"/>
          <w:szCs w:val="72"/>
          <w:highlight w:val="none"/>
          <w:lang w:val="en-US" w:eastAsia="zh-CN"/>
        </w:rPr>
      </w:pPr>
      <w:r>
        <w:rPr>
          <w:rFonts w:hint="eastAsia" w:ascii="宋体" w:hAnsi="宋体" w:cs="宋体"/>
          <w:color w:val="auto"/>
          <w:sz w:val="30"/>
          <w:szCs w:val="72"/>
          <w:highlight w:val="none"/>
          <w:lang w:val="en-US" w:eastAsia="zh-CN"/>
        </w:rPr>
        <w:t xml:space="preserve">  </w:t>
      </w:r>
    </w:p>
    <w:p w14:paraId="699D15B2">
      <w:pPr>
        <w:pStyle w:val="15"/>
        <w:ind w:firstLine="2108" w:firstLineChars="700"/>
        <w:jc w:val="left"/>
        <w:rPr>
          <w:rFonts w:hAnsi="宋体" w:cs="宋体"/>
          <w:b/>
          <w:color w:val="auto"/>
          <w:sz w:val="30"/>
          <w:szCs w:val="72"/>
          <w:highlight w:val="none"/>
        </w:rPr>
      </w:pPr>
    </w:p>
    <w:p w14:paraId="5A3F82E5">
      <w:pPr>
        <w:pStyle w:val="5"/>
        <w:rPr>
          <w:color w:val="auto"/>
          <w:highlight w:val="none"/>
        </w:rPr>
      </w:pPr>
    </w:p>
    <w:p w14:paraId="5AE058C1">
      <w:pPr>
        <w:pStyle w:val="15"/>
        <w:ind w:left="2401" w:leftChars="426" w:hanging="1506" w:hangingChars="500"/>
        <w:jc w:val="left"/>
        <w:rPr>
          <w:rFonts w:hint="eastAsia" w:hAnsi="宋体" w:eastAsia="宋体" w:cs="宋体"/>
          <w:b/>
          <w:color w:val="auto"/>
          <w:spacing w:val="-11"/>
          <w:sz w:val="30"/>
          <w:szCs w:val="72"/>
          <w:highlight w:val="none"/>
          <w:lang w:eastAsia="zh-CN"/>
        </w:rPr>
      </w:pPr>
      <w:r>
        <w:rPr>
          <w:rFonts w:hint="eastAsia" w:hAnsi="宋体" w:cs="宋体"/>
          <w:b/>
          <w:color w:val="auto"/>
          <w:sz w:val="30"/>
          <w:szCs w:val="72"/>
          <w:highlight w:val="none"/>
        </w:rPr>
        <w:t>项目名称：</w:t>
      </w:r>
      <w:r>
        <w:rPr>
          <w:rFonts w:hint="eastAsia" w:hAnsi="宋体" w:cs="宋体"/>
          <w:b/>
          <w:color w:val="auto"/>
          <w:spacing w:val="-11"/>
          <w:sz w:val="30"/>
          <w:szCs w:val="72"/>
          <w:highlight w:val="none"/>
          <w:lang w:eastAsia="zh-CN"/>
        </w:rPr>
        <w:t>广西壮族自治区来宾生态环境监测中心应急监测车购置项目</w:t>
      </w:r>
    </w:p>
    <w:p w14:paraId="0CC6F621">
      <w:pPr>
        <w:pStyle w:val="15"/>
        <w:ind w:firstLine="1506" w:firstLineChars="500"/>
        <w:jc w:val="both"/>
        <w:rPr>
          <w:rFonts w:hint="eastAsia" w:hAnsi="宋体" w:cs="宋体"/>
          <w:b/>
          <w:color w:val="auto"/>
          <w:sz w:val="30"/>
          <w:szCs w:val="72"/>
          <w:highlight w:val="none"/>
        </w:rPr>
      </w:pPr>
    </w:p>
    <w:p w14:paraId="35154250">
      <w:pPr>
        <w:pStyle w:val="15"/>
        <w:ind w:firstLine="904" w:firstLineChars="300"/>
        <w:jc w:val="both"/>
        <w:rPr>
          <w:rFonts w:hint="default" w:hAnsi="宋体" w:eastAsia="宋体" w:cs="宋体"/>
          <w:b/>
          <w:color w:val="auto"/>
          <w:sz w:val="30"/>
          <w:szCs w:val="72"/>
          <w:highlight w:val="none"/>
          <w:lang w:val="en-US" w:eastAsia="zh-CN"/>
        </w:rPr>
      </w:pPr>
      <w:r>
        <w:rPr>
          <w:rFonts w:hint="eastAsia" w:hAnsi="宋体" w:cs="宋体"/>
          <w:b/>
          <w:color w:val="auto"/>
          <w:sz w:val="30"/>
          <w:szCs w:val="72"/>
          <w:highlight w:val="none"/>
        </w:rPr>
        <w:t>项目编号：KWGD2J20</w:t>
      </w:r>
      <w:r>
        <w:rPr>
          <w:rFonts w:hint="eastAsia" w:hAnsi="宋体" w:cs="宋体"/>
          <w:b/>
          <w:color w:val="auto"/>
          <w:sz w:val="30"/>
          <w:szCs w:val="72"/>
          <w:highlight w:val="none"/>
          <w:lang w:val="en-US" w:eastAsia="zh-CN"/>
        </w:rPr>
        <w:t>25</w:t>
      </w:r>
      <w:r>
        <w:rPr>
          <w:rFonts w:hint="eastAsia" w:hAnsi="宋体" w:cs="宋体"/>
          <w:b/>
          <w:color w:val="auto"/>
          <w:sz w:val="30"/>
          <w:szCs w:val="72"/>
          <w:highlight w:val="none"/>
        </w:rPr>
        <w:t>0</w:t>
      </w:r>
      <w:r>
        <w:rPr>
          <w:rFonts w:hint="eastAsia" w:hAnsi="宋体" w:cs="宋体"/>
          <w:b/>
          <w:color w:val="auto"/>
          <w:sz w:val="30"/>
          <w:szCs w:val="72"/>
          <w:highlight w:val="none"/>
          <w:lang w:val="en-US" w:eastAsia="zh-CN"/>
        </w:rPr>
        <w:t>26</w:t>
      </w:r>
    </w:p>
    <w:p w14:paraId="1EE05E1F">
      <w:pPr>
        <w:pStyle w:val="15"/>
        <w:ind w:firstLine="2108" w:firstLineChars="700"/>
        <w:jc w:val="center"/>
        <w:rPr>
          <w:rFonts w:hAnsi="宋体" w:cs="宋体"/>
          <w:b/>
          <w:color w:val="auto"/>
          <w:sz w:val="30"/>
          <w:szCs w:val="72"/>
          <w:highlight w:val="none"/>
        </w:rPr>
      </w:pPr>
    </w:p>
    <w:p w14:paraId="5F71864C">
      <w:pPr>
        <w:pStyle w:val="5"/>
        <w:rPr>
          <w:color w:val="auto"/>
          <w:highlight w:val="none"/>
        </w:rPr>
      </w:pPr>
    </w:p>
    <w:p w14:paraId="2E6EB7AB">
      <w:pPr>
        <w:rPr>
          <w:color w:val="auto"/>
          <w:highlight w:val="none"/>
        </w:rPr>
      </w:pPr>
    </w:p>
    <w:p w14:paraId="47B1BA5F">
      <w:pPr>
        <w:rPr>
          <w:color w:val="auto"/>
          <w:highlight w:val="none"/>
        </w:rPr>
      </w:pPr>
    </w:p>
    <w:p w14:paraId="5DD8E50F">
      <w:pPr>
        <w:pStyle w:val="35"/>
        <w:rPr>
          <w:color w:val="auto"/>
          <w:highlight w:val="none"/>
        </w:rPr>
      </w:pPr>
    </w:p>
    <w:p w14:paraId="7E27F225">
      <w:pPr>
        <w:rPr>
          <w:color w:val="auto"/>
          <w:highlight w:val="none"/>
        </w:rPr>
      </w:pPr>
    </w:p>
    <w:p w14:paraId="4109E4CB">
      <w:pPr>
        <w:pStyle w:val="15"/>
        <w:ind w:firstLine="1506" w:firstLineChars="500"/>
        <w:jc w:val="both"/>
        <w:rPr>
          <w:rFonts w:hint="eastAsia" w:hAnsi="宋体" w:eastAsia="宋体" w:cs="宋体"/>
          <w:b/>
          <w:color w:val="auto"/>
          <w:sz w:val="30"/>
          <w:szCs w:val="72"/>
          <w:highlight w:val="none"/>
          <w:lang w:eastAsia="zh-CN"/>
        </w:rPr>
      </w:pPr>
      <w:r>
        <w:rPr>
          <w:rFonts w:hint="eastAsia" w:hAnsi="宋体" w:cs="宋体"/>
          <w:b/>
          <w:color w:val="auto"/>
          <w:sz w:val="30"/>
          <w:szCs w:val="72"/>
          <w:highlight w:val="none"/>
        </w:rPr>
        <w:t>采购单位：</w:t>
      </w:r>
      <w:r>
        <w:rPr>
          <w:rFonts w:hint="eastAsia" w:hAnsi="宋体" w:cs="宋体"/>
          <w:b/>
          <w:color w:val="auto"/>
          <w:sz w:val="30"/>
          <w:szCs w:val="72"/>
          <w:highlight w:val="none"/>
          <w:lang w:eastAsia="zh-CN"/>
        </w:rPr>
        <w:t>广西壮族自治区来宾生态环境监测中心</w:t>
      </w:r>
    </w:p>
    <w:p w14:paraId="162B1213">
      <w:pPr>
        <w:pStyle w:val="15"/>
        <w:ind w:firstLine="1506" w:firstLineChars="500"/>
        <w:jc w:val="both"/>
        <w:rPr>
          <w:rFonts w:hint="eastAsia" w:hAnsi="宋体" w:cs="宋体"/>
          <w:b/>
          <w:color w:val="auto"/>
          <w:sz w:val="30"/>
          <w:szCs w:val="72"/>
          <w:highlight w:val="none"/>
        </w:rPr>
      </w:pPr>
    </w:p>
    <w:p w14:paraId="3173D003">
      <w:pPr>
        <w:pStyle w:val="15"/>
        <w:ind w:firstLine="1506" w:firstLineChars="500"/>
        <w:jc w:val="both"/>
        <w:rPr>
          <w:rFonts w:hint="eastAsia" w:hAnsi="宋体" w:eastAsia="宋体" w:cs="宋体"/>
          <w:b/>
          <w:color w:val="auto"/>
          <w:sz w:val="30"/>
          <w:szCs w:val="72"/>
          <w:highlight w:val="none"/>
          <w:lang w:eastAsia="zh-CN"/>
        </w:rPr>
      </w:pPr>
      <w:r>
        <w:rPr>
          <w:rFonts w:hint="eastAsia" w:hAnsi="宋体" w:cs="宋体"/>
          <w:b/>
          <w:color w:val="auto"/>
          <w:sz w:val="30"/>
          <w:szCs w:val="72"/>
          <w:highlight w:val="none"/>
        </w:rPr>
        <w:t>采购代理机构：广西科文招标有限公司</w:t>
      </w:r>
    </w:p>
    <w:p w14:paraId="5F35FFDB">
      <w:pPr>
        <w:pStyle w:val="5"/>
        <w:rPr>
          <w:color w:val="auto"/>
          <w:highlight w:val="none"/>
        </w:rPr>
      </w:pPr>
    </w:p>
    <w:p w14:paraId="0D3AD7BB">
      <w:pPr>
        <w:pStyle w:val="15"/>
        <w:jc w:val="center"/>
        <w:rPr>
          <w:rFonts w:hint="eastAsia" w:hAnsi="宋体" w:cs="宋体"/>
          <w:b/>
          <w:color w:val="auto"/>
          <w:sz w:val="30"/>
          <w:szCs w:val="72"/>
          <w:highlight w:val="none"/>
          <w:lang w:val="en-US" w:eastAsia="zh-CN"/>
        </w:rPr>
        <w:sectPr>
          <w:headerReference r:id="rId3" w:type="default"/>
          <w:footerReference r:id="rId4" w:type="even"/>
          <w:pgSz w:w="11905" w:h="16838"/>
          <w:pgMar w:top="1417" w:right="1417" w:bottom="1417" w:left="1417" w:header="850" w:footer="992" w:gutter="0"/>
          <w:pgNumType w:start="0"/>
          <w:cols w:space="720" w:num="1"/>
          <w:titlePg/>
          <w:docGrid w:type="lines" w:linePitch="318" w:charSpace="0"/>
        </w:sectPr>
      </w:pPr>
      <w:r>
        <w:rPr>
          <w:rFonts w:hint="eastAsia" w:hAnsi="宋体" w:cs="宋体"/>
          <w:b/>
          <w:color w:val="auto"/>
          <w:sz w:val="30"/>
          <w:szCs w:val="72"/>
          <w:highlight w:val="none"/>
          <w:lang w:val="en-US" w:eastAsia="zh-CN"/>
        </w:rPr>
        <w:t xml:space="preserve">2025年  月  日  </w:t>
      </w:r>
    </w:p>
    <w:p w14:paraId="631A448C">
      <w:pPr>
        <w:spacing w:line="360" w:lineRule="auto"/>
        <w:rPr>
          <w:rFonts w:ascii="宋体" w:hAnsi="宋体" w:cs="宋体"/>
          <w:b/>
          <w:color w:val="auto"/>
          <w:sz w:val="44"/>
          <w:szCs w:val="44"/>
          <w:highlight w:val="none"/>
        </w:rPr>
      </w:pPr>
    </w:p>
    <w:p w14:paraId="4289DBEE">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5724C514">
      <w:pPr>
        <w:spacing w:line="400" w:lineRule="exact"/>
        <w:jc w:val="center"/>
        <w:rPr>
          <w:rFonts w:ascii="宋体" w:hAnsi="宋体" w:cs="宋体"/>
          <w:b/>
          <w:color w:val="auto"/>
          <w:sz w:val="44"/>
          <w:szCs w:val="44"/>
          <w:highlight w:val="none"/>
        </w:rPr>
      </w:pPr>
    </w:p>
    <w:p w14:paraId="0C1B45FF">
      <w:pPr>
        <w:pStyle w:val="20"/>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TOC \o "1-3" \h \z \u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_Toc32583 </w:instrText>
      </w:r>
      <w:r>
        <w:rPr>
          <w:rFonts w:hint="eastAsia" w:ascii="宋体" w:hAnsi="宋体" w:cs="宋体"/>
          <w:b/>
          <w:bCs/>
          <w:color w:val="auto"/>
          <w:sz w:val="24"/>
          <w:szCs w:val="24"/>
          <w:highlight w:val="none"/>
        </w:rPr>
        <w:fldChar w:fldCharType="separate"/>
      </w:r>
      <w:r>
        <w:rPr>
          <w:rFonts w:hint="default" w:ascii="宋体" w:hAnsi="宋体" w:cs="宋体"/>
          <w:b/>
          <w:bCs/>
          <w:color w:val="auto"/>
          <w:sz w:val="24"/>
          <w:szCs w:val="24"/>
          <w:highlight w:val="none"/>
        </w:rPr>
        <w:t xml:space="preserve">第一章 </w:t>
      </w:r>
      <w:r>
        <w:rPr>
          <w:rFonts w:hint="eastAsia" w:ascii="宋体" w:hAnsi="宋体" w:cs="宋体"/>
          <w:b/>
          <w:bCs/>
          <w:color w:val="auto"/>
          <w:sz w:val="24"/>
          <w:szCs w:val="24"/>
          <w:highlight w:val="none"/>
        </w:rPr>
        <w:t>竞争性谈判公告</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_Toc32583 \h </w:instrText>
      </w:r>
      <w:r>
        <w:rPr>
          <w:b/>
          <w:bCs/>
          <w:color w:val="auto"/>
          <w:sz w:val="24"/>
          <w:szCs w:val="24"/>
          <w:highlight w:val="none"/>
        </w:rPr>
        <w:fldChar w:fldCharType="separate"/>
      </w:r>
      <w:r>
        <w:rPr>
          <w:b/>
          <w:bCs/>
          <w:color w:val="auto"/>
          <w:sz w:val="24"/>
          <w:szCs w:val="24"/>
          <w:highlight w:val="none"/>
        </w:rPr>
        <w:t>1</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3858A8B1">
      <w:pPr>
        <w:pStyle w:val="20"/>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_Toc6087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第二章 供应商须知</w:t>
      </w:r>
      <w:r>
        <w:rPr>
          <w:b/>
          <w:bCs/>
          <w:color w:val="auto"/>
          <w:sz w:val="24"/>
          <w:szCs w:val="24"/>
          <w:highlight w:val="none"/>
        </w:rPr>
        <w:tab/>
      </w:r>
      <w:r>
        <w:rPr>
          <w:rFonts w:hint="eastAsia"/>
          <w:b/>
          <w:bCs/>
          <w:color w:val="auto"/>
          <w:sz w:val="24"/>
          <w:szCs w:val="24"/>
          <w:highlight w:val="none"/>
          <w:lang w:val="en-US" w:eastAsia="zh-CN"/>
        </w:rPr>
        <w:t>4</w:t>
      </w:r>
      <w:r>
        <w:rPr>
          <w:rFonts w:hint="eastAsia" w:ascii="宋体" w:hAnsi="宋体" w:cs="宋体"/>
          <w:b/>
          <w:bCs/>
          <w:color w:val="auto"/>
          <w:sz w:val="24"/>
          <w:szCs w:val="24"/>
          <w:highlight w:val="none"/>
        </w:rPr>
        <w:fldChar w:fldCharType="end"/>
      </w:r>
    </w:p>
    <w:p w14:paraId="38E73E36">
      <w:pPr>
        <w:pStyle w:val="20"/>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_Toc4348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第三章 采购需求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_Toc4348 \h </w:instrText>
      </w:r>
      <w:r>
        <w:rPr>
          <w:b/>
          <w:bCs/>
          <w:color w:val="auto"/>
          <w:sz w:val="24"/>
          <w:szCs w:val="24"/>
          <w:highlight w:val="none"/>
        </w:rPr>
        <w:fldChar w:fldCharType="separate"/>
      </w:r>
      <w:r>
        <w:rPr>
          <w:b/>
          <w:bCs/>
          <w:color w:val="auto"/>
          <w:sz w:val="24"/>
          <w:szCs w:val="24"/>
          <w:highlight w:val="none"/>
        </w:rPr>
        <w:t>24</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21DB25FE">
      <w:pPr>
        <w:pStyle w:val="20"/>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_Toc24303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第四章 评审程序和评定成交的标准</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_Toc24303 \h </w:instrText>
      </w:r>
      <w:r>
        <w:rPr>
          <w:b/>
          <w:bCs/>
          <w:color w:val="auto"/>
          <w:sz w:val="24"/>
          <w:szCs w:val="24"/>
          <w:highlight w:val="none"/>
        </w:rPr>
        <w:fldChar w:fldCharType="separate"/>
      </w:r>
      <w:r>
        <w:rPr>
          <w:b/>
          <w:bCs/>
          <w:color w:val="auto"/>
          <w:sz w:val="24"/>
          <w:szCs w:val="24"/>
          <w:highlight w:val="none"/>
        </w:rPr>
        <w:t>32</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39A2620C">
      <w:pPr>
        <w:pStyle w:val="20"/>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_Toc847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第五章 响应文件格式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_Toc847 \h </w:instrText>
      </w:r>
      <w:r>
        <w:rPr>
          <w:b/>
          <w:bCs/>
          <w:color w:val="auto"/>
          <w:sz w:val="24"/>
          <w:szCs w:val="24"/>
          <w:highlight w:val="none"/>
        </w:rPr>
        <w:fldChar w:fldCharType="separate"/>
      </w:r>
      <w:r>
        <w:rPr>
          <w:b/>
          <w:bCs/>
          <w:color w:val="auto"/>
          <w:sz w:val="24"/>
          <w:szCs w:val="24"/>
          <w:highlight w:val="none"/>
        </w:rPr>
        <w:t>38</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7E592A05">
      <w:pPr>
        <w:pStyle w:val="20"/>
        <w:keepNext w:val="0"/>
        <w:keepLines w:val="0"/>
        <w:pageBreakBefore w:val="0"/>
        <w:widowControl w:val="0"/>
        <w:tabs>
          <w:tab w:val="right" w:leader="dot" w:pos="9071"/>
        </w:tabs>
        <w:kinsoku/>
        <w:wordWrap/>
        <w:overflowPunct/>
        <w:topLinePunct w:val="0"/>
        <w:autoSpaceDE/>
        <w:autoSpaceDN/>
        <w:bidi w:val="0"/>
        <w:adjustRightInd/>
        <w:spacing w:line="360"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_Toc31409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第六章 合同文本</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_Toc31409 \h </w:instrText>
      </w:r>
      <w:r>
        <w:rPr>
          <w:b/>
          <w:bCs/>
          <w:color w:val="auto"/>
          <w:sz w:val="24"/>
          <w:szCs w:val="24"/>
          <w:highlight w:val="none"/>
        </w:rPr>
        <w:fldChar w:fldCharType="separate"/>
      </w:r>
      <w:r>
        <w:rPr>
          <w:b/>
          <w:bCs/>
          <w:color w:val="auto"/>
          <w:sz w:val="24"/>
          <w:szCs w:val="24"/>
          <w:highlight w:val="none"/>
        </w:rPr>
        <w:t>58</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72F808C2">
      <w:pPr>
        <w:pStyle w:val="21"/>
        <w:keepNext w:val="0"/>
        <w:keepLines w:val="0"/>
        <w:pageBreakBefore w:val="0"/>
        <w:widowControl w:val="0"/>
        <w:tabs>
          <w:tab w:val="right" w:leader="dot" w:pos="8931"/>
          <w:tab w:val="clear" w:pos="8296"/>
        </w:tabs>
        <w:kinsoku/>
        <w:wordWrap/>
        <w:overflowPunct/>
        <w:topLinePunct w:val="0"/>
        <w:autoSpaceDE/>
        <w:autoSpaceDN/>
        <w:bidi w:val="0"/>
        <w:adjustRightInd/>
        <w:snapToGrid w:val="0"/>
        <w:spacing w:line="360" w:lineRule="auto"/>
        <w:ind w:left="0" w:leftChars="0"/>
        <w:textAlignment w:val="auto"/>
        <w:rPr>
          <w:rFonts w:ascii="宋体" w:hAnsi="宋体" w:cs="宋体"/>
          <w:b/>
          <w:color w:val="auto"/>
          <w:sz w:val="24"/>
          <w:highlight w:val="none"/>
        </w:rPr>
      </w:pPr>
      <w:r>
        <w:rPr>
          <w:rFonts w:hint="eastAsia" w:ascii="宋体" w:hAnsi="宋体" w:cs="宋体"/>
          <w:b/>
          <w:bCs/>
          <w:color w:val="auto"/>
          <w:sz w:val="24"/>
          <w:szCs w:val="24"/>
          <w:highlight w:val="none"/>
        </w:rPr>
        <w:fldChar w:fldCharType="end"/>
      </w:r>
    </w:p>
    <w:p w14:paraId="44F620FB">
      <w:pPr>
        <w:spacing w:line="400" w:lineRule="exact"/>
        <w:jc w:val="left"/>
        <w:rPr>
          <w:rFonts w:ascii="宋体" w:hAnsi="宋体" w:cs="宋体"/>
          <w:b/>
          <w:color w:val="auto"/>
          <w:sz w:val="32"/>
          <w:szCs w:val="32"/>
          <w:highlight w:val="none"/>
        </w:rPr>
      </w:pPr>
    </w:p>
    <w:p w14:paraId="0CC14CE0">
      <w:pPr>
        <w:spacing w:line="400" w:lineRule="exact"/>
        <w:jc w:val="center"/>
        <w:rPr>
          <w:rFonts w:ascii="宋体" w:hAnsi="宋体" w:cs="宋体"/>
          <w:b/>
          <w:color w:val="auto"/>
          <w:sz w:val="32"/>
          <w:szCs w:val="32"/>
          <w:highlight w:val="none"/>
        </w:rPr>
      </w:pPr>
    </w:p>
    <w:p w14:paraId="752B0961">
      <w:pPr>
        <w:spacing w:line="400" w:lineRule="exact"/>
        <w:jc w:val="center"/>
        <w:rPr>
          <w:rFonts w:ascii="宋体" w:hAnsi="宋体" w:cs="宋体"/>
          <w:b/>
          <w:color w:val="auto"/>
          <w:sz w:val="32"/>
          <w:szCs w:val="32"/>
          <w:highlight w:val="none"/>
        </w:rPr>
      </w:pPr>
    </w:p>
    <w:p w14:paraId="642879CE">
      <w:pPr>
        <w:spacing w:line="400" w:lineRule="exact"/>
        <w:jc w:val="center"/>
        <w:rPr>
          <w:rFonts w:ascii="宋体" w:hAnsi="宋体" w:cs="宋体"/>
          <w:b/>
          <w:color w:val="auto"/>
          <w:sz w:val="32"/>
          <w:szCs w:val="32"/>
          <w:highlight w:val="none"/>
        </w:rPr>
      </w:pPr>
    </w:p>
    <w:p w14:paraId="2AA624CD">
      <w:pPr>
        <w:spacing w:line="400" w:lineRule="exact"/>
        <w:jc w:val="center"/>
        <w:rPr>
          <w:rFonts w:ascii="宋体" w:hAnsi="宋体" w:cs="宋体"/>
          <w:b/>
          <w:color w:val="auto"/>
          <w:sz w:val="32"/>
          <w:szCs w:val="32"/>
          <w:highlight w:val="none"/>
        </w:rPr>
      </w:pPr>
    </w:p>
    <w:p w14:paraId="62E63454">
      <w:pPr>
        <w:spacing w:line="400" w:lineRule="exact"/>
        <w:rPr>
          <w:rFonts w:ascii="宋体" w:hAnsi="宋体" w:cs="宋体"/>
          <w:b/>
          <w:color w:val="auto"/>
          <w:sz w:val="32"/>
          <w:szCs w:val="32"/>
          <w:highlight w:val="none"/>
        </w:rPr>
        <w:sectPr>
          <w:headerReference r:id="rId5" w:type="default"/>
          <w:footerReference r:id="rId6" w:type="default"/>
          <w:pgSz w:w="11905" w:h="16838"/>
          <w:pgMar w:top="1417" w:right="1417" w:bottom="1417" w:left="1417" w:header="850" w:footer="992" w:gutter="0"/>
          <w:pgNumType w:start="0"/>
          <w:cols w:space="720" w:num="1"/>
          <w:titlePg/>
          <w:docGrid w:type="lines" w:linePitch="318" w:charSpace="0"/>
        </w:sectPr>
      </w:pPr>
    </w:p>
    <w:p w14:paraId="6E6E9424">
      <w:pPr>
        <w:pStyle w:val="3"/>
        <w:numPr>
          <w:ilvl w:val="0"/>
          <w:numId w:val="1"/>
        </w:numPr>
        <w:bidi w:val="0"/>
        <w:jc w:val="center"/>
        <w:rPr>
          <w:color w:val="auto"/>
          <w:highlight w:val="none"/>
        </w:rPr>
      </w:pPr>
      <w:bookmarkStart w:id="0" w:name="_Toc32583"/>
      <w:r>
        <w:rPr>
          <w:rFonts w:hint="eastAsia"/>
          <w:color w:val="auto"/>
          <w:highlight w:val="none"/>
        </w:rPr>
        <w:t>竞争性谈判公告</w:t>
      </w:r>
      <w:bookmarkEnd w:id="0"/>
    </w:p>
    <w:p w14:paraId="56EEE9C8">
      <w:pPr>
        <w:pStyle w:val="15"/>
        <w:jc w:val="center"/>
        <w:rPr>
          <w:rFonts w:hAnsi="宋体" w:cs="宋体"/>
          <w:b/>
          <w:color w:val="auto"/>
          <w:sz w:val="28"/>
          <w:szCs w:val="28"/>
          <w:highlight w:val="none"/>
        </w:rPr>
      </w:pPr>
      <w:r>
        <w:rPr>
          <w:rFonts w:hint="eastAsia" w:hAnsi="宋体" w:cs="宋体"/>
          <w:b/>
          <w:color w:val="auto"/>
          <w:sz w:val="28"/>
          <w:szCs w:val="28"/>
          <w:highlight w:val="none"/>
          <w:lang w:eastAsia="zh-CN"/>
        </w:rPr>
        <w:t>广西科文招标有限公司</w:t>
      </w:r>
    </w:p>
    <w:p w14:paraId="1CD3E0F2">
      <w:pPr>
        <w:jc w:val="center"/>
        <w:rPr>
          <w:color w:val="auto"/>
          <w:sz w:val="28"/>
          <w:szCs w:val="28"/>
          <w:highlight w:val="none"/>
        </w:rPr>
      </w:pPr>
      <w:r>
        <w:rPr>
          <w:rFonts w:hint="eastAsia" w:ascii="宋体" w:hAnsi="宋体" w:cs="宋体"/>
          <w:b/>
          <w:bCs/>
          <w:color w:val="auto"/>
          <w:sz w:val="28"/>
          <w:szCs w:val="28"/>
          <w:highlight w:val="none"/>
          <w:lang w:eastAsia="zh-CN"/>
        </w:rPr>
        <w:t>关于广西壮族自治区来宾生态环境监测中心应急监测车购置项目</w:t>
      </w:r>
      <w:r>
        <w:rPr>
          <w:rFonts w:hint="eastAsia" w:ascii="宋体" w:hAnsi="宋体" w:cs="宋体"/>
          <w:b/>
          <w:bCs/>
          <w:color w:val="auto"/>
          <w:sz w:val="28"/>
          <w:szCs w:val="28"/>
          <w:highlight w:val="none"/>
        </w:rPr>
        <w:t>（KWGD2J2025026）</w:t>
      </w:r>
      <w:r>
        <w:rPr>
          <w:rFonts w:hint="eastAsia" w:ascii="宋体" w:hAnsi="宋体" w:cs="宋体"/>
          <w:b/>
          <w:bCs/>
          <w:color w:val="auto"/>
          <w:sz w:val="28"/>
          <w:szCs w:val="28"/>
          <w:highlight w:val="none"/>
          <w:lang w:eastAsia="zh-CN"/>
        </w:rPr>
        <w:t>的</w:t>
      </w:r>
      <w:r>
        <w:rPr>
          <w:rFonts w:hint="eastAsia" w:ascii="宋体" w:hAnsi="宋体" w:cs="宋体"/>
          <w:b/>
          <w:color w:val="auto"/>
          <w:kern w:val="0"/>
          <w:sz w:val="28"/>
          <w:szCs w:val="28"/>
          <w:highlight w:val="none"/>
        </w:rPr>
        <w:t>竞争性谈判公告</w:t>
      </w:r>
    </w:p>
    <w:p w14:paraId="599563D4">
      <w:pPr>
        <w:pStyle w:val="35"/>
        <w:rPr>
          <w:color w:val="auto"/>
          <w:highlight w:val="none"/>
        </w:rPr>
      </w:pPr>
    </w:p>
    <w:p w14:paraId="7455D42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bookmarkStart w:id="1" w:name="_Hlk37430271"/>
      <w:r>
        <w:rPr>
          <w:rFonts w:hint="eastAsia" w:ascii="宋体" w:hAnsi="宋体" w:cs="宋体"/>
          <w:color w:val="auto"/>
          <w:sz w:val="24"/>
          <w:highlight w:val="none"/>
        </w:rPr>
        <w:t>项目概况</w:t>
      </w:r>
    </w:p>
    <w:p w14:paraId="220EAFC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olor w:val="auto"/>
          <w:sz w:val="24"/>
          <w:highlight w:val="none"/>
          <w:u w:val="single"/>
          <w:lang w:eastAsia="zh-CN"/>
        </w:rPr>
        <w:t>广西壮族自治区来宾生态环境监测中心应急监测车购置项目</w:t>
      </w:r>
      <w:r>
        <w:rPr>
          <w:rFonts w:hint="eastAsia" w:ascii="宋体" w:hAnsi="宋体" w:cs="宋体"/>
          <w:color w:val="auto"/>
          <w:sz w:val="24"/>
          <w:highlight w:val="none"/>
        </w:rPr>
        <w:t>的潜在供应商应在广西科文招标有限公司</w:t>
      </w:r>
      <w:r>
        <w:rPr>
          <w:rFonts w:hint="eastAsia" w:ascii="宋体" w:hAnsi="宋体" w:cs="宋体"/>
          <w:color w:val="auto"/>
          <w:sz w:val="24"/>
          <w:highlight w:val="none"/>
          <w:lang w:val="en-US" w:eastAsia="zh-CN"/>
        </w:rPr>
        <w:t>来宾分公司</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公司地址：来宾市凤临路10号裕达中央城江临天下5号楼红水河大道6-5号 </w:t>
      </w:r>
      <w:r>
        <w:rPr>
          <w:rFonts w:hint="eastAsia" w:ascii="宋体" w:hAnsi="宋体" w:cs="宋体"/>
          <w:color w:val="auto"/>
          <w:sz w:val="24"/>
          <w:highlight w:val="none"/>
        </w:rPr>
        <w:t>）获取竞争性谈判采购文件，并于</w:t>
      </w:r>
      <w:r>
        <w:rPr>
          <w:rFonts w:hint="eastAsia" w:ascii="宋体" w:hAnsi="宋体" w:cs="宋体"/>
          <w:color w:val="auto"/>
          <w:sz w:val="24"/>
          <w:highlight w:val="none"/>
          <w:lang w:val="en-US" w:eastAsia="zh-CN"/>
        </w:rPr>
        <w:t xml:space="preserve">2025年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5D31533E">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rPr>
          <w:rFonts w:ascii="宋体" w:hAnsi="宋体" w:cs="宋体"/>
          <w:b/>
          <w:bCs/>
          <w:color w:val="auto"/>
          <w:sz w:val="24"/>
          <w:highlight w:val="none"/>
        </w:rPr>
      </w:pPr>
      <w:bookmarkStart w:id="2" w:name="_Toc28359018"/>
      <w:bookmarkStart w:id="3" w:name="_Toc28359095"/>
      <w:bookmarkStart w:id="4" w:name="_Toc35393636"/>
      <w:bookmarkStart w:id="5" w:name="_Toc35393805"/>
      <w:bookmarkStart w:id="6" w:name="_Toc71365369"/>
      <w:bookmarkStart w:id="7" w:name="_Toc71366047"/>
      <w:r>
        <w:rPr>
          <w:rFonts w:hint="eastAsia" w:ascii="宋体" w:hAnsi="宋体" w:cs="宋体"/>
          <w:b/>
          <w:bCs/>
          <w:color w:val="auto"/>
          <w:sz w:val="24"/>
          <w:highlight w:val="none"/>
        </w:rPr>
        <w:t>一、项目基本情况</w:t>
      </w:r>
    </w:p>
    <w:p w14:paraId="64E54D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广西壮族自治区来宾生态环境监测中心应急监测车购置项目</w:t>
      </w:r>
    </w:p>
    <w:p w14:paraId="5BE30F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项目编号：KWGD2J2025026</w:t>
      </w:r>
    </w:p>
    <w:p w14:paraId="073F31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预算金额（人民币）：</w:t>
      </w:r>
      <w:r>
        <w:rPr>
          <w:rFonts w:hint="eastAsia" w:ascii="宋体" w:hAnsi="宋体" w:cs="宋体"/>
          <w:color w:val="auto"/>
          <w:sz w:val="24"/>
          <w:highlight w:val="none"/>
          <w:lang w:eastAsia="zh-CN"/>
        </w:rPr>
        <w:t>贰拾捌万元整（¥</w:t>
      </w:r>
      <w:r>
        <w:rPr>
          <w:rFonts w:hint="eastAsia" w:ascii="宋体" w:hAnsi="宋体" w:cs="宋体"/>
          <w:color w:val="auto"/>
          <w:sz w:val="24"/>
          <w:highlight w:val="none"/>
          <w:lang w:val="en-US" w:eastAsia="zh-CN"/>
        </w:rPr>
        <w:t>280,000.00</w:t>
      </w:r>
      <w:r>
        <w:rPr>
          <w:rFonts w:hint="eastAsia" w:ascii="宋体" w:hAnsi="宋体" w:cs="宋体"/>
          <w:color w:val="auto"/>
          <w:sz w:val="24"/>
          <w:highlight w:val="none"/>
          <w:lang w:eastAsia="zh-CN"/>
        </w:rPr>
        <w:t>）</w:t>
      </w:r>
    </w:p>
    <w:p w14:paraId="4EE19D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采购需求：</w:t>
      </w:r>
    </w:p>
    <w:tbl>
      <w:tblPr>
        <w:tblStyle w:val="27"/>
        <w:tblW w:w="9840" w:type="dxa"/>
        <w:jc w:val="center"/>
        <w:tblLayout w:type="fixed"/>
        <w:tblCellMar>
          <w:top w:w="0" w:type="dxa"/>
          <w:left w:w="108" w:type="dxa"/>
          <w:bottom w:w="0" w:type="dxa"/>
          <w:right w:w="108" w:type="dxa"/>
        </w:tblCellMar>
      </w:tblPr>
      <w:tblGrid>
        <w:gridCol w:w="511"/>
        <w:gridCol w:w="850"/>
        <w:gridCol w:w="641"/>
        <w:gridCol w:w="425"/>
        <w:gridCol w:w="4875"/>
        <w:gridCol w:w="1237"/>
        <w:gridCol w:w="1301"/>
      </w:tblGrid>
      <w:tr w14:paraId="1435BD97">
        <w:tblPrEx>
          <w:tblCellMar>
            <w:top w:w="0" w:type="dxa"/>
            <w:left w:w="108" w:type="dxa"/>
            <w:bottom w:w="0" w:type="dxa"/>
            <w:right w:w="108" w:type="dxa"/>
          </w:tblCellMar>
        </w:tblPrEx>
        <w:trPr>
          <w:trHeight w:val="65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414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bCs/>
                <w:color w:val="auto"/>
                <w:sz w:val="24"/>
                <w:highlight w:val="none"/>
              </w:rPr>
            </w:pPr>
            <w:r>
              <w:rPr>
                <w:rFonts w:hint="eastAsia" w:ascii="宋体" w:hAnsi="宋体" w:cs="宋体"/>
                <w:bCs/>
                <w:color w:val="auto"/>
                <w:kern w:val="0"/>
                <w:sz w:val="24"/>
                <w:highlight w:val="none"/>
                <w:lang w:bidi="ar"/>
              </w:rPr>
              <w:t>序号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9C4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bCs/>
                <w:color w:val="auto"/>
                <w:sz w:val="24"/>
                <w:highlight w:val="none"/>
              </w:rPr>
            </w:pPr>
            <w:r>
              <w:rPr>
                <w:rFonts w:hint="eastAsia" w:ascii="宋体" w:hAnsi="宋体" w:cs="宋体"/>
                <w:bCs/>
                <w:color w:val="auto"/>
                <w:kern w:val="0"/>
                <w:sz w:val="24"/>
                <w:highlight w:val="none"/>
                <w:lang w:bidi="ar"/>
              </w:rPr>
              <w:t>货物名称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00C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bCs/>
                <w:color w:val="auto"/>
                <w:sz w:val="24"/>
                <w:highlight w:val="none"/>
              </w:rPr>
            </w:pPr>
            <w:r>
              <w:rPr>
                <w:rFonts w:hint="eastAsia" w:ascii="宋体" w:hAnsi="宋体" w:cs="宋体"/>
                <w:bCs/>
                <w:color w:val="auto"/>
                <w:kern w:val="0"/>
                <w:sz w:val="24"/>
                <w:highlight w:val="none"/>
                <w:lang w:bidi="ar"/>
              </w:rPr>
              <w:t>数量</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429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bCs/>
                <w:color w:val="auto"/>
                <w:sz w:val="24"/>
                <w:highlight w:val="none"/>
              </w:rPr>
            </w:pPr>
            <w:r>
              <w:rPr>
                <w:rFonts w:hint="eastAsia" w:ascii="宋体" w:hAnsi="宋体" w:cs="宋体"/>
                <w:bCs/>
                <w:color w:val="auto"/>
                <w:kern w:val="0"/>
                <w:sz w:val="24"/>
                <w:highlight w:val="none"/>
                <w:lang w:bidi="ar"/>
              </w:rPr>
              <w:t>单位</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701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bCs/>
                <w:color w:val="auto"/>
                <w:sz w:val="24"/>
                <w:highlight w:val="none"/>
              </w:rPr>
            </w:pPr>
            <w:r>
              <w:rPr>
                <w:rFonts w:hint="eastAsia" w:ascii="宋体" w:hAnsi="宋体" w:cs="宋体"/>
                <w:bCs/>
                <w:color w:val="auto"/>
                <w:sz w:val="24"/>
                <w:highlight w:val="none"/>
              </w:rPr>
              <w:t>技术参数摘要</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08C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bCs/>
                <w:color w:val="auto"/>
                <w:sz w:val="24"/>
                <w:highlight w:val="none"/>
              </w:rPr>
            </w:pPr>
            <w:r>
              <w:rPr>
                <w:rFonts w:hint="eastAsia" w:ascii="宋体" w:hAnsi="宋体" w:cs="宋体"/>
                <w:bCs/>
                <w:color w:val="auto"/>
                <w:sz w:val="24"/>
                <w:highlight w:val="none"/>
              </w:rPr>
              <w:t>预算单价（万元/人民币）</w:t>
            </w:r>
          </w:p>
        </w:tc>
        <w:tc>
          <w:tcPr>
            <w:tcW w:w="1301" w:type="dxa"/>
            <w:tcBorders>
              <w:top w:val="single" w:color="000000" w:sz="4" w:space="0"/>
              <w:left w:val="single" w:color="000000" w:sz="4" w:space="0"/>
              <w:bottom w:val="single" w:color="000000" w:sz="4" w:space="0"/>
              <w:right w:val="single" w:color="000000" w:sz="4" w:space="0"/>
            </w:tcBorders>
          </w:tcPr>
          <w:p w14:paraId="6084F15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bCs/>
                <w:color w:val="auto"/>
                <w:sz w:val="24"/>
                <w:highlight w:val="none"/>
              </w:rPr>
            </w:pPr>
            <w:r>
              <w:rPr>
                <w:rFonts w:hint="eastAsia" w:ascii="宋体" w:hAnsi="宋体" w:cs="宋体"/>
                <w:bCs/>
                <w:color w:val="auto"/>
                <w:sz w:val="24"/>
                <w:highlight w:val="none"/>
              </w:rPr>
              <w:t>单项预算合计（万元/人民币）</w:t>
            </w:r>
          </w:p>
        </w:tc>
      </w:tr>
      <w:tr w14:paraId="315E38FF">
        <w:tblPrEx>
          <w:tblCellMar>
            <w:top w:w="0" w:type="dxa"/>
            <w:left w:w="108" w:type="dxa"/>
            <w:bottom w:w="0" w:type="dxa"/>
            <w:right w:w="108" w:type="dxa"/>
          </w:tblCellMar>
        </w:tblPrEx>
        <w:trPr>
          <w:trHeight w:val="161"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F161">
            <w:pPr>
              <w:keepNext w:val="0"/>
              <w:keepLines w:val="0"/>
              <w:pageBreakBefore w:val="0"/>
              <w:kinsoku/>
              <w:wordWrap/>
              <w:overflowPunct/>
              <w:topLinePunct w:val="0"/>
              <w:autoSpaceDE/>
              <w:autoSpaceDN/>
              <w:bidi w:val="0"/>
              <w:adjustRightInd/>
              <w:snapToGrid/>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CA7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应急监测车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4646">
            <w:pPr>
              <w:keepNext w:val="0"/>
              <w:keepLines w:val="0"/>
              <w:pageBreakBefore w:val="0"/>
              <w:kinsoku/>
              <w:wordWrap/>
              <w:overflowPunct/>
              <w:topLinePunct w:val="0"/>
              <w:autoSpaceDE/>
              <w:autoSpaceDN/>
              <w:bidi w:val="0"/>
              <w:adjustRightInd/>
              <w:snapToGrid/>
              <w:spacing w:line="32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CFA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kern w:val="0"/>
                <w:sz w:val="24"/>
                <w:lang w:eastAsia="zh-CN"/>
              </w:rPr>
            </w:pPr>
            <w:r>
              <w:rPr>
                <w:rFonts w:hint="eastAsia" w:ascii="宋体" w:hAnsi="宋体" w:cs="宋体"/>
                <w:kern w:val="0"/>
                <w:sz w:val="24"/>
                <w:lang w:eastAsia="zh-CN"/>
              </w:rPr>
              <w:t>辆</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EE40">
            <w:pPr>
              <w:keepNext w:val="0"/>
              <w:keepLines w:val="0"/>
              <w:pageBreakBefore w:val="0"/>
              <w:numPr>
                <w:ilvl w:val="0"/>
                <w:numId w:val="0"/>
              </w:numPr>
              <w:kinsoku/>
              <w:wordWrap/>
              <w:overflowPunct/>
              <w:topLinePunct w:val="0"/>
              <w:autoSpaceDE/>
              <w:autoSpaceDN/>
              <w:bidi w:val="0"/>
              <w:adjustRightInd/>
              <w:snapToGrid/>
              <w:spacing w:line="320" w:lineRule="exact"/>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一、</w:t>
            </w:r>
            <w:r>
              <w:rPr>
                <w:rFonts w:hint="eastAsia" w:ascii="宋体" w:hAnsi="宋体" w:cs="Batang"/>
                <w:color w:val="auto"/>
                <w:sz w:val="24"/>
                <w:highlight w:val="none"/>
                <w:lang w:val="en-US" w:eastAsia="zh-CN"/>
              </w:rPr>
              <w:t>车辆用途：用于装载集成ICP-MS等应急监测设备，</w:t>
            </w:r>
            <w:r>
              <w:rPr>
                <w:rFonts w:hint="eastAsia" w:ascii="宋体" w:hAnsi="宋体" w:cs="宋体"/>
                <w:color w:val="auto"/>
                <w:sz w:val="24"/>
                <w:szCs w:val="24"/>
                <w:highlight w:val="none"/>
                <w:lang w:val="en-US" w:eastAsia="zh-CN"/>
              </w:rPr>
              <w:t>监测设备尺寸</w:t>
            </w:r>
            <w:r>
              <w:rPr>
                <w:rFonts w:hint="eastAsia" w:ascii="宋体" w:hAnsi="宋体" w:eastAsia="宋体" w:cs="宋体"/>
                <w:bCs/>
                <w:color w:val="000000"/>
                <w:sz w:val="24"/>
                <w:highlight w:val="none"/>
              </w:rPr>
              <w:t>长</w:t>
            </w:r>
            <w:r>
              <w:rPr>
                <w:rFonts w:hint="eastAsia" w:ascii="宋体" w:hAnsi="宋体" w:cs="宋体"/>
                <w:bCs/>
                <w:color w:val="000000"/>
                <w:sz w:val="24"/>
                <w:highlight w:val="none"/>
                <w:lang w:eastAsia="zh-CN"/>
              </w:rPr>
              <w:t>约</w:t>
            </w:r>
            <w:r>
              <w:rPr>
                <w:rFonts w:hint="eastAsia" w:ascii="宋体" w:hAnsi="宋体" w:eastAsia="宋体" w:cs="宋体"/>
                <w:bCs/>
                <w:color w:val="000000"/>
                <w:sz w:val="24"/>
                <w:highlight w:val="none"/>
              </w:rPr>
              <w:t>4</w:t>
            </w:r>
            <w:r>
              <w:rPr>
                <w:rFonts w:hint="eastAsia" w:ascii="宋体" w:hAnsi="宋体" w:eastAsia="宋体" w:cs="宋体"/>
                <w:bCs/>
                <w:color w:val="000000"/>
                <w:sz w:val="24"/>
                <w:highlight w:val="none"/>
                <w:lang w:val="en-US" w:eastAsia="zh-CN"/>
              </w:rPr>
              <w:t>6</w:t>
            </w:r>
            <w:r>
              <w:rPr>
                <w:rFonts w:hint="eastAsia" w:ascii="宋体" w:hAnsi="宋体" w:eastAsia="宋体" w:cs="宋体"/>
                <w:bCs/>
                <w:color w:val="000000"/>
                <w:sz w:val="24"/>
                <w:highlight w:val="none"/>
              </w:rPr>
              <w:t>00，宽</w:t>
            </w:r>
            <w:r>
              <w:rPr>
                <w:rFonts w:hint="eastAsia" w:ascii="宋体" w:hAnsi="宋体" w:cs="宋体"/>
                <w:bCs/>
                <w:color w:val="000000"/>
                <w:sz w:val="24"/>
                <w:highlight w:val="none"/>
                <w:lang w:eastAsia="zh-CN"/>
              </w:rPr>
              <w:t>约</w:t>
            </w:r>
            <w:r>
              <w:rPr>
                <w:rFonts w:hint="eastAsia" w:ascii="宋体" w:hAnsi="宋体" w:eastAsia="宋体" w:cs="宋体"/>
                <w:bCs/>
                <w:color w:val="000000"/>
                <w:sz w:val="24"/>
                <w:highlight w:val="none"/>
              </w:rPr>
              <w:t>2100，高度</w:t>
            </w:r>
            <w:r>
              <w:rPr>
                <w:rFonts w:hint="eastAsia" w:ascii="宋体" w:hAnsi="宋体" w:cs="宋体"/>
                <w:bCs/>
                <w:color w:val="000000"/>
                <w:sz w:val="24"/>
                <w:highlight w:val="none"/>
                <w:lang w:eastAsia="zh-CN"/>
              </w:rPr>
              <w:t>约</w:t>
            </w:r>
            <w:r>
              <w:rPr>
                <w:rFonts w:hint="eastAsia" w:ascii="宋体" w:hAnsi="宋体" w:eastAsia="宋体" w:cs="宋体"/>
                <w:bCs/>
                <w:color w:val="000000"/>
                <w:sz w:val="24"/>
                <w:highlight w:val="none"/>
                <w:lang w:val="en-US" w:eastAsia="zh-CN"/>
              </w:rPr>
              <w:t>20</w:t>
            </w:r>
            <w:r>
              <w:rPr>
                <w:rFonts w:hint="eastAsia" w:ascii="宋体" w:hAnsi="宋体" w:eastAsia="宋体" w:cs="宋体"/>
                <w:bCs/>
                <w:color w:val="000000"/>
                <w:sz w:val="24"/>
                <w:highlight w:val="none"/>
              </w:rPr>
              <w:t>00mm</w:t>
            </w:r>
            <w:r>
              <w:rPr>
                <w:rFonts w:hint="eastAsia" w:ascii="宋体" w:hAnsi="宋体" w:cs="宋体"/>
                <w:color w:val="auto"/>
                <w:sz w:val="24"/>
                <w:szCs w:val="24"/>
                <w:highlight w:val="none"/>
                <w:lang w:val="en-US" w:eastAsia="zh-CN"/>
              </w:rPr>
              <w:t>。</w:t>
            </w:r>
          </w:p>
          <w:p w14:paraId="704CB1C7">
            <w:pPr>
              <w:keepNext w:val="0"/>
              <w:keepLines w:val="0"/>
              <w:pageBreakBefore w:val="0"/>
              <w:numPr>
                <w:ilvl w:val="0"/>
                <w:numId w:val="0"/>
              </w:numPr>
              <w:kinsoku/>
              <w:wordWrap/>
              <w:overflowPunct/>
              <w:topLinePunct w:val="0"/>
              <w:autoSpaceDE/>
              <w:autoSpaceDN/>
              <w:bidi w:val="0"/>
              <w:adjustRightInd/>
              <w:snapToGrid/>
              <w:spacing w:line="320" w:lineRule="exact"/>
              <w:rPr>
                <w:rFonts w:hint="default" w:ascii="宋体" w:hAnsi="宋体" w:eastAsia="宋体" w:cs="Batang"/>
                <w:color w:val="auto"/>
                <w:sz w:val="24"/>
                <w:highlight w:val="none"/>
                <w:lang w:val="en-US" w:eastAsia="zh-CN"/>
              </w:rPr>
            </w:pPr>
            <w:r>
              <w:rPr>
                <w:rFonts w:hint="eastAsia" w:ascii="宋体" w:hAnsi="宋体" w:cs="Batang"/>
                <w:color w:val="auto"/>
                <w:sz w:val="24"/>
                <w:highlight w:val="none"/>
                <w:lang w:val="en-US" w:eastAsia="zh-CN"/>
              </w:rPr>
              <w:t>......具体详见采购文件第三章。</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FCEF">
            <w:pPr>
              <w:widowControl/>
              <w:spacing w:line="400" w:lineRule="exact"/>
              <w:jc w:val="center"/>
              <w:textAlignment w:val="center"/>
              <w:rPr>
                <w:rFonts w:hint="default" w:ascii="宋体" w:hAnsi="宋体" w:eastAsia="宋体" w:cs="宋体"/>
                <w:bCs/>
                <w:color w:val="auto"/>
                <w:sz w:val="24"/>
                <w:highlight w:val="none"/>
                <w:lang w:val="en-US" w:eastAsia="zh-CN"/>
              </w:rPr>
            </w:pPr>
            <w:r>
              <w:rPr>
                <w:rFonts w:hint="eastAsia" w:ascii="宋体" w:hAnsi="宋体" w:cs="宋体"/>
                <w:sz w:val="24"/>
                <w:lang w:val="en-US" w:eastAsia="zh-CN"/>
              </w:rPr>
              <w:t>28.00</w:t>
            </w:r>
          </w:p>
        </w:tc>
        <w:tc>
          <w:tcPr>
            <w:tcW w:w="1301" w:type="dxa"/>
            <w:tcBorders>
              <w:top w:val="single" w:color="000000" w:sz="4" w:space="0"/>
              <w:left w:val="single" w:color="000000" w:sz="4" w:space="0"/>
              <w:bottom w:val="single" w:color="000000" w:sz="4" w:space="0"/>
              <w:right w:val="single" w:color="000000" w:sz="4" w:space="0"/>
            </w:tcBorders>
            <w:vAlign w:val="center"/>
          </w:tcPr>
          <w:p w14:paraId="02A08A2E">
            <w:pPr>
              <w:widowControl/>
              <w:spacing w:line="400" w:lineRule="exact"/>
              <w:jc w:val="center"/>
              <w:textAlignment w:val="center"/>
              <w:rPr>
                <w:rFonts w:hint="default" w:ascii="宋体" w:hAnsi="宋体" w:eastAsia="宋体" w:cs="宋体"/>
                <w:bCs/>
                <w:color w:val="auto"/>
                <w:sz w:val="24"/>
                <w:highlight w:val="none"/>
                <w:lang w:val="en-US" w:eastAsia="zh-CN"/>
              </w:rPr>
            </w:pPr>
            <w:r>
              <w:rPr>
                <w:rFonts w:hint="eastAsia" w:ascii="宋体" w:hAnsi="宋体" w:cs="宋体"/>
                <w:sz w:val="24"/>
                <w:lang w:val="en-US" w:eastAsia="zh-CN"/>
              </w:rPr>
              <w:t>28.00</w:t>
            </w:r>
          </w:p>
        </w:tc>
      </w:tr>
      <w:tr w14:paraId="5F773475">
        <w:tblPrEx>
          <w:tblCellMar>
            <w:top w:w="0" w:type="dxa"/>
            <w:left w:w="108" w:type="dxa"/>
            <w:bottom w:w="0" w:type="dxa"/>
            <w:right w:w="108" w:type="dxa"/>
          </w:tblCellMar>
        </w:tblPrEx>
        <w:trPr>
          <w:trHeight w:val="582" w:hRule="atLeast"/>
          <w:jc w:val="center"/>
        </w:trPr>
        <w:tc>
          <w:tcPr>
            <w:tcW w:w="98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E8B69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auto"/>
                <w:sz w:val="24"/>
                <w:highlight w:val="none"/>
              </w:rPr>
            </w:pPr>
            <w:r>
              <w:rPr>
                <w:rFonts w:hint="eastAsia" w:ascii="宋体" w:hAnsi="宋体" w:cs="宋体"/>
                <w:color w:val="auto"/>
                <w:sz w:val="24"/>
                <w:highlight w:val="none"/>
              </w:rPr>
              <w:t>预算合计金额（人民币大写）</w:t>
            </w:r>
            <w:r>
              <w:rPr>
                <w:rFonts w:hint="eastAsia" w:ascii="宋体" w:hAnsi="宋体" w:cs="宋体"/>
                <w:color w:val="auto"/>
                <w:sz w:val="24"/>
                <w:highlight w:val="none"/>
                <w:lang w:eastAsia="zh-CN"/>
              </w:rPr>
              <w:t>贰拾捌万元整（¥</w:t>
            </w:r>
            <w:r>
              <w:rPr>
                <w:rFonts w:hint="eastAsia" w:ascii="宋体" w:hAnsi="宋体" w:cs="宋体"/>
                <w:color w:val="auto"/>
                <w:sz w:val="24"/>
                <w:highlight w:val="none"/>
                <w:lang w:val="en-US" w:eastAsia="zh-CN"/>
              </w:rPr>
              <w:t>280,000.00</w:t>
            </w:r>
            <w:r>
              <w:rPr>
                <w:rFonts w:hint="eastAsia" w:ascii="宋体" w:hAnsi="宋体" w:cs="宋体"/>
                <w:color w:val="auto"/>
                <w:sz w:val="24"/>
                <w:highlight w:val="none"/>
                <w:lang w:eastAsia="zh-CN"/>
              </w:rPr>
              <w:t>）</w:t>
            </w:r>
          </w:p>
        </w:tc>
      </w:tr>
    </w:tbl>
    <w:p w14:paraId="1DFB9D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合同履行期限：自签订合同之日起60日内完成上牌并交付整车</w:t>
      </w:r>
      <w:r>
        <w:rPr>
          <w:rFonts w:hint="eastAsia" w:ascii="宋体" w:hAnsi="宋体" w:cs="宋体"/>
          <w:color w:val="auto"/>
          <w:sz w:val="24"/>
          <w:highlight w:val="none"/>
          <w:lang w:eastAsia="zh-CN"/>
        </w:rPr>
        <w:t>，确保车辆合格上路行驶</w:t>
      </w:r>
      <w:r>
        <w:rPr>
          <w:rFonts w:hint="eastAsia" w:ascii="宋体" w:hAnsi="宋体" w:cs="宋体"/>
          <w:color w:val="auto"/>
          <w:sz w:val="24"/>
          <w:highlight w:val="none"/>
        </w:rPr>
        <w:t>。</w:t>
      </w:r>
    </w:p>
    <w:p w14:paraId="0EB8BF8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本项目是否接受联合体：否。</w:t>
      </w:r>
    </w:p>
    <w:p w14:paraId="3818EE2A">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rPr>
          <w:rFonts w:ascii="宋体" w:hAnsi="宋体" w:cs="宋体"/>
          <w:b/>
          <w:bCs/>
          <w:color w:val="auto"/>
          <w:sz w:val="24"/>
          <w:highlight w:val="none"/>
        </w:rPr>
      </w:pPr>
      <w:r>
        <w:rPr>
          <w:rFonts w:hint="eastAsia" w:ascii="宋体" w:hAnsi="宋体" w:cs="宋体"/>
          <w:b/>
          <w:bCs/>
          <w:color w:val="auto"/>
          <w:sz w:val="24"/>
          <w:highlight w:val="none"/>
        </w:rPr>
        <w:t>二、申请人的资格条件：</w:t>
      </w:r>
    </w:p>
    <w:p w14:paraId="5DF566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bookmarkStart w:id="8" w:name="_Hlk51746371"/>
      <w:r>
        <w:rPr>
          <w:rFonts w:hint="eastAsia" w:ascii="宋体" w:hAnsi="宋体" w:cs="宋体"/>
          <w:color w:val="auto"/>
          <w:sz w:val="24"/>
          <w:highlight w:val="none"/>
        </w:rPr>
        <w:t>1.满足《中华人民共和国政府采购法》第二十二条规定；</w:t>
      </w:r>
    </w:p>
    <w:p w14:paraId="0A5BEE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2.落实政府采购政策需满足的资格要求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无</w:t>
      </w:r>
    </w:p>
    <w:p w14:paraId="042523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3.本项目的特定资格要求：</w:t>
      </w:r>
      <w:bookmarkEnd w:id="8"/>
      <w:r>
        <w:rPr>
          <w:rFonts w:hint="eastAsia" w:ascii="宋体" w:hAnsi="宋体" w:cs="宋体"/>
          <w:color w:val="auto"/>
          <w:sz w:val="24"/>
          <w:highlight w:val="none"/>
          <w:lang w:val="en-US" w:eastAsia="zh-CN"/>
        </w:rPr>
        <w:t>无。</w:t>
      </w:r>
    </w:p>
    <w:p w14:paraId="1D4F9FAE">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rPr>
          <w:rFonts w:ascii="宋体" w:hAnsi="宋体" w:cs="宋体"/>
          <w:b/>
          <w:bCs/>
          <w:color w:val="auto"/>
          <w:sz w:val="24"/>
          <w:highlight w:val="none"/>
        </w:rPr>
      </w:pPr>
      <w:r>
        <w:rPr>
          <w:rFonts w:hint="eastAsia" w:ascii="宋体" w:hAnsi="宋体" w:cs="宋体"/>
          <w:b/>
          <w:bCs/>
          <w:color w:val="auto"/>
          <w:sz w:val="24"/>
          <w:highlight w:val="none"/>
        </w:rPr>
        <w:t>三、获取竞争性谈判采购文件</w:t>
      </w:r>
    </w:p>
    <w:p w14:paraId="506F670E">
      <w:pPr>
        <w:keepNext w:val="0"/>
        <w:keepLines w:val="0"/>
        <w:pageBreakBefore w:val="0"/>
        <w:widowControl w:val="0"/>
        <w:tabs>
          <w:tab w:val="left" w:pos="1080"/>
        </w:tabs>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1.时间：</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日，每天8时至12时，15时至18时（北京时间，法定节假日除外）</w:t>
      </w:r>
      <w:r>
        <w:rPr>
          <w:rFonts w:hint="eastAsia" w:ascii="宋体" w:hAnsi="宋体" w:cs="宋体"/>
          <w:color w:val="auto"/>
          <w:sz w:val="24"/>
          <w:szCs w:val="24"/>
          <w:highlight w:val="none"/>
          <w:lang w:eastAsia="zh-CN"/>
        </w:rPr>
        <w:t>。</w:t>
      </w:r>
    </w:p>
    <w:p w14:paraId="2B77C306">
      <w:pPr>
        <w:keepNext w:val="0"/>
        <w:keepLines w:val="0"/>
        <w:pageBreakBefore w:val="0"/>
        <w:widowControl w:val="0"/>
        <w:tabs>
          <w:tab w:val="left" w:pos="1080"/>
        </w:tabs>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rPr>
        <w:t>2.地点：</w:t>
      </w:r>
      <w:r>
        <w:rPr>
          <w:rFonts w:hint="eastAsia" w:ascii="宋体" w:hAnsi="宋体" w:cs="宋体"/>
          <w:b/>
          <w:bCs/>
          <w:color w:val="auto"/>
          <w:sz w:val="24"/>
          <w:szCs w:val="24"/>
          <w:highlight w:val="none"/>
          <w:lang w:val="en-US" w:eastAsia="zh-CN"/>
        </w:rPr>
        <w:t xml:space="preserve">       </w:t>
      </w:r>
    </w:p>
    <w:p w14:paraId="61B0EF2F">
      <w:pPr>
        <w:keepNext w:val="0"/>
        <w:keepLines w:val="0"/>
        <w:pageBreakBefore w:val="0"/>
        <w:widowControl w:val="0"/>
        <w:tabs>
          <w:tab w:val="left" w:pos="1080"/>
        </w:tabs>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3.售价：</w:t>
      </w:r>
      <w:r>
        <w:rPr>
          <w:rFonts w:hint="eastAsia" w:ascii="宋体" w:hAnsi="宋体" w:eastAsia="宋体" w:cs="宋体"/>
          <w:color w:val="auto"/>
          <w:sz w:val="24"/>
          <w:szCs w:val="24"/>
          <w:highlight w:val="none"/>
        </w:rPr>
        <w:t>人民币300元</w:t>
      </w:r>
      <w:r>
        <w:rPr>
          <w:rFonts w:hint="eastAsia" w:ascii="宋体" w:hAnsi="宋体" w:cs="宋体"/>
          <w:color w:val="auto"/>
          <w:sz w:val="24"/>
          <w:szCs w:val="24"/>
          <w:highlight w:val="none"/>
          <w:lang w:val="en-US" w:eastAsia="zh-CN"/>
        </w:rPr>
        <w:t>1份</w:t>
      </w:r>
      <w:r>
        <w:rPr>
          <w:rFonts w:hint="eastAsia" w:ascii="宋体" w:hAnsi="宋体" w:eastAsia="宋体" w:cs="宋体"/>
          <w:color w:val="auto"/>
          <w:sz w:val="24"/>
          <w:szCs w:val="24"/>
          <w:highlight w:val="none"/>
        </w:rPr>
        <w:t>，售后不退。</w:t>
      </w:r>
    </w:p>
    <w:p w14:paraId="11376C6F">
      <w:pPr>
        <w:keepNext w:val="0"/>
        <w:keepLines w:val="0"/>
        <w:pageBreakBefore w:val="0"/>
        <w:widowControl w:val="0"/>
        <w:tabs>
          <w:tab w:val="left" w:pos="1080"/>
        </w:tabs>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4.方式：</w:t>
      </w:r>
    </w:p>
    <w:p w14:paraId="0918CC17">
      <w:pPr>
        <w:pStyle w:val="77"/>
        <w:keepNext w:val="0"/>
        <w:keepLines w:val="0"/>
        <w:pageBreakBefore w:val="0"/>
        <w:widowControl w:val="0"/>
        <w:kinsoku/>
        <w:wordWrap/>
        <w:overflowPunct/>
        <w:topLinePunct w:val="0"/>
        <w:autoSpaceDE/>
        <w:autoSpaceDN/>
        <w:bidi w:val="0"/>
        <w:adjustRightInd/>
        <w:snapToGrid/>
        <w:spacing w:after="0" w:line="44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（1）现场购买：潜在供应商自行到广西科文招标有限公司来宾分公司购买，付款方式只接受现金付款和银行</w:t>
      </w:r>
      <w:r>
        <w:rPr>
          <w:rFonts w:hint="eastAsia" w:ascii="宋体" w:hAnsi="宋体" w:cs="宋体"/>
          <w:color w:val="auto"/>
          <w:sz w:val="24"/>
          <w:szCs w:val="24"/>
          <w:highlight w:val="none"/>
          <w:lang w:eastAsia="zh-CN"/>
        </w:rPr>
        <w:t>公对公</w:t>
      </w:r>
      <w:r>
        <w:rPr>
          <w:rFonts w:hint="eastAsia" w:ascii="宋体" w:hAnsi="宋体" w:eastAsia="宋体" w:cs="宋体"/>
          <w:color w:val="auto"/>
          <w:sz w:val="24"/>
          <w:szCs w:val="24"/>
          <w:highlight w:val="none"/>
        </w:rPr>
        <w:t>转账，不接受微信付款、支付宝付款和银行卡刷卡。</w:t>
      </w:r>
    </w:p>
    <w:p w14:paraId="418889D3">
      <w:pPr>
        <w:pStyle w:val="15"/>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（2）邮寄购买：潜在供应商邮购采购文件的，另附邮费50元，在</w:t>
      </w:r>
      <w:r>
        <w:rPr>
          <w:rFonts w:hint="eastAsia" w:ascii="宋体" w:hAnsi="宋体" w:eastAsia="宋体" w:cs="宋体"/>
          <w:bCs/>
          <w:color w:val="auto"/>
          <w:sz w:val="24"/>
          <w:szCs w:val="24"/>
          <w:highlight w:val="none"/>
        </w:rPr>
        <w:t>获取采购文件</w:t>
      </w:r>
      <w:r>
        <w:rPr>
          <w:rFonts w:hint="eastAsia" w:ascii="宋体" w:hAnsi="宋体" w:eastAsia="宋体" w:cs="宋体"/>
          <w:color w:val="auto"/>
          <w:sz w:val="24"/>
          <w:szCs w:val="24"/>
          <w:highlight w:val="none"/>
        </w:rPr>
        <w:t>截止时间前将标书款和邮费共350元对公转账到代理机构账户，邮寄时还需将拟购买的项目名称、项目编号、供应商联系人、联系电话、传真、电子邮箱、邮寄采购文件的详细地址及开票信息发至</w:t>
      </w:r>
      <w:r>
        <w:rPr>
          <w:rFonts w:hint="eastAsia" w:ascii="宋体" w:hAnsi="宋体" w:cs="宋体"/>
          <w:color w:val="auto"/>
          <w:sz w:val="24"/>
          <w:szCs w:val="24"/>
          <w:highlight w:val="none"/>
          <w:lang w:val="en-US" w:eastAsia="zh-CN"/>
        </w:rPr>
        <w:t>lbkwzb</w:t>
      </w:r>
      <w:r>
        <w:rPr>
          <w:rFonts w:hint="eastAsia" w:ascii="宋体" w:hAnsi="宋体" w:eastAsia="宋体" w:cs="宋体"/>
          <w:color w:val="auto"/>
          <w:sz w:val="24"/>
          <w:szCs w:val="24"/>
          <w:highlight w:val="none"/>
        </w:rPr>
        <w:t>@163.com邮箱】。如未能提供联系方式和准确的邮寄地址造成采购文件无法邮寄或无法联系的，后果由供应商自负。</w:t>
      </w:r>
    </w:p>
    <w:p w14:paraId="14671CE5">
      <w:pPr>
        <w:pStyle w:val="15"/>
        <w:snapToGrid w:val="0"/>
        <w:spacing w:line="500" w:lineRule="exact"/>
        <w:rPr>
          <w:rFonts w:hAnsi="宋体" w:cs="宋体"/>
          <w:b/>
          <w:bCs/>
          <w:color w:val="auto"/>
          <w:sz w:val="24"/>
          <w:szCs w:val="24"/>
          <w:highlight w:val="none"/>
        </w:rPr>
      </w:pPr>
      <w:r>
        <w:rPr>
          <w:rFonts w:hint="eastAsia" w:hAnsi="宋体" w:cs="宋体"/>
          <w:b/>
          <w:bCs/>
          <w:color w:val="auto"/>
          <w:sz w:val="24"/>
          <w:szCs w:val="24"/>
          <w:highlight w:val="none"/>
        </w:rPr>
        <w:t>开户名称：广西科文招标有限公司来宾分公司</w:t>
      </w:r>
      <w:r>
        <w:rPr>
          <w:rFonts w:hAnsi="宋体" w:cs="宋体"/>
          <w:b/>
          <w:bCs/>
          <w:color w:val="auto"/>
          <w:sz w:val="24"/>
          <w:szCs w:val="24"/>
          <w:highlight w:val="none"/>
        </w:rPr>
        <w:t xml:space="preserve"> </w:t>
      </w:r>
    </w:p>
    <w:p w14:paraId="50C2D08F">
      <w:pPr>
        <w:pStyle w:val="15"/>
        <w:snapToGrid w:val="0"/>
        <w:spacing w:line="500" w:lineRule="exact"/>
        <w:rPr>
          <w:rFonts w:hint="eastAsia" w:hAnsi="宋体" w:eastAsia="宋体" w:cs="宋体"/>
          <w:b/>
          <w:bCs/>
          <w:color w:val="auto"/>
          <w:sz w:val="24"/>
          <w:szCs w:val="24"/>
          <w:highlight w:val="none"/>
          <w:lang w:eastAsia="zh-CN"/>
        </w:rPr>
      </w:pPr>
      <w:r>
        <w:rPr>
          <w:rFonts w:hint="eastAsia" w:hAnsi="宋体" w:cs="宋体"/>
          <w:b/>
          <w:bCs/>
          <w:color w:val="auto"/>
          <w:sz w:val="24"/>
          <w:szCs w:val="24"/>
          <w:highlight w:val="none"/>
        </w:rPr>
        <w:t>开户银行：</w:t>
      </w:r>
      <w:r>
        <w:rPr>
          <w:rFonts w:hint="eastAsia" w:hAnsi="宋体" w:cs="宋体"/>
          <w:b/>
          <w:bCs/>
          <w:color w:val="auto"/>
          <w:sz w:val="24"/>
          <w:szCs w:val="24"/>
          <w:highlight w:val="none"/>
          <w:lang w:eastAsia="zh-CN"/>
        </w:rPr>
        <w:t>广西来宾农村商业银行股份有限公司迎宾支行</w:t>
      </w:r>
    </w:p>
    <w:p w14:paraId="05B1A302">
      <w:pPr>
        <w:pStyle w:val="15"/>
        <w:snapToGrid w:val="0"/>
        <w:spacing w:line="500" w:lineRule="exact"/>
        <w:rPr>
          <w:rFonts w:hint="eastAsia" w:hAnsi="宋体" w:cs="宋体"/>
          <w:b/>
          <w:bCs/>
          <w:color w:val="auto"/>
          <w:sz w:val="24"/>
          <w:szCs w:val="24"/>
          <w:highlight w:val="none"/>
        </w:rPr>
      </w:pPr>
      <w:r>
        <w:rPr>
          <w:rFonts w:hint="eastAsia" w:hAnsi="宋体" w:cs="宋体"/>
          <w:b/>
          <w:bCs/>
          <w:color w:val="auto"/>
          <w:sz w:val="24"/>
          <w:szCs w:val="24"/>
          <w:highlight w:val="none"/>
        </w:rPr>
        <w:t>银行账号：223712010100706853</w:t>
      </w:r>
    </w:p>
    <w:p w14:paraId="345BFDE5">
      <w:pPr>
        <w:keepNext w:val="0"/>
        <w:keepLines w:val="0"/>
        <w:pageBreakBefore w:val="0"/>
        <w:widowControl w:val="0"/>
        <w:tabs>
          <w:tab w:val="left" w:pos="1080"/>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行号：402615500012</w:t>
      </w:r>
    </w:p>
    <w:p w14:paraId="527BEAF7">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rPr>
          <w:rFonts w:ascii="宋体" w:hAnsi="宋体" w:cs="宋体"/>
          <w:b/>
          <w:bCs/>
          <w:color w:val="auto"/>
          <w:sz w:val="24"/>
          <w:highlight w:val="none"/>
        </w:rPr>
      </w:pPr>
      <w:r>
        <w:rPr>
          <w:rFonts w:hint="eastAsia" w:ascii="宋体" w:hAnsi="宋体" w:cs="宋体"/>
          <w:b/>
          <w:bCs/>
          <w:color w:val="auto"/>
          <w:sz w:val="24"/>
          <w:highlight w:val="none"/>
        </w:rPr>
        <w:t>四、响应文件提交</w:t>
      </w:r>
    </w:p>
    <w:p w14:paraId="664CE69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1.首次响应文件提交截止时间：</w:t>
      </w:r>
      <w:r>
        <w:rPr>
          <w:rFonts w:hint="eastAsia" w:ascii="宋体" w:hAnsi="宋体" w:cs="宋体"/>
          <w:color w:val="auto"/>
          <w:sz w:val="24"/>
          <w:highlight w:val="none"/>
          <w:lang w:val="en-US" w:eastAsia="zh-CN"/>
        </w:rPr>
        <w:t xml:space="preserve">2025年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日9点00分前（北京时间）</w:t>
      </w:r>
    </w:p>
    <w:p w14:paraId="462F2A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2.广西科文招标有限公司</w:t>
      </w:r>
      <w:r>
        <w:rPr>
          <w:rFonts w:hint="eastAsia" w:ascii="宋体" w:hAnsi="宋体" w:cs="宋体"/>
          <w:color w:val="auto"/>
          <w:sz w:val="24"/>
          <w:highlight w:val="none"/>
          <w:lang w:val="en-US" w:eastAsia="zh-CN"/>
        </w:rPr>
        <w:t>来宾分公司</w:t>
      </w:r>
      <w:r>
        <w:rPr>
          <w:rFonts w:hint="eastAsia" w:ascii="宋体" w:hAnsi="宋体" w:cs="宋体"/>
          <w:color w:val="auto"/>
          <w:sz w:val="24"/>
          <w:highlight w:val="none"/>
        </w:rPr>
        <w:t>开标厅（</w:t>
      </w:r>
      <w:r>
        <w:rPr>
          <w:rFonts w:hint="eastAsia" w:ascii="宋体" w:hAnsi="宋体" w:cs="宋体"/>
          <w:color w:val="auto"/>
          <w:sz w:val="24"/>
          <w:highlight w:val="none"/>
          <w:lang w:val="en-US" w:eastAsia="zh-CN"/>
        </w:rPr>
        <w:t>地址：来宾市凤临路10号裕达中央城江临天下5号楼红水河大道6-5号</w:t>
      </w:r>
      <w:r>
        <w:rPr>
          <w:rFonts w:hint="eastAsia" w:ascii="宋体" w:hAnsi="宋体" w:cs="宋体"/>
          <w:color w:val="auto"/>
          <w:sz w:val="24"/>
          <w:highlight w:val="none"/>
        </w:rPr>
        <w:t>）。参加</w:t>
      </w:r>
      <w:r>
        <w:rPr>
          <w:rFonts w:hint="eastAsia" w:ascii="宋体" w:hAnsi="宋体" w:cs="宋体"/>
          <w:color w:val="auto"/>
          <w:sz w:val="24"/>
          <w:highlight w:val="none"/>
          <w:lang w:eastAsia="zh-CN"/>
        </w:rPr>
        <w:t>谈判</w:t>
      </w:r>
      <w:r>
        <w:rPr>
          <w:rFonts w:hint="eastAsia" w:ascii="宋体" w:hAnsi="宋体" w:cs="宋体"/>
          <w:color w:val="auto"/>
          <w:sz w:val="24"/>
          <w:highlight w:val="none"/>
        </w:rPr>
        <w:t>的供应商的法定代表人或委托代理人必须持有效证件依时到达指定地点等候当面</w:t>
      </w:r>
      <w:r>
        <w:rPr>
          <w:rFonts w:hint="eastAsia" w:ascii="宋体" w:hAnsi="宋体" w:cs="宋体"/>
          <w:color w:val="auto"/>
          <w:sz w:val="24"/>
          <w:highlight w:val="none"/>
          <w:lang w:eastAsia="zh-CN"/>
        </w:rPr>
        <w:t>谈判</w:t>
      </w:r>
      <w:r>
        <w:rPr>
          <w:rFonts w:hint="eastAsia" w:ascii="宋体" w:hAnsi="宋体" w:cs="宋体"/>
          <w:color w:val="auto"/>
          <w:sz w:val="24"/>
          <w:highlight w:val="none"/>
        </w:rPr>
        <w:t>。有效证件要求如下：</w:t>
      </w:r>
    </w:p>
    <w:p w14:paraId="5B36AC38">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（1）法定代表人前来的，须出示其有效身份证原件及复印件、营业执照或事业单位法人证书复印件（加盖</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单位公章）；</w:t>
      </w:r>
    </w:p>
    <w:p w14:paraId="50889AAF">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cs="宋体"/>
          <w:color w:val="auto"/>
          <w:sz w:val="24"/>
          <w:highlight w:val="none"/>
        </w:rPr>
      </w:pPr>
      <w:r>
        <w:rPr>
          <w:rFonts w:hint="eastAsia" w:ascii="宋体" w:hAnsi="宋体" w:cs="宋体"/>
          <w:color w:val="auto"/>
          <w:sz w:val="24"/>
          <w:highlight w:val="none"/>
        </w:rPr>
        <w:t>（2）被授权代表为非法定代表人前来的，须出示其有效身份证原件及复印件、法定代表人授权委托书原件、营业执照或事业单位法人证书复印件（加盖</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单位公章）。</w:t>
      </w:r>
    </w:p>
    <w:p w14:paraId="50F6F6A7">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rPr>
          <w:rFonts w:ascii="宋体" w:hAnsi="宋体" w:cs="宋体"/>
          <w:b/>
          <w:bCs/>
          <w:color w:val="auto"/>
          <w:sz w:val="24"/>
          <w:highlight w:val="none"/>
        </w:rPr>
      </w:pPr>
      <w:r>
        <w:rPr>
          <w:rFonts w:hint="eastAsia" w:ascii="宋体" w:hAnsi="宋体" w:cs="宋体"/>
          <w:b/>
          <w:bCs/>
          <w:color w:val="auto"/>
          <w:sz w:val="24"/>
          <w:highlight w:val="none"/>
        </w:rPr>
        <w:t>五、开启</w:t>
      </w:r>
    </w:p>
    <w:p w14:paraId="121DE8E6">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rPr>
          <w:rFonts w:hint="eastAsia" w:ascii="宋体" w:hAnsi="宋体" w:cs="宋体"/>
          <w:b w:val="0"/>
          <w:bCs w:val="0"/>
          <w:color w:val="auto"/>
          <w:sz w:val="24"/>
          <w:highlight w:val="none"/>
        </w:rPr>
      </w:pPr>
      <w:r>
        <w:rPr>
          <w:rFonts w:hint="eastAsia" w:ascii="宋体" w:hAnsi="宋体" w:cs="宋体"/>
          <w:b/>
          <w:bCs/>
          <w:color w:val="auto"/>
          <w:sz w:val="24"/>
          <w:highlight w:val="none"/>
        </w:rPr>
        <w:t>1.时间：</w:t>
      </w:r>
      <w:r>
        <w:rPr>
          <w:rFonts w:hint="eastAsia" w:ascii="宋体" w:hAnsi="宋体" w:cs="宋体"/>
          <w:b w:val="0"/>
          <w:bCs w:val="0"/>
          <w:color w:val="auto"/>
          <w:sz w:val="24"/>
          <w:highlight w:val="none"/>
          <w:lang w:eastAsia="zh-CN"/>
        </w:rPr>
        <w:t>2025年</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rPr>
        <w:t>月</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rPr>
        <w:t>日9时00分后（北京时间）（具体时间以评委到达评标现场并开始评标为准）。</w:t>
      </w:r>
    </w:p>
    <w:p w14:paraId="395ADC55">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2.地点：</w:t>
      </w:r>
      <w:r>
        <w:rPr>
          <w:rFonts w:hint="eastAsia" w:ascii="宋体" w:hAnsi="宋体" w:cs="宋体"/>
          <w:color w:val="auto"/>
          <w:sz w:val="24"/>
          <w:highlight w:val="none"/>
          <w:lang w:val="en-US" w:eastAsia="zh-CN"/>
        </w:rPr>
        <w:t>来宾市凤临路10号裕达中央城江临天下5号楼红水河大道6-5号</w:t>
      </w:r>
    </w:p>
    <w:p w14:paraId="46049962">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rPr>
          <w:rFonts w:ascii="宋体" w:hAnsi="宋体" w:cs="宋体"/>
          <w:b/>
          <w:bCs/>
          <w:color w:val="auto"/>
          <w:sz w:val="24"/>
          <w:highlight w:val="none"/>
        </w:rPr>
      </w:pPr>
      <w:r>
        <w:rPr>
          <w:rFonts w:hint="eastAsia" w:ascii="宋体" w:hAnsi="宋体" w:cs="宋体"/>
          <w:b/>
          <w:bCs/>
          <w:color w:val="auto"/>
          <w:sz w:val="24"/>
          <w:highlight w:val="none"/>
        </w:rPr>
        <w:t>六、公告期限</w:t>
      </w:r>
    </w:p>
    <w:p w14:paraId="459616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14:paraId="66785D9F">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361" w:firstLineChars="15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其他补充事宜</w:t>
      </w:r>
    </w:p>
    <w:p w14:paraId="50EE7C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竞标保证金（人民币）：</w:t>
      </w:r>
      <w:r>
        <w:rPr>
          <w:rFonts w:hint="eastAsia" w:ascii="宋体" w:hAnsi="宋体" w:eastAsia="宋体" w:cs="宋体"/>
          <w:color w:val="auto"/>
          <w:sz w:val="24"/>
          <w:highlight w:val="none"/>
          <w:lang w:val="en-US" w:eastAsia="zh-CN"/>
        </w:rPr>
        <w:t>2800.00元。</w:t>
      </w:r>
    </w:p>
    <w:p w14:paraId="5BA2DC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4E910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E5E82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.网上查询地址：中国采购与招标网、广西壮族自治区生态环境厅网、广西科文招标有限公司网。</w:t>
      </w:r>
    </w:p>
    <w:p w14:paraId="19E87D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.本项目需要落实的政府采购政策：</w:t>
      </w:r>
    </w:p>
    <w:p w14:paraId="06318C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（1）政府采购促进中小企业发展。</w:t>
      </w:r>
    </w:p>
    <w:p w14:paraId="7910D3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（2）政府采购支持采用本国产品的政策。</w:t>
      </w:r>
    </w:p>
    <w:p w14:paraId="65400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（3）强制采购节能产品；优先采购节能产品、环境标志产品。</w:t>
      </w:r>
    </w:p>
    <w:p w14:paraId="4CE897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（4）政府采购促进残疾人就业政策。</w:t>
      </w:r>
    </w:p>
    <w:p w14:paraId="4E210E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（5）政府采购支持监狱企业发展。</w:t>
      </w:r>
    </w:p>
    <w:p w14:paraId="3E8F2E00">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rPr>
          <w:rFonts w:ascii="宋体" w:hAnsi="宋体" w:cs="宋体"/>
          <w:b/>
          <w:bCs/>
          <w:color w:val="auto"/>
          <w:sz w:val="24"/>
          <w:highlight w:val="none"/>
        </w:rPr>
      </w:pPr>
      <w:r>
        <w:rPr>
          <w:rFonts w:hint="eastAsia" w:ascii="宋体" w:hAnsi="宋体" w:cs="宋体"/>
          <w:b/>
          <w:bCs/>
          <w:color w:val="auto"/>
          <w:sz w:val="24"/>
          <w:highlight w:val="none"/>
        </w:rPr>
        <w:t>八、凡对本次采购提出询问，请按以下方式联系。</w:t>
      </w:r>
      <w:bookmarkEnd w:id="2"/>
      <w:bookmarkEnd w:id="3"/>
      <w:bookmarkEnd w:id="4"/>
      <w:bookmarkEnd w:id="5"/>
      <w:bookmarkEnd w:id="6"/>
      <w:bookmarkEnd w:id="7"/>
    </w:p>
    <w:p w14:paraId="74D7734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auto"/>
          <w:sz w:val="24"/>
          <w:highlight w:val="none"/>
        </w:rPr>
      </w:pPr>
      <w:bookmarkStart w:id="9" w:name="_Toc35393806"/>
      <w:bookmarkStart w:id="10" w:name="_Toc28359096"/>
      <w:bookmarkStart w:id="11" w:name="_Toc28359019"/>
      <w:bookmarkStart w:id="12" w:name="_Toc35393637"/>
      <w:r>
        <w:rPr>
          <w:rFonts w:hint="eastAsia" w:ascii="宋体" w:hAnsi="宋体" w:cs="宋体"/>
          <w:b/>
          <w:bCs/>
          <w:color w:val="auto"/>
          <w:sz w:val="24"/>
          <w:highlight w:val="none"/>
        </w:rPr>
        <w:t>1.采购人信息</w:t>
      </w:r>
    </w:p>
    <w:p w14:paraId="05844F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广西壮族自治区来宾生态环境监测中心</w:t>
      </w:r>
    </w:p>
    <w:p w14:paraId="6EA326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广西来宾市兴宾区来华管理区育才路与康平路交叉口</w:t>
      </w:r>
    </w:p>
    <w:p w14:paraId="260904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lang w:val="en-US" w:eastAsia="zh-CN"/>
        </w:rPr>
        <w:t>莫工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联系电话：</w:t>
      </w:r>
      <w:r>
        <w:rPr>
          <w:rFonts w:hint="eastAsia" w:ascii="宋体" w:hAnsi="宋体" w:cs="宋体"/>
          <w:color w:val="auto"/>
          <w:sz w:val="24"/>
          <w:highlight w:val="none"/>
          <w:lang w:val="en-US" w:eastAsia="zh-CN"/>
        </w:rPr>
        <w:t>0772-6423039</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 xml:space="preserve">　　　　　　 </w:t>
      </w:r>
    </w:p>
    <w:p w14:paraId="7E41A8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2.采购代理机构信息</w:t>
      </w:r>
    </w:p>
    <w:p w14:paraId="490D40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名 称：广西科文招标有限公司</w:t>
      </w:r>
    </w:p>
    <w:p w14:paraId="5585DB1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地　址：来宾市凤临路10号裕达中央城江临天下5号楼红水河大道6-5号</w:t>
      </w:r>
    </w:p>
    <w:p w14:paraId="2AE79A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 xml:space="preserve">陈城      </w:t>
      </w:r>
      <w:r>
        <w:rPr>
          <w:rFonts w:hint="eastAsia" w:ascii="宋体" w:hAnsi="宋体" w:cs="宋体"/>
          <w:color w:val="auto"/>
          <w:sz w:val="24"/>
          <w:highlight w:val="none"/>
          <w:lang w:eastAsia="zh-CN"/>
        </w:rPr>
        <w:t>联系电话：</w:t>
      </w:r>
      <w:r>
        <w:rPr>
          <w:rFonts w:hint="eastAsia" w:ascii="宋体" w:hAnsi="宋体" w:cs="宋体"/>
          <w:color w:val="auto"/>
          <w:sz w:val="24"/>
          <w:highlight w:val="none"/>
          <w:lang w:val="en-US" w:eastAsia="zh-CN"/>
        </w:rPr>
        <w:t>0772-4232226</w:t>
      </w:r>
    </w:p>
    <w:p w14:paraId="7A27A70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3.项目联系方式</w:t>
      </w:r>
    </w:p>
    <w:p w14:paraId="1F7C8E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陈城</w:t>
      </w:r>
    </w:p>
    <w:p w14:paraId="4BCB53F7">
      <w:pPr>
        <w:keepNext w:val="0"/>
        <w:keepLines w:val="0"/>
        <w:pageBreakBefore w:val="0"/>
        <w:widowControl w:val="0"/>
        <w:kinsoku/>
        <w:wordWrap/>
        <w:overflowPunct/>
        <w:topLinePunct w:val="0"/>
        <w:autoSpaceDE/>
        <w:autoSpaceDN/>
        <w:bidi w:val="0"/>
        <w:adjustRightInd/>
        <w:snapToGrid/>
        <w:spacing w:line="440" w:lineRule="exact"/>
        <w:ind w:firstLine="840" w:firstLineChars="350"/>
        <w:textAlignment w:val="auto"/>
        <w:rPr>
          <w:rFonts w:ascii="宋体" w:hAnsi="宋体" w:cs="宋体"/>
          <w:color w:val="auto"/>
          <w:sz w:val="24"/>
          <w:highlight w:val="none"/>
        </w:rPr>
      </w:pPr>
      <w:r>
        <w:rPr>
          <w:rFonts w:hint="eastAsia" w:ascii="宋体" w:hAnsi="宋体" w:cs="宋体"/>
          <w:color w:val="auto"/>
          <w:sz w:val="24"/>
          <w:highlight w:val="none"/>
        </w:rPr>
        <w:t>　　　　　　　　　　　</w:t>
      </w:r>
      <w:bookmarkEnd w:id="9"/>
      <w:bookmarkEnd w:id="10"/>
      <w:bookmarkEnd w:id="11"/>
      <w:bookmarkEnd w:id="12"/>
      <w:r>
        <w:rPr>
          <w:rFonts w:hint="eastAsia" w:ascii="宋体" w:hAnsi="宋体" w:cs="宋体"/>
          <w:color w:val="auto"/>
          <w:sz w:val="24"/>
          <w:highlight w:val="none"/>
        </w:rPr>
        <w:t xml:space="preserve"> </w:t>
      </w:r>
      <w:r>
        <w:rPr>
          <w:rFonts w:ascii="宋体" w:hAnsi="宋体" w:cs="宋体"/>
          <w:color w:val="auto"/>
          <w:sz w:val="24"/>
          <w:highlight w:val="none"/>
        </w:rPr>
        <w:t xml:space="preserve">            </w:t>
      </w:r>
    </w:p>
    <w:p w14:paraId="00BFCB08">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广西科文招标有限公司</w:t>
      </w:r>
    </w:p>
    <w:p w14:paraId="71452E5A">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2025年  月  日  </w:t>
      </w:r>
    </w:p>
    <w:bookmarkEnd w:id="1"/>
    <w:p w14:paraId="0B17E6C9">
      <w:pPr>
        <w:jc w:val="center"/>
        <w:rPr>
          <w:rFonts w:ascii="宋体" w:hAnsi="宋体" w:cs="宋体"/>
          <w:color w:val="auto"/>
          <w:highlight w:val="none"/>
        </w:rPr>
      </w:pPr>
      <w:r>
        <w:rPr>
          <w:rFonts w:hint="eastAsia" w:ascii="宋体" w:hAnsi="宋体" w:cs="宋体"/>
          <w:color w:val="auto"/>
          <w:highlight w:val="none"/>
        </w:rPr>
        <w:br w:type="page"/>
      </w:r>
      <w:r>
        <w:rPr>
          <w:rStyle w:val="36"/>
          <w:rFonts w:hint="eastAsia"/>
          <w:color w:val="auto"/>
          <w:highlight w:val="none"/>
        </w:rPr>
        <w:t>第二章 供应商须知</w:t>
      </w:r>
    </w:p>
    <w:p w14:paraId="689CE154">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56D92A62">
      <w:pPr>
        <w:spacing w:line="400" w:lineRule="exact"/>
        <w:jc w:val="center"/>
        <w:rPr>
          <w:rFonts w:ascii="宋体" w:hAnsi="宋体" w:cs="宋体"/>
          <w:b/>
          <w:color w:val="auto"/>
          <w:sz w:val="32"/>
          <w:szCs w:val="32"/>
          <w:highlight w:val="none"/>
        </w:rPr>
      </w:pPr>
    </w:p>
    <w:tbl>
      <w:tblPr>
        <w:tblStyle w:val="27"/>
        <w:tblW w:w="9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8181"/>
      </w:tblGrid>
      <w:tr w14:paraId="123FA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1C95A06A">
            <w:pPr>
              <w:spacing w:line="500" w:lineRule="exact"/>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181" w:type="dxa"/>
            <w:vAlign w:val="center"/>
          </w:tcPr>
          <w:p w14:paraId="199671D4">
            <w:pPr>
              <w:spacing w:line="500" w:lineRule="exact"/>
              <w:jc w:val="center"/>
              <w:rPr>
                <w:rFonts w:ascii="宋体" w:hAnsi="宋体" w:cs="宋体"/>
                <w:b/>
                <w:color w:val="auto"/>
                <w:sz w:val="24"/>
                <w:highlight w:val="none"/>
              </w:rPr>
            </w:pPr>
            <w:r>
              <w:rPr>
                <w:rFonts w:hint="eastAsia" w:ascii="宋体" w:hAnsi="宋体" w:cs="宋体"/>
                <w:b/>
                <w:color w:val="auto"/>
                <w:sz w:val="24"/>
                <w:highlight w:val="none"/>
              </w:rPr>
              <w:t>内    容</w:t>
            </w:r>
          </w:p>
        </w:tc>
      </w:tr>
      <w:tr w14:paraId="5DD41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06597692">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8181" w:type="dxa"/>
            <w:vAlign w:val="center"/>
          </w:tcPr>
          <w:p w14:paraId="34C2AE73">
            <w:pPr>
              <w:spacing w:line="500" w:lineRule="exact"/>
              <w:rPr>
                <w:rFonts w:ascii="宋体" w:hAnsi="宋体" w:cs="宋体"/>
                <w:color w:val="auto"/>
                <w:sz w:val="24"/>
                <w:highlight w:val="none"/>
              </w:rPr>
            </w:pPr>
            <w:r>
              <w:rPr>
                <w:rFonts w:hint="eastAsia" w:ascii="宋体" w:hAnsi="宋体" w:cs="宋体"/>
                <w:color w:val="auto"/>
                <w:sz w:val="24"/>
                <w:highlight w:val="none"/>
              </w:rPr>
              <w:t>供应商的资格条件：详见竞争性谈判公告</w:t>
            </w:r>
          </w:p>
        </w:tc>
      </w:tr>
      <w:tr w14:paraId="1C236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5A58393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5.1</w:t>
            </w:r>
          </w:p>
        </w:tc>
        <w:tc>
          <w:tcPr>
            <w:tcW w:w="8181" w:type="dxa"/>
            <w:vAlign w:val="center"/>
          </w:tcPr>
          <w:p w14:paraId="1EF5239B">
            <w:pPr>
              <w:spacing w:line="500" w:lineRule="exact"/>
              <w:rPr>
                <w:rFonts w:ascii="宋体" w:hAnsi="宋体" w:cs="宋体"/>
                <w:color w:val="auto"/>
                <w:sz w:val="24"/>
                <w:highlight w:val="none"/>
              </w:rPr>
            </w:pPr>
            <w:r>
              <w:rPr>
                <w:rFonts w:hint="eastAsia" w:ascii="宋体" w:hAnsi="宋体" w:cs="宋体"/>
                <w:color w:val="auto"/>
                <w:sz w:val="24"/>
                <w:highlight w:val="none"/>
              </w:rPr>
              <w:t>是否接受联合体参与: 详见竞争性谈判公告</w:t>
            </w:r>
          </w:p>
        </w:tc>
      </w:tr>
      <w:tr w14:paraId="29D14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1" w:type="dxa"/>
            <w:vAlign w:val="center"/>
          </w:tcPr>
          <w:p w14:paraId="40FADDC2">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5.2</w:t>
            </w:r>
          </w:p>
        </w:tc>
        <w:tc>
          <w:tcPr>
            <w:tcW w:w="8181" w:type="dxa"/>
            <w:vAlign w:val="center"/>
          </w:tcPr>
          <w:p w14:paraId="5A96DCEB">
            <w:pPr>
              <w:spacing w:line="500" w:lineRule="exact"/>
              <w:rPr>
                <w:rFonts w:ascii="宋体" w:hAnsi="宋体" w:cs="宋体"/>
                <w:color w:val="auto"/>
                <w:sz w:val="24"/>
                <w:highlight w:val="none"/>
              </w:rPr>
            </w:pPr>
            <w:r>
              <w:rPr>
                <w:rFonts w:hint="eastAsia" w:ascii="宋体" w:hAnsi="宋体" w:cs="宋体"/>
                <w:color w:val="auto"/>
                <w:sz w:val="24"/>
                <w:highlight w:val="none"/>
              </w:rPr>
              <w:t>如接受联合体参与，要求如下：</w:t>
            </w:r>
          </w:p>
          <w:p w14:paraId="3165905A">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两个以上供应商可以组成一个联合体，以一个供应商的身份共同参与竞争性谈判，联合体供应商的名称应统一按“XXX 公司与 XXX 公司的联合体”的规则填写。</w:t>
            </w:r>
            <w:r>
              <w:rPr>
                <w:rFonts w:hint="eastAsia" w:ascii="宋体" w:hAnsi="宋体" w:cs="宋体"/>
                <w:color w:val="auto"/>
                <w:sz w:val="24"/>
                <w:highlight w:val="none"/>
              </w:rPr>
              <w:tab/>
            </w:r>
          </w:p>
          <w:p w14:paraId="4C8EE359">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以联合体形式参与竞争性谈判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谈判公告“申请人的资格条件”第3点 “3、本项目的特定资格要求”的要求。</w:t>
            </w:r>
          </w:p>
          <w:p w14:paraId="57042A19">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联合体参与竞争性谈判的，须提供《联合体参与竞争性谈判协议书》（格式后附），协议书必须明确主体方（或者牵头方）并明确约定联合体各方承担的工作和相应的责任（各方承担责任与义务的分工必须符合采购需求，否则，联合体响应无效），并将《联合体参与竞争性谈判协议书》放入响应文件。联合体各方必须共同与采购人签订采购合同，就采购合同约定的事项对采购人承担连带责任。</w:t>
            </w:r>
            <w:r>
              <w:rPr>
                <w:rFonts w:hint="eastAsia" w:ascii="宋体" w:hAnsi="宋体" w:cs="宋体"/>
                <w:color w:val="auto"/>
                <w:sz w:val="24"/>
                <w:highlight w:val="none"/>
              </w:rPr>
              <w:tab/>
            </w:r>
          </w:p>
          <w:p w14:paraId="2FA3B7B3">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以联合体形式参加政府采购活动的，联合体各方不得再单独参加或者与其他供应商另外组成联合体参加同一合同项下的政府采购活动，否则与之相关的响应文件作废。</w:t>
            </w:r>
            <w:r>
              <w:rPr>
                <w:rFonts w:hint="eastAsia" w:ascii="宋体" w:hAnsi="宋体" w:cs="宋体"/>
                <w:color w:val="auto"/>
                <w:sz w:val="24"/>
                <w:highlight w:val="none"/>
              </w:rPr>
              <w:tab/>
            </w:r>
            <w:r>
              <w:rPr>
                <w:rFonts w:hint="eastAsia" w:ascii="宋体" w:hAnsi="宋体" w:cs="宋体"/>
                <w:color w:val="auto"/>
                <w:sz w:val="24"/>
                <w:highlight w:val="none"/>
              </w:rPr>
              <w:tab/>
            </w:r>
          </w:p>
          <w:p w14:paraId="662847A5">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联合体中有同类资质的供应商按照联合体分工承担相同工作的，应当按照资质等级较低的供应商确定资质等级。</w:t>
            </w:r>
            <w:r>
              <w:rPr>
                <w:rFonts w:hint="eastAsia" w:ascii="宋体" w:hAnsi="宋体" w:cs="宋体"/>
                <w:color w:val="auto"/>
                <w:sz w:val="24"/>
                <w:highlight w:val="none"/>
              </w:rPr>
              <w:tab/>
            </w:r>
            <w:r>
              <w:rPr>
                <w:rFonts w:hint="eastAsia" w:ascii="宋体" w:hAnsi="宋体" w:cs="宋体"/>
                <w:color w:val="auto"/>
                <w:sz w:val="24"/>
                <w:highlight w:val="none"/>
              </w:rPr>
              <w:tab/>
            </w:r>
          </w:p>
          <w:p w14:paraId="0EF1E01A">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联合体参与竞争性谈判的业绩、履约能力按照联合体各方其中较高的一方认定并计算（竞争性谈判采购文件另有规定的除外）。</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14:paraId="627833AE">
            <w:pPr>
              <w:spacing w:line="500" w:lineRule="exac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联合体各方均应按照竞争性谈判采购文件的规定提交资格证明文件。</w:t>
            </w:r>
          </w:p>
        </w:tc>
      </w:tr>
      <w:tr w14:paraId="2D65F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jc w:val="center"/>
        </w:trPr>
        <w:tc>
          <w:tcPr>
            <w:tcW w:w="991" w:type="dxa"/>
            <w:vAlign w:val="center"/>
          </w:tcPr>
          <w:p w14:paraId="13221488">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6.2</w:t>
            </w:r>
          </w:p>
        </w:tc>
        <w:tc>
          <w:tcPr>
            <w:tcW w:w="8181" w:type="dxa"/>
            <w:vAlign w:val="center"/>
          </w:tcPr>
          <w:p w14:paraId="344EDD93">
            <w:pPr>
              <w:pStyle w:val="9"/>
              <w:spacing w:line="500" w:lineRule="exact"/>
              <w:jc w:val="both"/>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本项目不允许分包。</w:t>
            </w:r>
          </w:p>
          <w:p w14:paraId="4159855E">
            <w:pPr>
              <w:pStyle w:val="9"/>
              <w:spacing w:line="500" w:lineRule="exact"/>
              <w:jc w:val="both"/>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本项目允许分包：</w:t>
            </w:r>
          </w:p>
          <w:p w14:paraId="466CFBD0">
            <w:pPr>
              <w:pStyle w:val="9"/>
              <w:spacing w:line="500" w:lineRule="exact"/>
              <w:jc w:val="both"/>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w:t>
            </w:r>
          </w:p>
          <w:p w14:paraId="3E9E742C">
            <w:pPr>
              <w:pStyle w:val="9"/>
              <w:spacing w:line="500" w:lineRule="exact"/>
              <w:jc w:val="both"/>
              <w:rPr>
                <w:rFonts w:ascii="宋体" w:hAnsi="宋体" w:cs="宋体"/>
                <w:color w:val="auto"/>
                <w:sz w:val="24"/>
                <w:highlight w:val="none"/>
                <w:u w:val="singl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w:t>
            </w:r>
          </w:p>
        </w:tc>
      </w:tr>
      <w:tr w14:paraId="4E36F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Align w:val="center"/>
          </w:tcPr>
          <w:p w14:paraId="2CCD9C85">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12.1.1</w:t>
            </w:r>
          </w:p>
        </w:tc>
        <w:tc>
          <w:tcPr>
            <w:tcW w:w="8181" w:type="dxa"/>
            <w:vAlign w:val="center"/>
          </w:tcPr>
          <w:p w14:paraId="48502A4A">
            <w:pPr>
              <w:snapToGrid w:val="0"/>
              <w:spacing w:line="500" w:lineRule="exact"/>
              <w:rPr>
                <w:rFonts w:ascii="宋体" w:hAnsi="宋体" w:cs="宋体"/>
                <w:b/>
                <w:color w:val="auto"/>
                <w:sz w:val="24"/>
                <w:highlight w:val="none"/>
              </w:rPr>
            </w:pPr>
            <w:r>
              <w:rPr>
                <w:rFonts w:hint="eastAsia" w:ascii="宋体" w:hAnsi="宋体" w:cs="宋体"/>
                <w:b/>
                <w:color w:val="auto"/>
                <w:sz w:val="24"/>
                <w:highlight w:val="none"/>
              </w:rPr>
              <w:t>资格证明文件</w:t>
            </w:r>
          </w:p>
          <w:p w14:paraId="14185F3A">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供应商属于企业或事业单位的，必须提供有效的“营业执照”或“事业单位法人证书”副本复印件；供应商属于社会团体、协会等的必须提供民政部门颁发的社会团体营业执照；属于个人的必须提供身份证复印件；</w:t>
            </w:r>
            <w:r>
              <w:rPr>
                <w:rFonts w:hint="eastAsia" w:ascii="宋体" w:hAnsi="宋体" w:cs="宋体"/>
                <w:color w:val="auto"/>
                <w:sz w:val="24"/>
                <w:highlight w:val="none"/>
              </w:rPr>
              <w:t>（</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E58C532">
            <w:pPr>
              <w:spacing w:line="500" w:lineRule="exact"/>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供应商依法缴纳税收的相关材料【竞标截止前半年内连续三个月的依法缴纳税收的凭据复印件（如税务部门开具的完税证、银行缴税付款凭证或缴款回单等；如为非税务部门开具的凭证或回单的，应清晰反映：付款人名称、账号，征收机关名称，缴款金额，税种名称，所属时期等内容）；如供应商在项目截标前连续三个月零纳税的，应出具截标前半年内的缴纳税收凭证，如半年内仍为零纳税的，供应商应出具其具备经营能力的相关证明材料。供应商符合依法免税条件的，应出具所在地的税务部门出具的《依法免税证明》复印件。从取得营业执照时间起到响应文件提交截止时间为止不足要求月数的，只需提供从取得营业执照起的依法缴纳税收相应证明文件】；</w:t>
            </w:r>
            <w:r>
              <w:rPr>
                <w:rFonts w:hint="eastAsia" w:ascii="宋体" w:hAnsi="宋体" w:cs="宋体"/>
                <w:color w:val="auto"/>
                <w:sz w:val="24"/>
                <w:highlight w:val="none"/>
              </w:rPr>
              <w:t>（</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AB1736A">
            <w:pPr>
              <w:spacing w:line="500" w:lineRule="exact"/>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供应商依法缴纳社会保障资金的相关材料【竞标截止时间前半年内连续三个月的依法缴纳社会保障资金的缴费凭证（专用收据或者社会保险缴纳清单）复印件；并附上项目实施人员社保缴存证明（如社保部门开具的证明、收款收据等，或银行缴款凭证、回单等；如为非社保部门开具的凭证或回单的，应清晰反映：缴款单位名称、社保单位名称、保险险种名称、缴款金额等内容）。无缴费记录的，应提供供应商所在地社保部门出具的《依法免缴社保费证明》复印件。从取得营业执照时间起到响应文件提交截止时间为止不足要求月数的只需提供从取得营业执照起的依法缴纳社会保障资金的相应证明文件】；</w:t>
            </w:r>
            <w:r>
              <w:rPr>
                <w:rFonts w:hint="eastAsia" w:ascii="宋体" w:hAnsi="宋体" w:cs="宋体"/>
                <w:color w:val="auto"/>
                <w:sz w:val="24"/>
                <w:highlight w:val="none"/>
              </w:rPr>
              <w:t>（</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6D83882B">
            <w:pPr>
              <w:spacing w:line="500" w:lineRule="exact"/>
              <w:contextualSpacing/>
              <w:rPr>
                <w:rFonts w:hint="eastAsia" w:ascii="宋体" w:hAnsi="宋体" w:cs="宋体"/>
                <w:bCs/>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.供应商202</w:t>
            </w:r>
            <w:r>
              <w:rPr>
                <w:rFonts w:hint="eastAsia" w:ascii="宋体" w:hAnsi="宋体" w:cs="宋体"/>
                <w:bCs/>
                <w:color w:val="auto"/>
                <w:sz w:val="24"/>
                <w:highlight w:val="none"/>
                <w:lang w:val="en-US" w:eastAsia="zh-CN"/>
              </w:rPr>
              <w:t>2年以后连续两年</w:t>
            </w:r>
            <w:r>
              <w:rPr>
                <w:rFonts w:hint="eastAsia" w:ascii="宋体" w:hAnsi="宋体" w:cs="宋体"/>
                <w:bCs/>
                <w:color w:val="auto"/>
                <w:sz w:val="24"/>
                <w:highlight w:val="none"/>
              </w:rPr>
              <w:t>的财务报表或经第三方审计的财务审计报告（至少包含资产负债表、利润表）复印件（2025年新成立的公司提供公司成立日之后次月起到响应文件递交截止前一个月的财务报表复印件）或供应商提交响应文件截止之日前半年内其基本开户银行出具的银行资信证明（仅提供银行出具的存款证明不能作为其银行资信证明）复印件（</w:t>
            </w:r>
            <w:r>
              <w:rPr>
                <w:rFonts w:hint="eastAsia" w:ascii="宋体" w:hAnsi="宋体" w:cs="宋体"/>
                <w:b/>
                <w:color w:val="auto"/>
                <w:sz w:val="24"/>
                <w:highlight w:val="none"/>
              </w:rPr>
              <w:t>除自然人外必须提供，否则响应文件按无效响应处理</w:t>
            </w:r>
            <w:r>
              <w:rPr>
                <w:rFonts w:hint="eastAsia" w:ascii="宋体" w:hAnsi="宋体" w:cs="宋体"/>
                <w:bCs/>
                <w:color w:val="auto"/>
                <w:sz w:val="24"/>
                <w:highlight w:val="none"/>
              </w:rPr>
              <w:t>）</w:t>
            </w:r>
          </w:p>
          <w:p w14:paraId="1ABAF3BD">
            <w:pPr>
              <w:snapToGrid w:val="0"/>
              <w:spacing w:line="500" w:lineRule="exact"/>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近三年在经营活动中没有重大违法记录的书面声明原件；</w:t>
            </w:r>
            <w:r>
              <w:rPr>
                <w:rFonts w:hint="eastAsia" w:ascii="宋体" w:hAnsi="宋体" w:cs="宋体"/>
                <w:color w:val="auto"/>
                <w:sz w:val="24"/>
                <w:highlight w:val="none"/>
              </w:rPr>
              <w:t>（</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839161B">
            <w:pPr>
              <w:snapToGrid w:val="0"/>
              <w:spacing w:line="500" w:lineRule="exact"/>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具备履行合同所必需的设备和专业技术服务能力的承诺书；</w:t>
            </w:r>
            <w:r>
              <w:rPr>
                <w:rFonts w:hint="eastAsia" w:ascii="宋体" w:hAnsi="宋体" w:cs="宋体"/>
                <w:color w:val="auto"/>
                <w:sz w:val="24"/>
                <w:highlight w:val="none"/>
              </w:rPr>
              <w:t>（</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733360B">
            <w:pPr>
              <w:snapToGrid w:val="0"/>
              <w:spacing w:line="500" w:lineRule="exact"/>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bCs/>
                <w:color w:val="auto"/>
                <w:sz w:val="24"/>
                <w:highlight w:val="none"/>
              </w:rPr>
              <w:t>.</w:t>
            </w:r>
            <w:r>
              <w:rPr>
                <w:rFonts w:hint="eastAsia" w:ascii="宋体" w:hAnsi="宋体" w:cs="宋体"/>
                <w:color w:val="auto"/>
                <w:sz w:val="24"/>
                <w:highlight w:val="none"/>
              </w:rPr>
              <w:t>供应商直接控股、管理关系信息表（格式后附）；（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22035B2">
            <w:pPr>
              <w:snapToGrid w:val="0"/>
              <w:spacing w:line="500" w:lineRule="exact"/>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bCs/>
                <w:color w:val="auto"/>
                <w:sz w:val="24"/>
                <w:highlight w:val="none"/>
              </w:rPr>
              <w:t>.</w:t>
            </w:r>
            <w:r>
              <w:rPr>
                <w:rFonts w:hint="eastAsia" w:ascii="宋体" w:hAnsi="宋体" w:cs="宋体"/>
                <w:color w:val="auto"/>
                <w:sz w:val="24"/>
                <w:highlight w:val="none"/>
              </w:rPr>
              <w:t>参与竞争性谈判声明（格式后附）；（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70E9F535">
            <w:pPr>
              <w:snapToGrid w:val="0"/>
              <w:spacing w:line="500" w:lineRule="exact"/>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bCs/>
                <w:color w:val="auto"/>
                <w:sz w:val="24"/>
                <w:highlight w:val="none"/>
              </w:rPr>
              <w:t>.</w:t>
            </w:r>
            <w:r>
              <w:rPr>
                <w:rFonts w:hint="eastAsia" w:ascii="宋体" w:hAnsi="宋体" w:cs="宋体"/>
                <w:color w:val="auto"/>
                <w:sz w:val="24"/>
                <w:highlight w:val="none"/>
              </w:rPr>
              <w:t>除谈判文件规定必须提供以外，供应商认为需要提供的其他证明材料。</w:t>
            </w:r>
          </w:p>
          <w:p w14:paraId="708CE239">
            <w:pPr>
              <w:snapToGrid w:val="0"/>
              <w:spacing w:line="500" w:lineRule="exact"/>
              <w:rPr>
                <w:rFonts w:ascii="楷体" w:hAnsi="楷体" w:eastAsia="楷体" w:cs="宋体"/>
                <w:bCs/>
                <w:color w:val="auto"/>
                <w:sz w:val="24"/>
                <w:highlight w:val="none"/>
              </w:rPr>
            </w:pPr>
            <w:r>
              <w:rPr>
                <w:rFonts w:hint="eastAsia" w:ascii="楷体" w:hAnsi="楷体" w:eastAsia="楷体" w:cs="宋体"/>
                <w:b/>
                <w:bCs/>
                <w:color w:val="auto"/>
                <w:sz w:val="24"/>
                <w:highlight w:val="none"/>
              </w:rPr>
              <w:t>【注】</w:t>
            </w:r>
            <w:r>
              <w:rPr>
                <w:rFonts w:ascii="楷体" w:hAnsi="楷体" w:eastAsia="楷体" w:cs="宋体"/>
                <w:bCs/>
                <w:color w:val="auto"/>
                <w:sz w:val="24"/>
                <w:highlight w:val="none"/>
              </w:rPr>
              <w:t>1.以上标明“必须提供”的材料属于复印件的，必须加盖供应商公章，否则响应文件按无效响应处理。</w:t>
            </w:r>
          </w:p>
          <w:p w14:paraId="6AA7E8F3">
            <w:pPr>
              <w:snapToGrid w:val="0"/>
              <w:spacing w:line="500" w:lineRule="exact"/>
              <w:rPr>
                <w:rFonts w:ascii="楷体" w:hAnsi="楷体" w:eastAsia="楷体" w:cs="宋体"/>
                <w:bCs/>
                <w:color w:val="auto"/>
                <w:sz w:val="24"/>
                <w:highlight w:val="none"/>
              </w:rPr>
            </w:pPr>
            <w:r>
              <w:rPr>
                <w:rFonts w:ascii="楷体" w:hAnsi="楷体" w:eastAsia="楷体" w:cs="宋体"/>
                <w:bCs/>
                <w:color w:val="auto"/>
                <w:sz w:val="24"/>
                <w:highlight w:val="none"/>
              </w:rPr>
              <w:t>2.</w:t>
            </w:r>
            <w:r>
              <w:rPr>
                <w:rFonts w:hint="eastAsia" w:ascii="楷体" w:hAnsi="楷体" w:eastAsia="楷体" w:cs="宋体"/>
                <w:bCs/>
                <w:color w:val="auto"/>
                <w:sz w:val="24"/>
                <w:highlight w:val="none"/>
              </w:rPr>
              <w:t>参与竞争性谈判</w:t>
            </w:r>
            <w:r>
              <w:rPr>
                <w:rFonts w:ascii="楷体" w:hAnsi="楷体" w:eastAsia="楷体" w:cs="宋体"/>
                <w:bCs/>
                <w:color w:val="auto"/>
                <w:sz w:val="24"/>
                <w:highlight w:val="none"/>
              </w:rPr>
              <w:t>声明必须由法定代表人在规定签章处逐一签字并加盖供应商公章，否则响应文件按无效响应处理。</w:t>
            </w:r>
          </w:p>
          <w:p w14:paraId="128103B8">
            <w:pPr>
              <w:snapToGrid w:val="0"/>
              <w:spacing w:line="500" w:lineRule="exact"/>
              <w:rPr>
                <w:rFonts w:ascii="楷体" w:hAnsi="楷体" w:eastAsia="楷体" w:cs="宋体"/>
                <w:bCs/>
                <w:color w:val="auto"/>
                <w:sz w:val="24"/>
                <w:highlight w:val="none"/>
              </w:rPr>
            </w:pPr>
            <w:r>
              <w:rPr>
                <w:rFonts w:ascii="楷体" w:hAnsi="楷体" w:eastAsia="楷体" w:cs="宋体"/>
                <w:bCs/>
                <w:color w:val="auto"/>
                <w:sz w:val="24"/>
                <w:highlight w:val="none"/>
              </w:rPr>
              <w:t>3.供应商直接控股、管理关系信息表必须由法定代表人或者委托代理人在规定签章处逐一签字并加盖供应商公章，否则响应文件按无效响应处理。</w:t>
            </w:r>
          </w:p>
          <w:p w14:paraId="38A9FFA6">
            <w:pPr>
              <w:snapToGrid w:val="0"/>
              <w:spacing w:line="500" w:lineRule="exact"/>
              <w:rPr>
                <w:rFonts w:ascii="楷体" w:hAnsi="楷体" w:eastAsia="楷体" w:cs="宋体"/>
                <w:bCs/>
                <w:color w:val="auto"/>
                <w:sz w:val="24"/>
                <w:highlight w:val="none"/>
              </w:rPr>
            </w:pPr>
            <w:r>
              <w:rPr>
                <w:rFonts w:ascii="楷体" w:hAnsi="楷体" w:eastAsia="楷体" w:cs="宋体"/>
                <w:bCs/>
                <w:color w:val="auto"/>
                <w:sz w:val="24"/>
                <w:highlight w:val="none"/>
              </w:rPr>
              <w:t>4.联合体</w:t>
            </w:r>
            <w:r>
              <w:rPr>
                <w:rFonts w:hint="eastAsia" w:ascii="楷体" w:hAnsi="楷体" w:eastAsia="楷体" w:cs="宋体"/>
                <w:bCs/>
                <w:color w:val="auto"/>
                <w:sz w:val="24"/>
                <w:highlight w:val="none"/>
              </w:rPr>
              <w:t>参与竞争性谈判</w:t>
            </w:r>
            <w:r>
              <w:rPr>
                <w:rFonts w:ascii="楷体" w:hAnsi="楷体" w:eastAsia="楷体" w:cs="宋体"/>
                <w:bCs/>
                <w:color w:val="auto"/>
                <w:sz w:val="24"/>
                <w:highlight w:val="none"/>
              </w:rPr>
              <w:t>时，</w:t>
            </w:r>
            <w:r>
              <w:rPr>
                <w:rFonts w:hint="eastAsia" w:ascii="楷体" w:hAnsi="楷体" w:eastAsia="楷体" w:cs="宋体"/>
                <w:bCs/>
                <w:color w:val="auto"/>
                <w:sz w:val="24"/>
                <w:highlight w:val="none"/>
              </w:rPr>
              <w:t>以上第</w:t>
            </w:r>
            <w:r>
              <w:rPr>
                <w:rFonts w:ascii="楷体" w:hAnsi="楷体" w:eastAsia="楷体" w:cs="宋体"/>
                <w:bCs/>
                <w:color w:val="auto"/>
                <w:sz w:val="24"/>
                <w:highlight w:val="none"/>
              </w:rPr>
              <w:t>1-5项资格证明文件联合体各方均必须分别提供，联合体各方分别按格式要求盖章或签字，否则响应文件按无效响应处理。</w:t>
            </w:r>
          </w:p>
          <w:p w14:paraId="3533F359">
            <w:pPr>
              <w:snapToGrid w:val="0"/>
              <w:spacing w:line="500" w:lineRule="exact"/>
              <w:rPr>
                <w:rFonts w:ascii="宋体" w:hAnsi="宋体" w:cs="宋体"/>
                <w:b/>
                <w:color w:val="auto"/>
                <w:sz w:val="24"/>
                <w:highlight w:val="none"/>
              </w:rPr>
            </w:pPr>
            <w:r>
              <w:rPr>
                <w:rFonts w:ascii="楷体" w:hAnsi="楷体" w:eastAsia="楷体" w:cs="宋体"/>
                <w:bCs/>
                <w:color w:val="auto"/>
                <w:sz w:val="24"/>
                <w:highlight w:val="none"/>
              </w:rPr>
              <w:t>5.分公司参加</w:t>
            </w:r>
            <w:r>
              <w:rPr>
                <w:rFonts w:hint="eastAsia" w:ascii="楷体" w:hAnsi="楷体" w:eastAsia="楷体" w:cs="宋体"/>
                <w:bCs/>
                <w:color w:val="auto"/>
                <w:sz w:val="24"/>
                <w:highlight w:val="none"/>
              </w:rPr>
              <w:t>参与竞争性谈判</w:t>
            </w:r>
            <w:r>
              <w:rPr>
                <w:rFonts w:ascii="楷体" w:hAnsi="楷体" w:eastAsia="楷体" w:cs="宋体"/>
                <w:bCs/>
                <w:color w:val="auto"/>
                <w:sz w:val="24"/>
                <w:highlight w:val="none"/>
              </w:rPr>
              <w:t>的，应当取得总公司授权，否则响应文件按无效响应处理</w:t>
            </w:r>
            <w:r>
              <w:rPr>
                <w:rFonts w:hint="eastAsia" w:ascii="楷体" w:hAnsi="楷体" w:eastAsia="楷体" w:cs="宋体"/>
                <w:b/>
                <w:color w:val="auto"/>
                <w:sz w:val="24"/>
                <w:highlight w:val="none"/>
              </w:rPr>
              <w:t>。</w:t>
            </w:r>
          </w:p>
        </w:tc>
      </w:tr>
      <w:tr w14:paraId="0DE62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Merge w:val="restart"/>
            <w:vAlign w:val="center"/>
          </w:tcPr>
          <w:p w14:paraId="1C273DF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12.1.2</w:t>
            </w:r>
          </w:p>
        </w:tc>
        <w:tc>
          <w:tcPr>
            <w:tcW w:w="8181" w:type="dxa"/>
            <w:vAlign w:val="center"/>
          </w:tcPr>
          <w:p w14:paraId="22873124">
            <w:pPr>
              <w:spacing w:line="500" w:lineRule="exact"/>
              <w:rPr>
                <w:rFonts w:ascii="宋体" w:hAnsi="宋体" w:cs="宋体"/>
                <w:color w:val="auto"/>
                <w:sz w:val="24"/>
                <w:highlight w:val="none"/>
              </w:rPr>
            </w:pPr>
            <w:r>
              <w:rPr>
                <w:rFonts w:hint="eastAsia" w:ascii="宋体" w:hAnsi="宋体" w:cs="宋体"/>
                <w:b/>
                <w:color w:val="auto"/>
                <w:sz w:val="24"/>
                <w:highlight w:val="none"/>
              </w:rPr>
              <w:t>报价文件</w:t>
            </w:r>
          </w:p>
          <w:p w14:paraId="53C8CF17">
            <w:pPr>
              <w:spacing w:line="500" w:lineRule="exac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无串通参与竞争性谈判行为的承诺函（格式后附）；（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B6EA413">
            <w:pPr>
              <w:spacing w:line="500" w:lineRule="exac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竞争性谈判报价表（格式后附）；（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217E5878">
            <w:pPr>
              <w:spacing w:line="500" w:lineRule="exac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bCs/>
                <w:color w:val="auto"/>
                <w:sz w:val="24"/>
                <w:highlight w:val="none"/>
              </w:rPr>
              <w:t>.供应商</w:t>
            </w:r>
            <w:r>
              <w:rPr>
                <w:rFonts w:hint="eastAsia" w:ascii="宋体" w:hAnsi="宋体" w:cs="宋体"/>
                <w:color w:val="auto"/>
                <w:sz w:val="24"/>
                <w:highlight w:val="none"/>
              </w:rPr>
              <w:t>针对报价需要说明的其他文件和说明（格式自拟）。</w:t>
            </w:r>
          </w:p>
          <w:p w14:paraId="4C334B02">
            <w:pPr>
              <w:spacing w:line="500" w:lineRule="exact"/>
              <w:rPr>
                <w:rFonts w:ascii="楷体" w:hAnsi="楷体" w:eastAsia="楷体" w:cs="宋体"/>
                <w:bCs/>
                <w:color w:val="auto"/>
                <w:sz w:val="24"/>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：以上标明“必须提供”材料复印件的，必须加盖供应商公章，否则响应文件按无效响应处理。</w:t>
            </w:r>
          </w:p>
        </w:tc>
      </w:tr>
      <w:tr w14:paraId="541C6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991" w:type="dxa"/>
            <w:vMerge w:val="continue"/>
            <w:vAlign w:val="center"/>
          </w:tcPr>
          <w:p w14:paraId="674184FC">
            <w:pPr>
              <w:spacing w:line="500" w:lineRule="exact"/>
              <w:jc w:val="center"/>
              <w:rPr>
                <w:rFonts w:ascii="宋体" w:hAnsi="宋体" w:cs="宋体"/>
                <w:color w:val="auto"/>
                <w:sz w:val="24"/>
                <w:highlight w:val="none"/>
              </w:rPr>
            </w:pPr>
          </w:p>
        </w:tc>
        <w:tc>
          <w:tcPr>
            <w:tcW w:w="8181" w:type="dxa"/>
            <w:vAlign w:val="center"/>
          </w:tcPr>
          <w:p w14:paraId="24E96E30">
            <w:pPr>
              <w:spacing w:line="500" w:lineRule="exact"/>
              <w:rPr>
                <w:rFonts w:ascii="宋体" w:hAnsi="宋体" w:cs="宋体"/>
                <w:color w:val="auto"/>
                <w:sz w:val="24"/>
                <w:highlight w:val="none"/>
              </w:rPr>
            </w:pPr>
            <w:r>
              <w:rPr>
                <w:rFonts w:hint="eastAsia" w:ascii="宋体" w:hAnsi="宋体" w:cs="宋体"/>
                <w:b/>
                <w:color w:val="auto"/>
                <w:sz w:val="24"/>
                <w:highlight w:val="none"/>
              </w:rPr>
              <w:t>商务技术文件</w:t>
            </w:r>
          </w:p>
          <w:p w14:paraId="36A0E3F1">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法定代表人身份证明及法定代表人有效身份证正反面复印件（格式后附）；（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23635233">
            <w:pPr>
              <w:spacing w:line="500" w:lineRule="exact"/>
              <w:rPr>
                <w:rFonts w:ascii="宋体" w:hAnsi="宋体" w:cs="宋体"/>
                <w:b/>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授权委托书及委托代理人有效身份证正反面复印件（格式后附）；（</w:t>
            </w:r>
            <w:r>
              <w:rPr>
                <w:rFonts w:hint="eastAsia" w:ascii="宋体" w:hAnsi="宋体" w:cs="宋体"/>
                <w:b/>
                <w:color w:val="auto"/>
                <w:sz w:val="24"/>
                <w:highlight w:val="none"/>
              </w:rPr>
              <w:t>委托时必须提供，否则响应文件按无效响应处理</w:t>
            </w:r>
            <w:r>
              <w:rPr>
                <w:rFonts w:hint="eastAsia" w:ascii="宋体" w:hAnsi="宋体" w:cs="宋体"/>
                <w:color w:val="auto"/>
                <w:sz w:val="24"/>
                <w:highlight w:val="none"/>
              </w:rPr>
              <w:t>）</w:t>
            </w:r>
          </w:p>
          <w:p w14:paraId="371BD692">
            <w:pPr>
              <w:spacing w:line="500" w:lineRule="exac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谈判保证金提交凭证；（</w:t>
            </w:r>
            <w:r>
              <w:rPr>
                <w:rFonts w:hint="eastAsia" w:ascii="宋体" w:hAnsi="宋体" w:cs="宋体"/>
                <w:b/>
                <w:bCs/>
                <w:color w:val="auto"/>
                <w:sz w:val="24"/>
                <w:highlight w:val="none"/>
              </w:rPr>
              <w:t>如要求提交谈判保证金的则必须提供</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p>
          <w:p w14:paraId="2504329F">
            <w:pPr>
              <w:spacing w:line="500" w:lineRule="exac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商务要求偏离表（格式后附）；（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7896D340">
            <w:pPr>
              <w:spacing w:line="500" w:lineRule="exac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售后服务承诺（格式自拟）；（</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4B596B8">
            <w:pPr>
              <w:spacing w:line="500" w:lineRule="exac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货物配置清单（均不含报价）（格式后附）；（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ECBC160">
            <w:pPr>
              <w:spacing w:line="500" w:lineRule="exac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技术</w:t>
            </w:r>
            <w:r>
              <w:rPr>
                <w:rFonts w:hint="eastAsia" w:ascii="宋体" w:hAnsi="宋体" w:cs="宋体"/>
                <w:color w:val="auto"/>
                <w:sz w:val="24"/>
                <w:highlight w:val="none"/>
                <w:lang w:eastAsia="zh-CN"/>
              </w:rPr>
              <w:t>要求</w:t>
            </w:r>
            <w:r>
              <w:rPr>
                <w:rFonts w:hint="eastAsia" w:ascii="宋体" w:hAnsi="宋体" w:cs="宋体"/>
                <w:color w:val="auto"/>
                <w:sz w:val="24"/>
                <w:highlight w:val="none"/>
              </w:rPr>
              <w:t>偏离表（格式后附）；（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2BCCF6CB">
            <w:pPr>
              <w:spacing w:line="500" w:lineRule="exact"/>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对应采购需求的技术要求、商务要求提供的其他文件资料（格式自拟）；</w:t>
            </w:r>
          </w:p>
          <w:p w14:paraId="3B3806C8">
            <w:pPr>
              <w:spacing w:line="500" w:lineRule="exact"/>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供应商认为需要提供的其他有关资料。</w:t>
            </w:r>
          </w:p>
          <w:p w14:paraId="4279690D">
            <w:pPr>
              <w:spacing w:line="500" w:lineRule="exact"/>
              <w:rPr>
                <w:rFonts w:ascii="楷体" w:hAnsi="楷体" w:eastAsia="楷体" w:cs="宋体"/>
                <w:color w:val="auto"/>
                <w:sz w:val="24"/>
                <w:highlight w:val="none"/>
              </w:rPr>
            </w:pPr>
            <w:r>
              <w:rPr>
                <w:rFonts w:hint="eastAsia" w:ascii="楷体" w:hAnsi="楷体" w:eastAsia="楷体" w:cs="宋体"/>
                <w:b/>
                <w:bCs/>
                <w:color w:val="auto"/>
                <w:sz w:val="24"/>
                <w:highlight w:val="none"/>
              </w:rPr>
              <w:t>【注】</w:t>
            </w:r>
            <w:r>
              <w:rPr>
                <w:rFonts w:ascii="楷体" w:hAnsi="楷体" w:eastAsia="楷体" w:cs="宋体"/>
                <w:color w:val="auto"/>
                <w:sz w:val="24"/>
                <w:highlight w:val="none"/>
              </w:rPr>
              <w:t>1.法定代表人授权委托书必须由法定代表人及委托代理人签字，并加盖</w:t>
            </w:r>
            <w:r>
              <w:rPr>
                <w:rFonts w:hint="eastAsia" w:ascii="楷体" w:hAnsi="楷体" w:eastAsia="楷体" w:cs="宋体"/>
                <w:color w:val="auto"/>
                <w:sz w:val="24"/>
                <w:highlight w:val="none"/>
              </w:rPr>
              <w:t>供应商公章，否则做无效响应处理。</w:t>
            </w:r>
          </w:p>
          <w:p w14:paraId="5B39D859">
            <w:pPr>
              <w:spacing w:line="500" w:lineRule="exact"/>
              <w:rPr>
                <w:rFonts w:ascii="宋体" w:hAnsi="宋体" w:cs="宋体"/>
                <w:b/>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z w:val="24"/>
                <w:highlight w:val="none"/>
              </w:rPr>
              <w:t>以上标明“必须提供”材料复印件的，必须加盖供应商公章，否则响应文件按无效响应处理。</w:t>
            </w:r>
          </w:p>
        </w:tc>
      </w:tr>
      <w:tr w14:paraId="7E909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Align w:val="center"/>
          </w:tcPr>
          <w:p w14:paraId="21FB2E5C">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15.2</w:t>
            </w:r>
          </w:p>
        </w:tc>
        <w:tc>
          <w:tcPr>
            <w:tcW w:w="8181" w:type="dxa"/>
            <w:vAlign w:val="center"/>
          </w:tcPr>
          <w:p w14:paraId="5AB9E16D">
            <w:pPr>
              <w:spacing w:line="500" w:lineRule="exact"/>
              <w:rPr>
                <w:rFonts w:ascii="宋体" w:hAnsi="宋体" w:cs="宋体"/>
                <w:color w:val="auto"/>
                <w:sz w:val="24"/>
                <w:highlight w:val="none"/>
              </w:rPr>
            </w:pPr>
            <w:r>
              <w:rPr>
                <w:rFonts w:hint="eastAsia" w:ascii="宋体" w:hAnsi="宋体" w:cs="宋体"/>
                <w:color w:val="auto"/>
                <w:sz w:val="24"/>
                <w:highlight w:val="none"/>
              </w:rPr>
              <w:t>竞争性谈判报价</w:t>
            </w:r>
            <w:r>
              <w:rPr>
                <w:rFonts w:hint="eastAsia" w:ascii="宋体" w:hAnsi="宋体" w:cs="宋体"/>
                <w:color w:val="auto"/>
                <w:sz w:val="24"/>
                <w:szCs w:val="24"/>
                <w:highlight w:val="none"/>
                <w:lang w:eastAsia="zh-CN"/>
              </w:rPr>
              <w:t>包含</w:t>
            </w:r>
            <w:r>
              <w:rPr>
                <w:rFonts w:hint="eastAsia" w:ascii="宋体" w:hAnsi="宋体" w:cs="宋体"/>
                <w:color w:val="auto"/>
                <w:sz w:val="24"/>
                <w:szCs w:val="24"/>
                <w:highlight w:val="none"/>
                <w:lang w:val="en-US" w:eastAsia="zh-CN"/>
              </w:rPr>
              <w:t>车辆及改装、配送交货、</w:t>
            </w:r>
            <w:r>
              <w:rPr>
                <w:rFonts w:hint="eastAsia" w:ascii="宋体" w:hAnsi="宋体" w:cs="宋体"/>
                <w:color w:val="auto"/>
                <w:sz w:val="24"/>
                <w:szCs w:val="24"/>
                <w:highlight w:val="none"/>
                <w:lang w:eastAsia="zh-CN"/>
              </w:rPr>
              <w:t>培训、调试及验收的各种费用和质量保证期内服务、售后服务、人工费、税费及其他所有成本费用的总和。成交供应商必须自行考虑项目需要的其他设备和材料，合同履行过程中，采购人不再支付合同以外的其他费用。</w:t>
            </w:r>
          </w:p>
        </w:tc>
      </w:tr>
      <w:tr w14:paraId="0D5AF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231CDAD7">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16.2</w:t>
            </w:r>
          </w:p>
        </w:tc>
        <w:tc>
          <w:tcPr>
            <w:tcW w:w="8181" w:type="dxa"/>
            <w:vAlign w:val="center"/>
          </w:tcPr>
          <w:p w14:paraId="02D1C4B3">
            <w:pPr>
              <w:pStyle w:val="8"/>
              <w:widowControl w:val="0"/>
              <w:tabs>
                <w:tab w:val="clear" w:pos="454"/>
              </w:tabs>
              <w:snapToGrid w:val="0"/>
              <w:spacing w:after="0" w:afterLines="0" w:line="500" w:lineRule="exact"/>
              <w:ind w:left="324" w:hanging="324" w:hangingChars="135"/>
              <w:jc w:val="both"/>
              <w:rPr>
                <w:rFonts w:ascii="宋体" w:hAnsi="宋体" w:cs="宋体"/>
                <w:color w:val="auto"/>
                <w:kern w:val="2"/>
                <w:szCs w:val="24"/>
                <w:highlight w:val="none"/>
              </w:rPr>
            </w:pPr>
            <w:r>
              <w:rPr>
                <w:rFonts w:hint="eastAsia" w:ascii="宋体" w:hAnsi="宋体" w:cs="宋体"/>
                <w:color w:val="auto"/>
                <w:kern w:val="2"/>
                <w:szCs w:val="24"/>
                <w:highlight w:val="none"/>
              </w:rPr>
              <w:t xml:space="preserve">竞争性谈判有效期：首次响应文件提交截止之日起60天内。 </w:t>
            </w:r>
          </w:p>
        </w:tc>
      </w:tr>
      <w:tr w14:paraId="08608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4" w:hRule="atLeast"/>
          <w:jc w:val="center"/>
        </w:trPr>
        <w:tc>
          <w:tcPr>
            <w:tcW w:w="991" w:type="dxa"/>
            <w:vAlign w:val="center"/>
          </w:tcPr>
          <w:p w14:paraId="1328B8AF">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17.1</w:t>
            </w:r>
          </w:p>
        </w:tc>
        <w:tc>
          <w:tcPr>
            <w:tcW w:w="8181" w:type="dxa"/>
            <w:vAlign w:val="center"/>
          </w:tcPr>
          <w:p w14:paraId="2CFAAB2B">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本项目不收取谈判保证金。</w:t>
            </w:r>
          </w:p>
          <w:p w14:paraId="5FCD7BE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本项目收取谈判保证金。</w:t>
            </w:r>
          </w:p>
          <w:p w14:paraId="01B80451">
            <w:pPr>
              <w:spacing w:line="360" w:lineRule="auto"/>
              <w:jc w:val="left"/>
              <w:rPr>
                <w:rFonts w:hint="eastAsia" w:ascii="宋体" w:hAnsi="宋体" w:cs="宋体"/>
                <w:color w:val="auto"/>
                <w:sz w:val="24"/>
                <w:highlight w:val="none"/>
                <w:lang w:eastAsia="zh-CN"/>
              </w:rPr>
            </w:pPr>
            <w:bookmarkStart w:id="13" w:name="_Toc6087"/>
            <w:r>
              <w:rPr>
                <w:rFonts w:hint="eastAsia" w:ascii="宋体" w:hAnsi="宋体" w:cs="宋体"/>
                <w:color w:val="auto"/>
                <w:sz w:val="24"/>
                <w:highlight w:val="none"/>
              </w:rPr>
              <w:t>谈判保证金（人民币）：</w:t>
            </w:r>
            <w:r>
              <w:rPr>
                <w:rFonts w:hint="eastAsia" w:ascii="宋体" w:hAnsi="宋体" w:cs="宋体"/>
                <w:color w:val="auto"/>
                <w:sz w:val="24"/>
                <w:highlight w:val="none"/>
                <w:lang w:eastAsia="zh-CN"/>
              </w:rPr>
              <w:t>贰仟捌佰元整（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00.00</w:t>
            </w:r>
            <w:r>
              <w:rPr>
                <w:rFonts w:hint="eastAsia" w:ascii="宋体" w:hAnsi="宋体" w:cs="宋体"/>
                <w:color w:val="auto"/>
                <w:sz w:val="24"/>
                <w:highlight w:val="none"/>
                <w:lang w:eastAsia="zh-CN"/>
              </w:rPr>
              <w:t>）</w:t>
            </w:r>
            <w:bookmarkEnd w:id="13"/>
          </w:p>
          <w:p w14:paraId="6FA37A0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保证金专用银行账号：</w:t>
            </w:r>
          </w:p>
          <w:p w14:paraId="427C0DFC">
            <w:pPr>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 xml:space="preserve">开户名称：广西科文招标有限公司来宾分公司 </w:t>
            </w:r>
          </w:p>
          <w:p w14:paraId="7109123D">
            <w:pPr>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 xml:space="preserve">开户银行：广西来宾农村商业银行股份有限公司迎宾支行 </w:t>
            </w:r>
          </w:p>
          <w:p w14:paraId="51795389">
            <w:pPr>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银行账号：223712010100706853</w:t>
            </w:r>
          </w:p>
          <w:p w14:paraId="7F57A59B">
            <w:pPr>
              <w:spacing w:line="360" w:lineRule="auto"/>
              <w:jc w:val="left"/>
              <w:rPr>
                <w:b/>
                <w:bCs/>
                <w:color w:val="auto"/>
                <w:highlight w:val="none"/>
              </w:rPr>
            </w:pPr>
            <w:r>
              <w:rPr>
                <w:rFonts w:hint="eastAsia" w:ascii="宋体" w:hAnsi="宋体" w:cs="宋体"/>
                <w:b/>
                <w:bCs/>
                <w:color w:val="auto"/>
                <w:sz w:val="24"/>
                <w:highlight w:val="none"/>
              </w:rPr>
              <w:t>行号：402615500012</w:t>
            </w:r>
            <w:r>
              <w:rPr>
                <w:rFonts w:ascii="宋体" w:hAnsi="宋体" w:cs="宋体"/>
                <w:b/>
                <w:bCs/>
                <w:color w:val="auto"/>
                <w:sz w:val="24"/>
                <w:highlight w:val="none"/>
              </w:rPr>
              <w:t xml:space="preserve"> </w:t>
            </w:r>
          </w:p>
          <w:p w14:paraId="5D0EA196">
            <w:pPr>
              <w:snapToGrid w:val="0"/>
              <w:spacing w:line="500" w:lineRule="exact"/>
              <w:rPr>
                <w:rFonts w:ascii="宋体" w:hAnsi="宋体" w:cs="宋体"/>
                <w:color w:val="auto"/>
                <w:kern w:val="0"/>
                <w:sz w:val="24"/>
                <w:highlight w:val="none"/>
              </w:rPr>
            </w:pPr>
            <w:r>
              <w:rPr>
                <w:rFonts w:hint="eastAsia" w:ascii="宋体" w:hAnsi="宋体" w:cs="宋体"/>
                <w:color w:val="auto"/>
                <w:kern w:val="0"/>
                <w:sz w:val="24"/>
                <w:highlight w:val="none"/>
              </w:rPr>
              <w:t>谈判保证金的交纳方式：银行转账或者银行出具的保函，禁止采用现钞方式。采用银行转账方式的，在响应文件提交截止时间前交至指定账户并且到账；采用保函方式的，在响应文件提交截止时间前，供应商必须提交保函原件。否则视为无效谈判保证金。</w:t>
            </w:r>
          </w:p>
          <w:p w14:paraId="0CB811A2">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相关要求：</w:t>
            </w:r>
          </w:p>
          <w:p w14:paraId="4C260250">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1.谈判保证金采用银行转账交纳方式的，在响应文件提交截止时间前交至指定账户并且到账，供应商应将银行转账底单的复印件作为谈判保证金提交凭证，放置于报价商务技术文件中，</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p>
          <w:p w14:paraId="411D2FC8">
            <w:pPr>
              <w:snapToGrid w:val="0"/>
              <w:spacing w:line="500" w:lineRule="exact"/>
              <w:rPr>
                <w:rFonts w:ascii="宋体" w:hAnsi="宋体" w:cs="宋体"/>
                <w:b/>
                <w:color w:val="auto"/>
                <w:sz w:val="24"/>
                <w:highlight w:val="none"/>
              </w:rPr>
            </w:pPr>
            <w:r>
              <w:rPr>
                <w:rFonts w:hint="eastAsia" w:ascii="宋体" w:hAnsi="宋体" w:cs="宋体"/>
                <w:color w:val="auto"/>
                <w:sz w:val="24"/>
                <w:highlight w:val="none"/>
              </w:rPr>
              <w:t>2.谈判保证金采用银行出具的保函交纳方式的，供应商应将保函的复印件作为谈判保证金提交凭证，放置于报价商务技术文件中，</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r>
              <w:rPr>
                <w:rFonts w:hint="eastAsia" w:ascii="宋体" w:hAnsi="宋体" w:cs="宋体"/>
                <w:b/>
                <w:color w:val="auto"/>
                <w:sz w:val="24"/>
                <w:highlight w:val="none"/>
              </w:rPr>
              <w:t>供应商必须在首次响应文件提交截止时间前将保函原件提交给采购代理机构，由采购代理机构向供应商出具回执，并妥善保管。</w:t>
            </w:r>
          </w:p>
          <w:p w14:paraId="68B1692D">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3.供应商为联合体的，可以由联合体中的一方或者多方共同交纳谈判保证金，其交纳的保证金对联合体各方均具有约束力。</w:t>
            </w:r>
          </w:p>
          <w:p w14:paraId="2377A08C">
            <w:pPr>
              <w:snapToGrid w:val="0"/>
              <w:spacing w:line="500" w:lineRule="exact"/>
              <w:rPr>
                <w:rFonts w:ascii="楷体" w:hAnsi="楷体" w:eastAsia="楷体" w:cs="宋体"/>
                <w:color w:val="auto"/>
                <w:sz w:val="24"/>
                <w:highlight w:val="none"/>
              </w:rPr>
            </w:pPr>
            <w:r>
              <w:rPr>
                <w:rFonts w:hint="eastAsia" w:ascii="楷体" w:hAnsi="楷体" w:eastAsia="楷体" w:cs="宋体"/>
                <w:b/>
                <w:color w:val="auto"/>
                <w:sz w:val="24"/>
                <w:highlight w:val="none"/>
              </w:rPr>
              <w:t>【备注】</w:t>
            </w:r>
            <w:r>
              <w:rPr>
                <w:rFonts w:ascii="楷体" w:hAnsi="楷体" w:eastAsia="楷体" w:cs="宋体"/>
                <w:color w:val="auto"/>
                <w:sz w:val="24"/>
                <w:highlight w:val="none"/>
              </w:rPr>
              <w:t>1.</w:t>
            </w:r>
            <w:r>
              <w:rPr>
                <w:rFonts w:hint="eastAsia" w:ascii="楷体" w:hAnsi="楷体" w:eastAsia="楷体" w:cs="宋体"/>
                <w:color w:val="auto"/>
                <w:sz w:val="24"/>
                <w:highlight w:val="none"/>
              </w:rPr>
              <w:t>首次响应文件提交截止时间后提交的，或者未足额交纳的，或者保函额度不足的，视为无效谈判保证金。</w:t>
            </w:r>
          </w:p>
          <w:p w14:paraId="1EAB0DFA">
            <w:pPr>
              <w:snapToGrid w:val="0"/>
              <w:spacing w:line="500" w:lineRule="exact"/>
              <w:rPr>
                <w:rFonts w:ascii="楷体" w:hAnsi="楷体" w:eastAsia="楷体" w:cs="宋体"/>
                <w:color w:val="auto"/>
                <w:sz w:val="24"/>
                <w:highlight w:val="none"/>
              </w:rPr>
            </w:pPr>
            <w:r>
              <w:rPr>
                <w:rFonts w:ascii="楷体" w:hAnsi="楷体" w:eastAsia="楷体" w:cs="宋体"/>
                <w:color w:val="auto"/>
                <w:sz w:val="24"/>
                <w:highlight w:val="none"/>
              </w:rPr>
              <w:t>2.供应商采用现钞方式或者从个人账户（自然人</w:t>
            </w:r>
            <w:r>
              <w:rPr>
                <w:rFonts w:hint="eastAsia" w:ascii="楷体" w:hAnsi="楷体" w:eastAsia="楷体" w:cs="宋体"/>
                <w:color w:val="auto"/>
                <w:sz w:val="24"/>
                <w:highlight w:val="none"/>
              </w:rPr>
              <w:t>参与竞争性谈判</w:t>
            </w:r>
            <w:r>
              <w:rPr>
                <w:rFonts w:ascii="楷体" w:hAnsi="楷体" w:eastAsia="楷体" w:cs="宋体"/>
                <w:color w:val="auto"/>
                <w:sz w:val="24"/>
                <w:highlight w:val="none"/>
              </w:rPr>
              <w:t>除外）转出的</w:t>
            </w:r>
            <w:r>
              <w:rPr>
                <w:rFonts w:hint="eastAsia" w:ascii="楷体" w:hAnsi="楷体" w:eastAsia="楷体" w:cs="宋体"/>
                <w:color w:val="auto"/>
                <w:sz w:val="24"/>
                <w:highlight w:val="none"/>
              </w:rPr>
              <w:t>谈判</w:t>
            </w:r>
            <w:r>
              <w:rPr>
                <w:rFonts w:ascii="楷体" w:hAnsi="楷体" w:eastAsia="楷体" w:cs="宋体"/>
                <w:color w:val="auto"/>
                <w:sz w:val="24"/>
                <w:highlight w:val="none"/>
              </w:rPr>
              <w:t>保证金，视为无效</w:t>
            </w:r>
            <w:r>
              <w:rPr>
                <w:rFonts w:hint="eastAsia" w:ascii="楷体" w:hAnsi="楷体" w:eastAsia="楷体" w:cs="宋体"/>
                <w:color w:val="auto"/>
                <w:sz w:val="24"/>
                <w:highlight w:val="none"/>
              </w:rPr>
              <w:t>谈判</w:t>
            </w:r>
            <w:r>
              <w:rPr>
                <w:rFonts w:ascii="楷体" w:hAnsi="楷体" w:eastAsia="楷体" w:cs="宋体"/>
                <w:color w:val="auto"/>
                <w:sz w:val="24"/>
                <w:highlight w:val="none"/>
              </w:rPr>
              <w:t>保证金。</w:t>
            </w:r>
          </w:p>
          <w:p w14:paraId="2FF3944B">
            <w:pPr>
              <w:snapToGrid w:val="0"/>
              <w:spacing w:line="500" w:lineRule="exact"/>
              <w:rPr>
                <w:rFonts w:ascii="楷体" w:hAnsi="楷体" w:eastAsia="楷体" w:cs="宋体"/>
                <w:color w:val="auto"/>
                <w:sz w:val="24"/>
                <w:highlight w:val="none"/>
              </w:rPr>
            </w:pPr>
            <w:r>
              <w:rPr>
                <w:rFonts w:ascii="楷体" w:hAnsi="楷体" w:eastAsia="楷体" w:cs="宋体"/>
                <w:color w:val="auto"/>
                <w:sz w:val="24"/>
                <w:highlight w:val="none"/>
              </w:rPr>
              <w:t>3.保函有效期</w:t>
            </w:r>
            <w:r>
              <w:rPr>
                <w:rFonts w:hint="eastAsia" w:ascii="楷体" w:hAnsi="楷体" w:eastAsia="楷体" w:cs="宋体"/>
                <w:color w:val="auto"/>
                <w:sz w:val="24"/>
                <w:highlight w:val="none"/>
              </w:rPr>
              <w:t>短</w:t>
            </w:r>
            <w:r>
              <w:rPr>
                <w:rFonts w:ascii="楷体" w:hAnsi="楷体" w:eastAsia="楷体" w:cs="宋体"/>
                <w:color w:val="auto"/>
                <w:sz w:val="24"/>
                <w:highlight w:val="none"/>
              </w:rPr>
              <w:t>于</w:t>
            </w:r>
            <w:r>
              <w:rPr>
                <w:rFonts w:hint="eastAsia" w:ascii="楷体" w:hAnsi="楷体" w:eastAsia="楷体" w:cs="宋体"/>
                <w:color w:val="auto"/>
                <w:sz w:val="24"/>
                <w:highlight w:val="none"/>
              </w:rPr>
              <w:t>竞争性谈判</w:t>
            </w:r>
            <w:r>
              <w:rPr>
                <w:rFonts w:ascii="楷体" w:hAnsi="楷体" w:eastAsia="楷体" w:cs="宋体"/>
                <w:color w:val="auto"/>
                <w:sz w:val="24"/>
                <w:highlight w:val="none"/>
              </w:rPr>
              <w:t>有效期的，视为无效</w:t>
            </w:r>
            <w:r>
              <w:rPr>
                <w:rFonts w:hint="eastAsia" w:ascii="楷体" w:hAnsi="楷体" w:eastAsia="楷体" w:cs="宋体"/>
                <w:color w:val="auto"/>
                <w:sz w:val="24"/>
                <w:highlight w:val="none"/>
              </w:rPr>
              <w:t>谈判</w:t>
            </w:r>
            <w:r>
              <w:rPr>
                <w:rFonts w:ascii="楷体" w:hAnsi="楷体" w:eastAsia="楷体" w:cs="宋体"/>
                <w:color w:val="auto"/>
                <w:sz w:val="24"/>
                <w:highlight w:val="none"/>
              </w:rPr>
              <w:t>保证金。</w:t>
            </w:r>
          </w:p>
          <w:p w14:paraId="2773B64F">
            <w:pPr>
              <w:snapToGrid w:val="0"/>
              <w:spacing w:line="500" w:lineRule="exact"/>
              <w:rPr>
                <w:rFonts w:ascii="宋体" w:hAnsi="宋体" w:cs="宋体"/>
                <w:color w:val="auto"/>
                <w:sz w:val="24"/>
                <w:highlight w:val="none"/>
              </w:rPr>
            </w:pPr>
            <w:r>
              <w:rPr>
                <w:rFonts w:ascii="楷体" w:hAnsi="楷体" w:eastAsia="楷体" w:cs="宋体"/>
                <w:color w:val="auto"/>
                <w:sz w:val="24"/>
                <w:highlight w:val="none"/>
              </w:rPr>
              <w:t>4.</w:t>
            </w:r>
            <w:r>
              <w:rPr>
                <w:rFonts w:hint="eastAsia" w:ascii="楷体" w:hAnsi="楷体" w:eastAsia="楷体" w:cs="宋体"/>
                <w:color w:val="auto"/>
                <w:sz w:val="24"/>
                <w:highlight w:val="none"/>
              </w:rPr>
              <w:t>谈判</w:t>
            </w:r>
            <w:r>
              <w:rPr>
                <w:rFonts w:ascii="楷体" w:hAnsi="楷体" w:eastAsia="楷体" w:cs="宋体"/>
                <w:color w:val="auto"/>
                <w:sz w:val="24"/>
                <w:highlight w:val="none"/>
              </w:rPr>
              <w:t>保证金采用保函为有条件保函的，视为无效</w:t>
            </w:r>
            <w:r>
              <w:rPr>
                <w:rFonts w:hint="eastAsia" w:ascii="楷体" w:hAnsi="楷体" w:eastAsia="楷体" w:cs="宋体"/>
                <w:color w:val="auto"/>
                <w:sz w:val="24"/>
                <w:highlight w:val="none"/>
              </w:rPr>
              <w:t>谈判</w:t>
            </w:r>
            <w:r>
              <w:rPr>
                <w:rFonts w:ascii="楷体" w:hAnsi="楷体" w:eastAsia="楷体" w:cs="宋体"/>
                <w:color w:val="auto"/>
                <w:sz w:val="24"/>
                <w:highlight w:val="none"/>
              </w:rPr>
              <w:t>保证金。</w:t>
            </w:r>
          </w:p>
        </w:tc>
      </w:tr>
      <w:tr w14:paraId="7D840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6A52FFB3">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18.2</w:t>
            </w:r>
          </w:p>
        </w:tc>
        <w:tc>
          <w:tcPr>
            <w:tcW w:w="8181" w:type="dxa"/>
            <w:vAlign w:val="center"/>
          </w:tcPr>
          <w:p w14:paraId="11FC3082">
            <w:pPr>
              <w:spacing w:line="500" w:lineRule="exact"/>
              <w:rPr>
                <w:rFonts w:ascii="宋体" w:hAnsi="宋体" w:cs="宋体"/>
                <w:color w:val="auto"/>
                <w:sz w:val="24"/>
                <w:highlight w:val="none"/>
              </w:rPr>
            </w:pPr>
            <w:r>
              <w:rPr>
                <w:rFonts w:hint="eastAsia" w:ascii="宋体" w:hAnsi="宋体" w:cs="宋体"/>
                <w:color w:val="auto"/>
                <w:sz w:val="24"/>
                <w:highlight w:val="none"/>
              </w:rPr>
              <w:t>响应文件份数：正本一份、副本三份（正本与副本不一致的，以正本为准）。即：“资格证明文件</w:t>
            </w:r>
            <w:r>
              <w:rPr>
                <w:rFonts w:hint="eastAsia" w:ascii="宋体" w:hAnsi="宋体" w:cs="宋体"/>
                <w:color w:val="auto"/>
                <w:sz w:val="24"/>
                <w:highlight w:val="none"/>
                <w:lang w:eastAsia="zh-CN"/>
              </w:rPr>
              <w:t>、</w:t>
            </w:r>
            <w:r>
              <w:rPr>
                <w:rFonts w:hint="eastAsia" w:ascii="宋体" w:hAnsi="宋体" w:cs="宋体"/>
                <w:color w:val="auto"/>
                <w:sz w:val="24"/>
                <w:highlight w:val="none"/>
              </w:rPr>
              <w:t>价格文件、商务技术文件合并装订成一本”：正本一份，副本三份。</w:t>
            </w:r>
          </w:p>
        </w:tc>
      </w:tr>
      <w:tr w14:paraId="45C78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5CC105B7">
            <w:pPr>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19.2</w:t>
            </w:r>
          </w:p>
        </w:tc>
        <w:tc>
          <w:tcPr>
            <w:tcW w:w="8181" w:type="dxa"/>
            <w:vAlign w:val="center"/>
          </w:tcPr>
          <w:p w14:paraId="15BB5A3C">
            <w:pPr>
              <w:spacing w:line="500" w:lineRule="exact"/>
              <w:rPr>
                <w:rFonts w:hint="eastAsia" w:ascii="宋体" w:hAnsi="宋体" w:cs="宋体"/>
                <w:b/>
                <w:bCs/>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b/>
                <w:bCs/>
                <w:color w:val="auto"/>
                <w:sz w:val="24"/>
                <w:highlight w:val="none"/>
              </w:rPr>
              <w:t>本项目须提供响应文件电子版，具体规定如下：</w:t>
            </w:r>
          </w:p>
          <w:p w14:paraId="32EAF151">
            <w:pPr>
              <w:spacing w:line="500" w:lineRule="exact"/>
              <w:rPr>
                <w:rFonts w:hint="eastAsia" w:ascii="宋体" w:hAnsi="宋体" w:cs="宋体"/>
                <w:color w:val="auto"/>
                <w:sz w:val="24"/>
                <w:highlight w:val="none"/>
              </w:rPr>
            </w:pPr>
            <w:r>
              <w:rPr>
                <w:rFonts w:hint="eastAsia" w:ascii="宋体" w:hAnsi="宋体" w:cs="宋体"/>
                <w:color w:val="auto"/>
                <w:sz w:val="24"/>
                <w:highlight w:val="none"/>
              </w:rPr>
              <w:t>供应商在递交响应文件时，同时递交响应文件电子版。</w:t>
            </w:r>
          </w:p>
          <w:p w14:paraId="0AE9476F">
            <w:pPr>
              <w:spacing w:line="500" w:lineRule="exact"/>
              <w:rPr>
                <w:rFonts w:hint="eastAsia" w:ascii="宋体" w:hAnsi="宋体" w:cs="宋体"/>
                <w:color w:val="auto"/>
                <w:sz w:val="24"/>
                <w:highlight w:val="none"/>
              </w:rPr>
            </w:pPr>
            <w:r>
              <w:rPr>
                <w:rFonts w:hint="eastAsia" w:ascii="宋体" w:hAnsi="宋体" w:cs="宋体"/>
                <w:color w:val="auto"/>
                <w:sz w:val="24"/>
                <w:highlight w:val="none"/>
              </w:rPr>
              <w:t>1.响应文件电子版内容：与纸质响应文件全部内容一致。</w:t>
            </w:r>
          </w:p>
          <w:p w14:paraId="569A4E6E">
            <w:pPr>
              <w:spacing w:line="500" w:lineRule="exact"/>
              <w:rPr>
                <w:rFonts w:hint="eastAsia" w:ascii="宋体" w:hAnsi="宋体" w:cs="宋体"/>
                <w:color w:val="auto"/>
                <w:sz w:val="24"/>
                <w:highlight w:val="none"/>
              </w:rPr>
            </w:pPr>
            <w:r>
              <w:rPr>
                <w:rFonts w:hint="eastAsia" w:ascii="宋体" w:hAnsi="宋体" w:cs="宋体"/>
                <w:color w:val="auto"/>
                <w:sz w:val="24"/>
                <w:highlight w:val="none"/>
              </w:rPr>
              <w:t>2.响应文件电子版形式：已签字盖章的响应文件正本的扫描件（PDF格式）1份。</w:t>
            </w:r>
          </w:p>
          <w:p w14:paraId="091C8517">
            <w:pPr>
              <w:spacing w:line="500" w:lineRule="exact"/>
              <w:rPr>
                <w:rFonts w:hint="eastAsia" w:ascii="宋体" w:hAnsi="宋体" w:cs="宋体"/>
                <w:color w:val="auto"/>
                <w:sz w:val="24"/>
                <w:highlight w:val="none"/>
              </w:rPr>
            </w:pPr>
            <w:r>
              <w:rPr>
                <w:rFonts w:hint="eastAsia" w:ascii="宋体" w:hAnsi="宋体" w:cs="宋体"/>
                <w:color w:val="auto"/>
                <w:sz w:val="24"/>
                <w:highlight w:val="none"/>
              </w:rPr>
              <w:t>3.响应文件电子版密封方式：响应文件电子版光盘（或者U盘）与纸质版响应文件一并装入响应文件袋中。</w:t>
            </w:r>
          </w:p>
        </w:tc>
      </w:tr>
      <w:tr w14:paraId="0A24A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6148386D">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20.1</w:t>
            </w:r>
          </w:p>
        </w:tc>
        <w:tc>
          <w:tcPr>
            <w:tcW w:w="8181" w:type="dxa"/>
            <w:vAlign w:val="center"/>
          </w:tcPr>
          <w:p w14:paraId="11139969">
            <w:pPr>
              <w:spacing w:line="500" w:lineRule="exact"/>
              <w:contextualSpacing/>
              <w:rPr>
                <w:rFonts w:ascii="宋体" w:hAnsi="宋体" w:cs="宋体"/>
                <w:color w:val="auto"/>
                <w:sz w:val="24"/>
                <w:highlight w:val="none"/>
                <w:u w:val="single"/>
              </w:rPr>
            </w:pPr>
            <w:r>
              <w:rPr>
                <w:rFonts w:hint="eastAsia" w:ascii="宋体" w:hAnsi="宋体" w:cs="宋体"/>
                <w:color w:val="auto"/>
                <w:sz w:val="24"/>
                <w:highlight w:val="none"/>
              </w:rPr>
              <w:t>首次响应文件提交截止时间：详见竞争性谈判公告。</w:t>
            </w:r>
          </w:p>
          <w:p w14:paraId="5155C40C">
            <w:pPr>
              <w:spacing w:line="500" w:lineRule="exact"/>
              <w:contextualSpacing/>
              <w:rPr>
                <w:rFonts w:ascii="宋体" w:hAnsi="宋体" w:cs="宋体"/>
                <w:color w:val="auto"/>
                <w:sz w:val="24"/>
                <w:highlight w:val="none"/>
              </w:rPr>
            </w:pPr>
            <w:r>
              <w:rPr>
                <w:rFonts w:hint="eastAsia" w:ascii="宋体" w:hAnsi="宋体" w:cs="宋体"/>
                <w:color w:val="auto"/>
                <w:sz w:val="24"/>
                <w:highlight w:val="none"/>
              </w:rPr>
              <w:t>首次响应文件提交地点：详见竞争性谈判公告。</w:t>
            </w:r>
          </w:p>
        </w:tc>
      </w:tr>
      <w:tr w14:paraId="11F6B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14:paraId="0DC6CE00">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24.1</w:t>
            </w:r>
          </w:p>
        </w:tc>
        <w:tc>
          <w:tcPr>
            <w:tcW w:w="8181" w:type="dxa"/>
            <w:vAlign w:val="center"/>
          </w:tcPr>
          <w:p w14:paraId="60AB661A">
            <w:pPr>
              <w:snapToGrid w:val="0"/>
              <w:spacing w:line="500" w:lineRule="exact"/>
              <w:rPr>
                <w:rFonts w:ascii="宋体" w:hAnsi="宋体" w:cs="宋体"/>
                <w:color w:val="auto"/>
                <w:sz w:val="24"/>
                <w:highlight w:val="none"/>
                <w:u w:val="single"/>
              </w:rPr>
            </w:pPr>
            <w:r>
              <w:rPr>
                <w:rFonts w:hint="eastAsia" w:ascii="宋体" w:hAnsi="宋体" w:cs="宋体"/>
                <w:color w:val="auto"/>
                <w:sz w:val="24"/>
                <w:highlight w:val="none"/>
              </w:rPr>
              <w:t>谈判小组的人数：3人。</w:t>
            </w:r>
          </w:p>
        </w:tc>
      </w:tr>
      <w:tr w14:paraId="69456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Merge w:val="restart"/>
            <w:vAlign w:val="center"/>
          </w:tcPr>
          <w:p w14:paraId="7E74670C">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26</w:t>
            </w:r>
          </w:p>
        </w:tc>
        <w:tc>
          <w:tcPr>
            <w:tcW w:w="8181" w:type="dxa"/>
            <w:vAlign w:val="center"/>
          </w:tcPr>
          <w:p w14:paraId="0BC6F8C4">
            <w:pPr>
              <w:snapToGrid w:val="0"/>
              <w:spacing w:line="500" w:lineRule="exact"/>
              <w:rPr>
                <w:color w:val="auto"/>
                <w:sz w:val="24"/>
                <w:highlight w:val="none"/>
              </w:rPr>
            </w:pPr>
            <w:r>
              <w:rPr>
                <w:rFonts w:hint="eastAsia"/>
                <w:color w:val="auto"/>
                <w:sz w:val="24"/>
                <w:highlight w:val="none"/>
              </w:rPr>
              <w:t>商务要求评审中允许负偏离的条款数为</w:t>
            </w:r>
            <w:r>
              <w:rPr>
                <w:rFonts w:hint="eastAsia"/>
                <w:color w:val="auto"/>
                <w:sz w:val="24"/>
                <w:highlight w:val="none"/>
                <w:u w:val="single"/>
              </w:rPr>
              <w:t>0</w:t>
            </w:r>
            <w:r>
              <w:rPr>
                <w:rFonts w:hint="eastAsia"/>
                <w:color w:val="auto"/>
                <w:sz w:val="24"/>
                <w:highlight w:val="none"/>
              </w:rPr>
              <w:t>项。</w:t>
            </w:r>
          </w:p>
          <w:p w14:paraId="1E98380E">
            <w:pPr>
              <w:snapToGrid w:val="0"/>
              <w:spacing w:line="500" w:lineRule="exact"/>
              <w:rPr>
                <w:color w:val="auto"/>
                <w:sz w:val="24"/>
                <w:highlight w:val="none"/>
              </w:rPr>
            </w:pPr>
            <w:r>
              <w:rPr>
                <w:rFonts w:hint="eastAsia"/>
                <w:color w:val="auto"/>
                <w:sz w:val="24"/>
                <w:highlight w:val="none"/>
              </w:rPr>
              <w:t>技术要求评审中允许负偏离的条款数为</w:t>
            </w:r>
            <w:r>
              <w:rPr>
                <w:rFonts w:hint="eastAsia"/>
                <w:color w:val="auto"/>
                <w:sz w:val="24"/>
                <w:highlight w:val="none"/>
                <w:u w:val="single"/>
                <w:lang w:val="en-US" w:eastAsia="zh-CN"/>
              </w:rPr>
              <w:t>0</w:t>
            </w:r>
            <w:r>
              <w:rPr>
                <w:rFonts w:hint="eastAsia"/>
                <w:color w:val="auto"/>
                <w:sz w:val="24"/>
                <w:highlight w:val="none"/>
              </w:rPr>
              <w:t>项。</w:t>
            </w:r>
          </w:p>
        </w:tc>
      </w:tr>
      <w:tr w14:paraId="4CE3B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Merge w:val="continue"/>
            <w:vAlign w:val="center"/>
          </w:tcPr>
          <w:p w14:paraId="550DA86C">
            <w:pPr>
              <w:spacing w:line="500" w:lineRule="exact"/>
              <w:jc w:val="center"/>
              <w:rPr>
                <w:rFonts w:ascii="宋体" w:hAnsi="宋体" w:cs="宋体"/>
                <w:color w:val="auto"/>
                <w:sz w:val="24"/>
                <w:highlight w:val="none"/>
              </w:rPr>
            </w:pPr>
          </w:p>
        </w:tc>
        <w:tc>
          <w:tcPr>
            <w:tcW w:w="8181" w:type="dxa"/>
            <w:vAlign w:val="center"/>
          </w:tcPr>
          <w:p w14:paraId="519A23B0">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谈判的顺序：</w:t>
            </w:r>
            <w:r>
              <w:rPr>
                <w:rFonts w:hint="eastAsia" w:ascii="宋体" w:hAnsi="宋体" w:cs="宋体"/>
                <w:color w:val="auto"/>
                <w:sz w:val="24"/>
                <w:highlight w:val="none"/>
                <w:lang w:eastAsia="zh-CN"/>
              </w:rPr>
              <w:t>随机进行</w:t>
            </w:r>
            <w:r>
              <w:rPr>
                <w:rFonts w:hint="eastAsia" w:ascii="宋体" w:hAnsi="宋体" w:cs="宋体"/>
                <w:color w:val="auto"/>
                <w:sz w:val="24"/>
                <w:highlight w:val="none"/>
              </w:rPr>
              <w:t>。</w:t>
            </w:r>
          </w:p>
          <w:p w14:paraId="4AB988BA">
            <w:pPr>
              <w:snapToGrid w:val="0"/>
              <w:spacing w:line="500" w:lineRule="exact"/>
              <w:rPr>
                <w:rFonts w:ascii="宋体" w:hAnsi="宋体" w:cs="宋体"/>
                <w:b/>
                <w:color w:val="auto"/>
                <w:sz w:val="24"/>
                <w:highlight w:val="none"/>
              </w:rPr>
            </w:pPr>
            <w:r>
              <w:rPr>
                <w:rFonts w:hint="eastAsia" w:ascii="宋体" w:hAnsi="宋体" w:cs="宋体"/>
                <w:b/>
                <w:color w:val="auto"/>
                <w:sz w:val="24"/>
                <w:highlight w:val="none"/>
              </w:rPr>
              <w:t>符合谈判资格的供应商必须在接到谈判通知后规定时间内参加谈判，未在规定时间内参加谈判的视同放弃参加谈判权利，其响应文件按无效响应处理。</w:t>
            </w:r>
          </w:p>
          <w:p w14:paraId="3510B82A">
            <w:pPr>
              <w:snapToGrid w:val="0"/>
              <w:spacing w:line="500" w:lineRule="exact"/>
              <w:rPr>
                <w:rFonts w:ascii="宋体" w:hAnsi="宋体" w:cs="宋体"/>
                <w:color w:val="auto"/>
                <w:sz w:val="24"/>
                <w:highlight w:val="none"/>
              </w:rPr>
            </w:pPr>
            <w:r>
              <w:rPr>
                <w:rFonts w:hint="eastAsia" w:ascii="宋体" w:hAnsi="宋体" w:cs="宋体"/>
                <w:b/>
                <w:color w:val="auto"/>
                <w:sz w:val="24"/>
                <w:highlight w:val="none"/>
              </w:rPr>
              <w:t>参与谈判前，供应商法定代表人或者委托代理人必须向谈判小组出示本人有效证件原件[有效证件可以是身份证（含临时身份证明）或者护照的其中一项。</w:t>
            </w:r>
          </w:p>
        </w:tc>
      </w:tr>
      <w:tr w14:paraId="31ECB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Merge w:val="continue"/>
            <w:vAlign w:val="center"/>
          </w:tcPr>
          <w:p w14:paraId="48664E05">
            <w:pPr>
              <w:spacing w:line="500" w:lineRule="exact"/>
              <w:jc w:val="center"/>
              <w:rPr>
                <w:rFonts w:ascii="宋体" w:hAnsi="宋体" w:cs="宋体"/>
                <w:color w:val="auto"/>
                <w:sz w:val="24"/>
                <w:highlight w:val="none"/>
              </w:rPr>
            </w:pPr>
          </w:p>
        </w:tc>
        <w:tc>
          <w:tcPr>
            <w:tcW w:w="8181" w:type="dxa"/>
            <w:vAlign w:val="center"/>
          </w:tcPr>
          <w:p w14:paraId="43248DBF">
            <w:pPr>
              <w:spacing w:line="500" w:lineRule="exact"/>
              <w:contextualSpacing/>
              <w:rPr>
                <w:rFonts w:ascii="宋体" w:hAnsi="宋体" w:cs="宋体"/>
                <w:color w:val="auto"/>
                <w:sz w:val="24"/>
                <w:highlight w:val="none"/>
              </w:rPr>
            </w:pPr>
            <w:r>
              <w:rPr>
                <w:rFonts w:hint="eastAsia" w:ascii="宋体" w:hAnsi="宋体" w:cs="宋体"/>
                <w:color w:val="auto"/>
                <w:sz w:val="24"/>
                <w:highlight w:val="none"/>
              </w:rPr>
              <w:t>评审价相同时，按照最后报价由低到高顺序依次推荐；最后报价相同的，按以下原则确定成交候选人的顺序：</w:t>
            </w:r>
          </w:p>
          <w:p w14:paraId="45132F5A">
            <w:pPr>
              <w:spacing w:line="500" w:lineRule="exact"/>
              <w:contextualSpacing/>
              <w:rPr>
                <w:rFonts w:ascii="宋体" w:hAnsi="宋体" w:cs="宋体"/>
                <w:color w:val="auto"/>
                <w:sz w:val="24"/>
                <w:highlight w:val="none"/>
              </w:rPr>
            </w:pPr>
            <w:r>
              <w:rPr>
                <w:rFonts w:ascii="Segoe UI Symbol" w:hAnsi="Segoe UI Symbol" w:cs="Segoe UI Symbol"/>
                <w:color w:val="auto"/>
                <w:sz w:val="24"/>
                <w:highlight w:val="none"/>
              </w:rPr>
              <w:t>☑</w:t>
            </w:r>
            <w:r>
              <w:rPr>
                <w:rFonts w:hint="eastAsia" w:ascii="宋体" w:hAnsi="宋体" w:cs="宋体"/>
                <w:color w:val="auto"/>
                <w:sz w:val="24"/>
                <w:highlight w:val="none"/>
              </w:rPr>
              <w:t>依次按带“▲”的实质性要求正偏离项数多的优先、均无正偏离或者正偏离项数一致时负偏离项数少的优先、质量保证期长优先、交货期短优先、故障响应时间短优先、节能环保产品累计金额多的优先的顺序排列。</w:t>
            </w:r>
          </w:p>
          <w:p w14:paraId="103831E0">
            <w:pPr>
              <w:spacing w:line="500" w:lineRule="exact"/>
              <w:contextualSpacing/>
              <w:rPr>
                <w:color w:val="auto"/>
                <w:highlight w:val="none"/>
              </w:rPr>
            </w:pPr>
            <w:r>
              <w:rPr>
                <w:rFonts w:hint="eastAsia" w:ascii="Segoe UI Symbol" w:hAnsi="Segoe UI Symbol" w:cs="Segoe UI Symbol"/>
                <w:color w:val="auto"/>
                <w:sz w:val="24"/>
                <w:highlight w:val="none"/>
              </w:rPr>
              <w:t>□由谈判小组推荐代表随机抽取。</w:t>
            </w:r>
          </w:p>
        </w:tc>
      </w:tr>
      <w:tr w14:paraId="2079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14:paraId="18D899F4">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28.1</w:t>
            </w:r>
          </w:p>
        </w:tc>
        <w:tc>
          <w:tcPr>
            <w:tcW w:w="8181" w:type="dxa"/>
            <w:vAlign w:val="center"/>
          </w:tcPr>
          <w:p w14:paraId="6147E818">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本项目不收取履约保证金。</w:t>
            </w:r>
          </w:p>
          <w:p w14:paraId="2838966F">
            <w:pPr>
              <w:pStyle w:val="9"/>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本项目收取履约保证金：详见商务条款。</w:t>
            </w:r>
          </w:p>
          <w:p w14:paraId="5C60BD8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履约保证金递交方式：详见商务条款。</w:t>
            </w:r>
          </w:p>
          <w:p w14:paraId="5C358AE9">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履约保证金退付方式、时间及条件详见商务条款。</w:t>
            </w:r>
          </w:p>
        </w:tc>
      </w:tr>
      <w:tr w14:paraId="3CCAA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991" w:type="dxa"/>
            <w:vAlign w:val="center"/>
          </w:tcPr>
          <w:p w14:paraId="3C36F55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29.1</w:t>
            </w:r>
          </w:p>
        </w:tc>
        <w:tc>
          <w:tcPr>
            <w:tcW w:w="8181" w:type="dxa"/>
            <w:vAlign w:val="center"/>
          </w:tcPr>
          <w:p w14:paraId="7F88F4B8">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4305B7BD">
            <w:pPr>
              <w:autoSpaceDE w:val="0"/>
              <w:autoSpaceDN w:val="0"/>
              <w:snapToGrid w:val="0"/>
              <w:spacing w:line="500" w:lineRule="exact"/>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委托代理人负责签订合同的，须携带授权委托书及委托代理人身份证原件等其他资格证件。</w:t>
            </w:r>
          </w:p>
          <w:p w14:paraId="1FACEF5B">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法定代表人负责签订合同的，须携带法定代表人身份证明原件及身份证原件等其他证明材料。</w:t>
            </w:r>
          </w:p>
        </w:tc>
      </w:tr>
      <w:tr w14:paraId="2D2A5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91" w:type="dxa"/>
            <w:vAlign w:val="center"/>
          </w:tcPr>
          <w:p w14:paraId="4CB721CC">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31.2</w:t>
            </w:r>
          </w:p>
        </w:tc>
        <w:tc>
          <w:tcPr>
            <w:tcW w:w="8181" w:type="dxa"/>
            <w:vAlign w:val="center"/>
          </w:tcPr>
          <w:p w14:paraId="0D907764">
            <w:pPr>
              <w:snapToGrid w:val="0"/>
              <w:spacing w:line="500" w:lineRule="exact"/>
              <w:rPr>
                <w:rFonts w:ascii="宋体" w:hAnsi="宋体" w:cs="宋体"/>
                <w:color w:val="auto"/>
                <w:sz w:val="24"/>
                <w:highlight w:val="none"/>
              </w:rPr>
            </w:pPr>
            <w:r>
              <w:rPr>
                <w:rFonts w:hint="eastAsia" w:ascii="宋体" w:hAnsi="宋体" w:cs="宋体"/>
                <w:color w:val="auto"/>
                <w:sz w:val="24"/>
                <w:highlight w:val="none"/>
              </w:rPr>
              <w:t>接收质疑函方式：以纸质书面形式</w:t>
            </w:r>
          </w:p>
          <w:p w14:paraId="2BC9A686">
            <w:pPr>
              <w:pStyle w:val="15"/>
              <w:snapToGrid w:val="0"/>
              <w:spacing w:line="500" w:lineRule="exact"/>
              <w:rPr>
                <w:rFonts w:hint="default" w:hAnsi="宋体" w:eastAsia="宋体" w:cs="宋体"/>
                <w:color w:val="auto"/>
                <w:sz w:val="24"/>
                <w:szCs w:val="24"/>
                <w:highlight w:val="none"/>
                <w:lang w:val="en-US" w:eastAsia="zh-CN"/>
              </w:rPr>
            </w:pPr>
            <w:r>
              <w:rPr>
                <w:rFonts w:hint="eastAsia" w:hAnsi="宋体" w:cs="宋体"/>
                <w:color w:val="auto"/>
                <w:kern w:val="2"/>
                <w:sz w:val="24"/>
                <w:szCs w:val="24"/>
                <w:highlight w:val="none"/>
              </w:rPr>
              <w:t>质疑联系部门及联系方式：</w:t>
            </w:r>
            <w:r>
              <w:rPr>
                <w:rFonts w:hint="eastAsia" w:hAnsi="宋体" w:cs="宋体"/>
                <w:color w:val="auto"/>
                <w:kern w:val="2"/>
                <w:sz w:val="24"/>
                <w:szCs w:val="24"/>
                <w:highlight w:val="none"/>
                <w:lang w:val="en-US" w:eastAsia="zh-CN"/>
              </w:rPr>
              <w:t>广西科文招标有限公司</w:t>
            </w:r>
          </w:p>
          <w:p w14:paraId="53DA1D2E">
            <w:pPr>
              <w:pStyle w:val="15"/>
              <w:snapToGrid w:val="0"/>
              <w:spacing w:line="500" w:lineRule="exact"/>
              <w:rPr>
                <w:rFonts w:hAnsi="宋体" w:cs="宋体"/>
                <w:color w:val="auto"/>
                <w:sz w:val="24"/>
                <w:szCs w:val="24"/>
                <w:highlight w:val="none"/>
              </w:rPr>
            </w:pPr>
            <w:r>
              <w:rPr>
                <w:rFonts w:hint="eastAsia" w:hAnsi="宋体" w:cs="宋体"/>
                <w:color w:val="auto"/>
                <w:sz w:val="24"/>
                <w:szCs w:val="24"/>
                <w:highlight w:val="none"/>
              </w:rPr>
              <w:t>质疑联系人：</w:t>
            </w:r>
            <w:r>
              <w:rPr>
                <w:rFonts w:hint="eastAsia" w:hAnsi="宋体" w:cs="宋体"/>
                <w:color w:val="auto"/>
                <w:sz w:val="24"/>
                <w:szCs w:val="24"/>
                <w:highlight w:val="none"/>
                <w:lang w:val="en-US" w:eastAsia="zh-CN"/>
              </w:rPr>
              <w:t>陈城</w:t>
            </w:r>
            <w:r>
              <w:rPr>
                <w:rFonts w:hint="eastAsia" w:hAnsi="宋体" w:cs="宋体"/>
                <w:color w:val="auto"/>
                <w:sz w:val="24"/>
                <w:szCs w:val="24"/>
                <w:highlight w:val="none"/>
              </w:rPr>
              <w:t>，联系电话：</w:t>
            </w:r>
            <w:r>
              <w:rPr>
                <w:rFonts w:hint="eastAsia" w:hAnsi="宋体" w:cs="宋体"/>
                <w:color w:val="auto"/>
                <w:sz w:val="24"/>
                <w:szCs w:val="24"/>
                <w:highlight w:val="none"/>
                <w:lang w:val="en-US" w:eastAsia="zh-CN"/>
              </w:rPr>
              <w:t>0772-4232226</w:t>
            </w:r>
          </w:p>
          <w:p w14:paraId="46FB1FC5">
            <w:pPr>
              <w:pStyle w:val="15"/>
              <w:snapToGrid w:val="0"/>
              <w:spacing w:line="500" w:lineRule="exact"/>
              <w:rPr>
                <w:rFonts w:hint="eastAsia" w:hAnsi="宋体" w:eastAsia="宋体" w:cs="宋体"/>
                <w:color w:val="auto"/>
                <w:sz w:val="24"/>
                <w:szCs w:val="24"/>
                <w:highlight w:val="none"/>
                <w:lang w:eastAsia="zh-CN"/>
              </w:rPr>
            </w:pPr>
            <w:r>
              <w:rPr>
                <w:rFonts w:hint="eastAsia" w:hAnsi="宋体" w:cs="宋体"/>
                <w:color w:val="auto"/>
                <w:sz w:val="24"/>
                <w:szCs w:val="24"/>
                <w:highlight w:val="none"/>
              </w:rPr>
              <w:t>通讯地址：来宾市凤临路10号裕达中央城江临天下5号楼红水河大道6-5号</w:t>
            </w:r>
          </w:p>
          <w:p w14:paraId="48D8A9FB">
            <w:pPr>
              <w:pStyle w:val="15"/>
              <w:snapToGrid w:val="0"/>
              <w:spacing w:line="500" w:lineRule="exact"/>
              <w:rPr>
                <w:rFonts w:hAnsi="宋体" w:cs="宋体"/>
                <w:color w:val="auto"/>
                <w:kern w:val="2"/>
                <w:sz w:val="24"/>
                <w:szCs w:val="24"/>
                <w:highlight w:val="none"/>
              </w:rPr>
            </w:pPr>
            <w:r>
              <w:rPr>
                <w:rFonts w:hint="eastAsia" w:hAnsi="宋体" w:cs="宋体"/>
                <w:color w:val="auto"/>
                <w:sz w:val="24"/>
                <w:szCs w:val="24"/>
                <w:highlight w:val="none"/>
              </w:rPr>
              <w:t>业务时间： 工作日（上午8:00-12:00；下午15:00-18:00）</w:t>
            </w:r>
          </w:p>
        </w:tc>
      </w:tr>
      <w:tr w14:paraId="7101E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991" w:type="dxa"/>
            <w:vAlign w:val="center"/>
          </w:tcPr>
          <w:p w14:paraId="20501540">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32.1</w:t>
            </w:r>
          </w:p>
        </w:tc>
        <w:tc>
          <w:tcPr>
            <w:tcW w:w="8181" w:type="dxa"/>
            <w:vAlign w:val="center"/>
          </w:tcPr>
          <w:p w14:paraId="5A4D704F">
            <w:pPr>
              <w:pStyle w:val="15"/>
              <w:snapToGrid w:val="0"/>
              <w:spacing w:line="500" w:lineRule="exact"/>
              <w:rPr>
                <w:rFonts w:hAnsi="宋体" w:cs="宋体"/>
                <w:color w:val="auto"/>
                <w:sz w:val="24"/>
                <w:szCs w:val="24"/>
                <w:highlight w:val="none"/>
              </w:rPr>
            </w:pPr>
            <w:r>
              <w:rPr>
                <w:rFonts w:hint="eastAsia" w:hAnsi="宋体" w:cs="宋体"/>
                <w:color w:val="auto"/>
                <w:sz w:val="24"/>
                <w:szCs w:val="24"/>
                <w:highlight w:val="none"/>
              </w:rPr>
              <w:t>1.采购代理服务费支付方式：本项目的招标代理服务费按以下收费标准向成交供应商收取，领取成交通知书前，成交供应商应向采购代理机构一次付清招标代理服务费，否则采购代理机构有权不予以办理。</w:t>
            </w:r>
          </w:p>
          <w:p w14:paraId="7FE86764">
            <w:pPr>
              <w:pStyle w:val="15"/>
              <w:snapToGrid w:val="0"/>
              <w:spacing w:line="500" w:lineRule="exact"/>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bCs/>
                <w:color w:val="auto"/>
                <w:sz w:val="24"/>
                <w:szCs w:val="24"/>
                <w:highlight w:val="none"/>
              </w:rPr>
              <w:t>.</w:t>
            </w:r>
            <w:r>
              <w:rPr>
                <w:rFonts w:hint="eastAsia" w:hAnsi="宋体" w:cs="宋体"/>
                <w:color w:val="auto"/>
                <w:sz w:val="24"/>
                <w:szCs w:val="24"/>
                <w:highlight w:val="none"/>
              </w:rPr>
              <w:t>采购代理服务费收取标准：</w:t>
            </w:r>
          </w:p>
          <w:p w14:paraId="69B7B8AE">
            <w:pPr>
              <w:pStyle w:val="15"/>
              <w:snapToGrid w:val="0"/>
              <w:spacing w:line="500" w:lineRule="exact"/>
              <w:rPr>
                <w:rFonts w:hAnsi="宋体" w:cs="宋体"/>
                <w:color w:val="auto"/>
                <w:sz w:val="24"/>
                <w:szCs w:val="24"/>
                <w:highlight w:val="none"/>
              </w:rPr>
            </w:pPr>
            <w:r>
              <w:rPr>
                <w:rFonts w:hint="eastAsia" w:hAnsi="宋体" w:cs="宋体"/>
                <w:color w:val="auto"/>
                <w:sz w:val="24"/>
                <w:szCs w:val="24"/>
                <w:highlight w:val="none"/>
                <w:lang w:eastAsia="zh-CN"/>
              </w:rPr>
              <w:t>本项目采购代理服务费按固定金额人民币伍仟元整（￥</w:t>
            </w:r>
            <w:r>
              <w:rPr>
                <w:rFonts w:hint="eastAsia" w:hAnsi="宋体" w:cs="宋体"/>
                <w:color w:val="auto"/>
                <w:sz w:val="24"/>
                <w:szCs w:val="24"/>
                <w:highlight w:val="none"/>
                <w:lang w:val="en-US" w:eastAsia="zh-CN"/>
              </w:rPr>
              <w:t>5,000.00</w:t>
            </w:r>
            <w:r>
              <w:rPr>
                <w:rFonts w:hint="eastAsia" w:hAnsi="宋体" w:cs="宋体"/>
                <w:color w:val="auto"/>
                <w:sz w:val="24"/>
                <w:szCs w:val="24"/>
                <w:highlight w:val="none"/>
                <w:lang w:eastAsia="zh-CN"/>
              </w:rPr>
              <w:t>）</w:t>
            </w:r>
            <w:r>
              <w:rPr>
                <w:rFonts w:hint="eastAsia" w:hAnsi="宋体" w:cs="宋体"/>
                <w:color w:val="auto"/>
                <w:sz w:val="24"/>
                <w:szCs w:val="24"/>
                <w:highlight w:val="none"/>
              </w:rPr>
              <w:t>收取。</w:t>
            </w:r>
          </w:p>
          <w:p w14:paraId="3AFEF227">
            <w:pPr>
              <w:pStyle w:val="15"/>
              <w:snapToGrid w:val="0"/>
              <w:spacing w:line="500" w:lineRule="exact"/>
              <w:rPr>
                <w:rFonts w:hAnsi="宋体" w:cs="宋体"/>
                <w:b/>
                <w:bCs/>
                <w:color w:val="auto"/>
                <w:sz w:val="24"/>
                <w:szCs w:val="24"/>
                <w:highlight w:val="none"/>
              </w:rPr>
            </w:pPr>
            <w:r>
              <w:rPr>
                <w:rFonts w:hint="eastAsia" w:hAnsi="宋体" w:cs="宋体"/>
                <w:b/>
                <w:bCs/>
                <w:color w:val="auto"/>
                <w:sz w:val="24"/>
                <w:szCs w:val="24"/>
                <w:highlight w:val="none"/>
              </w:rPr>
              <w:t>3</w:t>
            </w:r>
            <w:r>
              <w:rPr>
                <w:rFonts w:hint="eastAsia" w:hAnsi="宋体" w:cs="宋体"/>
                <w:bCs/>
                <w:color w:val="auto"/>
                <w:sz w:val="24"/>
                <w:szCs w:val="24"/>
                <w:highlight w:val="none"/>
              </w:rPr>
              <w:t>.</w:t>
            </w:r>
            <w:r>
              <w:rPr>
                <w:rFonts w:hint="eastAsia" w:hAnsi="宋体" w:cs="宋体"/>
                <w:b/>
                <w:bCs/>
                <w:color w:val="auto"/>
                <w:sz w:val="24"/>
                <w:szCs w:val="24"/>
                <w:highlight w:val="none"/>
              </w:rPr>
              <w:t>采购代理服务费专用银行账号：</w:t>
            </w:r>
          </w:p>
          <w:p w14:paraId="41B7E0F1">
            <w:pPr>
              <w:pStyle w:val="15"/>
              <w:snapToGrid w:val="0"/>
              <w:spacing w:line="500" w:lineRule="exact"/>
              <w:rPr>
                <w:rFonts w:hAnsi="宋体" w:cs="宋体"/>
                <w:b/>
                <w:bCs/>
                <w:color w:val="auto"/>
                <w:sz w:val="24"/>
                <w:szCs w:val="24"/>
                <w:highlight w:val="none"/>
              </w:rPr>
            </w:pPr>
            <w:r>
              <w:rPr>
                <w:rFonts w:hint="eastAsia" w:hAnsi="宋体" w:cs="宋体"/>
                <w:b/>
                <w:bCs/>
                <w:color w:val="auto"/>
                <w:sz w:val="24"/>
                <w:szCs w:val="24"/>
                <w:highlight w:val="none"/>
              </w:rPr>
              <w:t>开户名称：广西科文招标有限公司来宾分公司</w:t>
            </w:r>
            <w:r>
              <w:rPr>
                <w:rFonts w:hAnsi="宋体" w:cs="宋体"/>
                <w:b/>
                <w:bCs/>
                <w:color w:val="auto"/>
                <w:sz w:val="24"/>
                <w:szCs w:val="24"/>
                <w:highlight w:val="none"/>
              </w:rPr>
              <w:t xml:space="preserve"> </w:t>
            </w:r>
          </w:p>
          <w:p w14:paraId="1E6D46BD">
            <w:pPr>
              <w:pStyle w:val="15"/>
              <w:snapToGrid w:val="0"/>
              <w:spacing w:line="500" w:lineRule="exact"/>
              <w:rPr>
                <w:rFonts w:hint="eastAsia" w:hAnsi="宋体" w:eastAsia="宋体" w:cs="宋体"/>
                <w:b/>
                <w:bCs/>
                <w:color w:val="auto"/>
                <w:sz w:val="24"/>
                <w:szCs w:val="24"/>
                <w:highlight w:val="none"/>
                <w:lang w:eastAsia="zh-CN"/>
              </w:rPr>
            </w:pPr>
            <w:r>
              <w:rPr>
                <w:rFonts w:hint="eastAsia" w:hAnsi="宋体" w:cs="宋体"/>
                <w:b/>
                <w:bCs/>
                <w:color w:val="auto"/>
                <w:sz w:val="24"/>
                <w:szCs w:val="24"/>
                <w:highlight w:val="none"/>
              </w:rPr>
              <w:t>开户银行：</w:t>
            </w:r>
            <w:r>
              <w:rPr>
                <w:rFonts w:hint="eastAsia" w:hAnsi="宋体" w:cs="宋体"/>
                <w:b/>
                <w:bCs/>
                <w:color w:val="auto"/>
                <w:sz w:val="24"/>
                <w:szCs w:val="24"/>
                <w:highlight w:val="none"/>
                <w:lang w:eastAsia="zh-CN"/>
              </w:rPr>
              <w:t>广西来宾农村商业银行股份有限公司迎宾支行</w:t>
            </w:r>
          </w:p>
          <w:p w14:paraId="74EB5C94">
            <w:pPr>
              <w:pStyle w:val="15"/>
              <w:snapToGrid w:val="0"/>
              <w:spacing w:line="500" w:lineRule="exact"/>
              <w:rPr>
                <w:rFonts w:hint="eastAsia" w:hAnsi="宋体" w:cs="宋体"/>
                <w:b/>
                <w:bCs/>
                <w:color w:val="auto"/>
                <w:sz w:val="24"/>
                <w:szCs w:val="24"/>
                <w:highlight w:val="none"/>
              </w:rPr>
            </w:pPr>
            <w:r>
              <w:rPr>
                <w:rFonts w:hint="eastAsia" w:hAnsi="宋体" w:cs="宋体"/>
                <w:b/>
                <w:bCs/>
                <w:color w:val="auto"/>
                <w:sz w:val="24"/>
                <w:szCs w:val="24"/>
                <w:highlight w:val="none"/>
              </w:rPr>
              <w:t>银行账号：223712010100706853</w:t>
            </w:r>
          </w:p>
          <w:p w14:paraId="22145B12">
            <w:pPr>
              <w:pStyle w:val="5"/>
              <w:jc w:val="left"/>
              <w:rPr>
                <w:rFonts w:hint="eastAsia"/>
                <w:lang w:eastAsia="zh-CN"/>
              </w:rPr>
            </w:pPr>
            <w:r>
              <w:rPr>
                <w:rFonts w:hint="eastAsia" w:ascii="宋体" w:hAnsi="宋体" w:eastAsia="宋体" w:cs="宋体"/>
                <w:b/>
                <w:bCs/>
                <w:color w:val="auto"/>
                <w:kern w:val="0"/>
                <w:sz w:val="24"/>
                <w:szCs w:val="24"/>
                <w:highlight w:val="none"/>
                <w:lang w:val="en-US" w:eastAsia="zh-CN" w:bidi="ar-SA"/>
              </w:rPr>
              <w:t>行号：402615500012</w:t>
            </w:r>
          </w:p>
        </w:tc>
      </w:tr>
      <w:tr w14:paraId="32C74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991" w:type="dxa"/>
            <w:vAlign w:val="center"/>
          </w:tcPr>
          <w:p w14:paraId="0E66C04D">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33.1</w:t>
            </w:r>
          </w:p>
        </w:tc>
        <w:tc>
          <w:tcPr>
            <w:tcW w:w="8181" w:type="dxa"/>
            <w:vAlign w:val="center"/>
          </w:tcPr>
          <w:p w14:paraId="3B47760B">
            <w:pPr>
              <w:pStyle w:val="15"/>
              <w:snapToGrid w:val="0"/>
              <w:spacing w:line="500" w:lineRule="exact"/>
              <w:rPr>
                <w:rFonts w:hAnsi="宋体" w:cs="宋体"/>
                <w:color w:val="auto"/>
                <w:sz w:val="24"/>
                <w:szCs w:val="24"/>
                <w:highlight w:val="none"/>
              </w:rPr>
            </w:pPr>
            <w:r>
              <w:rPr>
                <w:rFonts w:hint="eastAsia" w:hAnsi="宋体" w:cs="宋体"/>
                <w:color w:val="auto"/>
                <w:sz w:val="24"/>
                <w:szCs w:val="24"/>
                <w:highlight w:val="none"/>
              </w:rPr>
              <w:t>解释：构成本谈判文件的各个组成文件应互为解释，互为说明；除谈判文件中有特别规定外，仅适用于竞争性谈判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4649B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5" w:hRule="atLeast"/>
          <w:jc w:val="center"/>
        </w:trPr>
        <w:tc>
          <w:tcPr>
            <w:tcW w:w="991" w:type="dxa"/>
            <w:vAlign w:val="center"/>
          </w:tcPr>
          <w:p w14:paraId="23807353">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33.2</w:t>
            </w:r>
          </w:p>
        </w:tc>
        <w:tc>
          <w:tcPr>
            <w:tcW w:w="8181" w:type="dxa"/>
            <w:vAlign w:val="center"/>
          </w:tcPr>
          <w:p w14:paraId="4C5B37DD">
            <w:pPr>
              <w:pStyle w:val="15"/>
              <w:snapToGrid w:val="0"/>
              <w:spacing w:line="500" w:lineRule="exact"/>
              <w:rPr>
                <w:rFonts w:hint="eastAsia" w:hAnsi="宋体" w:cs="宋体"/>
                <w:color w:val="auto"/>
                <w:sz w:val="24"/>
                <w:szCs w:val="24"/>
                <w:highlight w:val="none"/>
              </w:rPr>
            </w:pPr>
            <w:r>
              <w:rPr>
                <w:rFonts w:hint="eastAsia" w:hAnsi="宋体" w:cs="宋体"/>
                <w:color w:val="auto"/>
                <w:sz w:val="24"/>
                <w:szCs w:val="24"/>
                <w:highlight w:val="none"/>
                <w:lang w:val="en-US" w:eastAsia="zh-CN"/>
              </w:rPr>
              <w:t>1</w:t>
            </w:r>
            <w:r>
              <w:rPr>
                <w:rFonts w:hint="eastAsia" w:hAnsi="宋体" w:cs="宋体"/>
                <w:color w:val="auto"/>
                <w:sz w:val="24"/>
                <w:szCs w:val="24"/>
                <w:highlight w:val="none"/>
              </w:rPr>
              <w:t>.本竞争性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文件中描述供应商的“公章”是指根据我国国务院印章管理法律规定，经公安机关批注刻制并备案的供应商企业法人行政公章供应商的财务章、部门章、分公司章、工会章、合同章、</w:t>
            </w:r>
            <w:r>
              <w:rPr>
                <w:rFonts w:hint="eastAsia" w:hAnsi="宋体" w:cs="宋体"/>
                <w:color w:val="auto"/>
                <w:sz w:val="24"/>
                <w:szCs w:val="24"/>
                <w:highlight w:val="none"/>
                <w:lang w:eastAsia="zh-CN"/>
              </w:rPr>
              <w:t>谈判</w:t>
            </w:r>
            <w:r>
              <w:rPr>
                <w:rFonts w:hint="eastAsia" w:hAnsi="宋体" w:cs="宋体"/>
                <w:color w:val="auto"/>
                <w:sz w:val="24"/>
                <w:szCs w:val="24"/>
                <w:highlight w:val="none"/>
              </w:rPr>
              <w:t>专用章、业务专用章等其它形式印章均不能代替公章。</w:t>
            </w:r>
          </w:p>
          <w:p w14:paraId="43BC88D5">
            <w:pPr>
              <w:pStyle w:val="15"/>
              <w:snapToGrid w:val="0"/>
              <w:spacing w:line="500" w:lineRule="exact"/>
              <w:rPr>
                <w:rFonts w:hAnsi="宋体" w:cs="宋体"/>
                <w:color w:val="auto"/>
                <w:sz w:val="24"/>
                <w:szCs w:val="24"/>
                <w:highlight w:val="none"/>
              </w:rPr>
            </w:pPr>
            <w:r>
              <w:rPr>
                <w:rFonts w:hint="eastAsia" w:hAnsi="宋体" w:cs="宋体"/>
                <w:color w:val="auto"/>
                <w:sz w:val="24"/>
                <w:szCs w:val="24"/>
                <w:highlight w:val="none"/>
              </w:rPr>
              <w:t>2.本竞争性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文件中描述供应商的“签字”是指供应商的法定代表人或授权代理人亲自在竞争性</w:t>
            </w:r>
            <w:r>
              <w:rPr>
                <w:rFonts w:hint="eastAsia" w:hAnsi="宋体" w:cs="宋体"/>
                <w:color w:val="auto"/>
                <w:sz w:val="24"/>
                <w:szCs w:val="24"/>
                <w:highlight w:val="none"/>
                <w:lang w:eastAsia="zh-CN"/>
              </w:rPr>
              <w:t>谈判</w:t>
            </w:r>
            <w:r>
              <w:rPr>
                <w:rFonts w:hint="eastAsia" w:hAnsi="宋体" w:cs="宋体"/>
                <w:color w:val="auto"/>
                <w:sz w:val="24"/>
                <w:szCs w:val="24"/>
                <w:highlight w:val="none"/>
              </w:rPr>
              <w:t>文件规定签署处亲笔写上个人的名字的行为，私章、签字章、印鉴、影印等其它形式均不能代替亲笔签字。</w:t>
            </w:r>
          </w:p>
        </w:tc>
      </w:tr>
    </w:tbl>
    <w:p w14:paraId="1085054E">
      <w:pPr>
        <w:spacing w:line="360" w:lineRule="auto"/>
        <w:jc w:val="center"/>
        <w:rPr>
          <w:rFonts w:ascii="宋体" w:hAnsi="宋体" w:cs="宋体"/>
          <w:b/>
          <w:color w:val="auto"/>
          <w:sz w:val="36"/>
          <w:szCs w:val="36"/>
          <w:highlight w:val="none"/>
        </w:rPr>
      </w:pPr>
      <w:r>
        <w:rPr>
          <w:rFonts w:hint="eastAsia" w:ascii="宋体" w:hAnsi="宋体" w:cs="宋体"/>
          <w:b/>
          <w:color w:val="auto"/>
          <w:sz w:val="32"/>
          <w:szCs w:val="32"/>
          <w:highlight w:val="none"/>
        </w:rPr>
        <w:br w:type="page"/>
      </w:r>
      <w:r>
        <w:rPr>
          <w:rFonts w:hint="eastAsia" w:ascii="宋体" w:hAnsi="宋体" w:cs="宋体"/>
          <w:b/>
          <w:color w:val="auto"/>
          <w:sz w:val="36"/>
          <w:szCs w:val="36"/>
          <w:highlight w:val="none"/>
        </w:rPr>
        <w:t>供应商须知正文</w:t>
      </w:r>
    </w:p>
    <w:p w14:paraId="0FBF319A">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一、总则</w:t>
      </w:r>
    </w:p>
    <w:p w14:paraId="5236E2B5">
      <w:pPr>
        <w:spacing w:line="400" w:lineRule="exact"/>
        <w:rPr>
          <w:rFonts w:ascii="宋体" w:hAnsi="宋体" w:cs="宋体"/>
          <w:color w:val="auto"/>
          <w:szCs w:val="21"/>
          <w:highlight w:val="none"/>
        </w:rPr>
      </w:pPr>
    </w:p>
    <w:p w14:paraId="19FDC8EE">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1.适用范围</w:t>
      </w:r>
    </w:p>
    <w:p w14:paraId="004D4E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1A2B6A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pacing w:val="-6"/>
          <w:sz w:val="24"/>
          <w:highlight w:val="none"/>
        </w:rPr>
        <w:t>本竞争性谈判采购文件（以下简称谈判文件）适用于本项目的所有采购程序和环节（法律、法规另有规定的，从其规定）。</w:t>
      </w:r>
    </w:p>
    <w:p w14:paraId="020DA39E">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2.定义</w:t>
      </w:r>
    </w:p>
    <w:p w14:paraId="7CAC42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2.1“采购人”是指依法进行采购的国家机关、事业单位、团体组织。</w:t>
      </w:r>
    </w:p>
    <w:p w14:paraId="6FE52B55">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2.2“采购代理机构”</w:t>
      </w:r>
      <w:r>
        <w:rPr>
          <w:rFonts w:hint="eastAsia" w:ascii="宋体" w:hAnsi="宋体" w:cs="宋体"/>
          <w:b/>
          <w:color w:val="auto"/>
          <w:sz w:val="24"/>
          <w:highlight w:val="none"/>
        </w:rPr>
        <w:t>是指政府采购集中采购机构和集中采购机构以外的采购代理机构。</w:t>
      </w:r>
    </w:p>
    <w:p w14:paraId="1694F9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2.3“供应商”是指向采购人提供货物、工程或者服务的法人、其他组织或者自然人。</w:t>
      </w:r>
    </w:p>
    <w:p w14:paraId="37A53D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2.4“货物”是指各种形态和种类的物品，包括原材料、燃料、设备、产品等。</w:t>
      </w:r>
    </w:p>
    <w:p w14:paraId="4327B2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w:t>
      </w:r>
      <w:r>
        <w:rPr>
          <w:rFonts w:hint="eastAsia" w:hAnsi="宋体" w:cs="宋体"/>
          <w:color w:val="auto"/>
          <w:sz w:val="24"/>
          <w:highlight w:val="none"/>
        </w:rPr>
        <w:t>竞争性谈判</w:t>
      </w:r>
      <w:r>
        <w:rPr>
          <w:rFonts w:hint="eastAsia" w:ascii="宋体" w:hAnsi="宋体" w:cs="宋体"/>
          <w:color w:val="auto"/>
          <w:sz w:val="24"/>
          <w:highlight w:val="none"/>
        </w:rPr>
        <w:t>”是指按照本项目竞争性谈判公告或者邀请函规定的方式供应商获取谈判文件、提交响应文件并希望获得标的的行为。</w:t>
      </w:r>
    </w:p>
    <w:p w14:paraId="315DDA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2.6“售后服务” 是指包含但不限于供应商须承担的备品备件、包装、运输、装卸、保险、货到就位以及安装、调试、培训、保修和其他类似的义务。</w:t>
      </w:r>
    </w:p>
    <w:p w14:paraId="76A61C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2.7“书面形式”是指合同书、信件和数据电文（包括电报、电传、传真、电子数据交换和电子邮件）等可以有形地表现所载内容的形式。</w:t>
      </w:r>
    </w:p>
    <w:p w14:paraId="3300E0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2.8“响应文件”</w:t>
      </w:r>
      <w:r>
        <w:rPr>
          <w:rFonts w:hint="eastAsia" w:ascii="宋体" w:hAnsi="宋体" w:cs="宋体"/>
          <w:color w:val="auto"/>
          <w:spacing w:val="-6"/>
          <w:sz w:val="24"/>
          <w:highlight w:val="none"/>
        </w:rPr>
        <w:t>是指：供应商根据本谈判文件要求，编制包含报价、技术和服务等所有内容的文件。</w:t>
      </w:r>
    </w:p>
    <w:p w14:paraId="4BC0B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 “实质性要求”是指采购需求中带“▲”的条款或者不能负偏离的条款或者已经指明不满足按响应文件按无效响应处理的条款。</w:t>
      </w:r>
    </w:p>
    <w:p w14:paraId="1C6AE868">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2.10“正偏离”，是指响应文件对谈判文件“采购需求”中有关条款作出优于条款要求并有利于采购人的响应情形</w:t>
      </w:r>
      <w:r>
        <w:rPr>
          <w:rFonts w:hint="eastAsia" w:ascii="宋体" w:hAnsi="宋体" w:cs="宋体"/>
          <w:color w:val="auto"/>
          <w:sz w:val="24"/>
          <w:highlight w:val="none"/>
          <w:lang w:eastAsia="zh-CN"/>
        </w:rPr>
        <w:t>。</w:t>
      </w:r>
    </w:p>
    <w:p w14:paraId="761027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2.11“负偏离”，是指响应文件对谈判文件“采购需求”中有关条款作出的响应不满足条款要求，导致采购人要求不能得到满足的情形。</w:t>
      </w:r>
    </w:p>
    <w:p w14:paraId="650081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2.12“允许负偏离的条款”是指采购需求中的不属于“实质性要求”的条款。</w:t>
      </w:r>
    </w:p>
    <w:p w14:paraId="246966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2.13“首次报价”是指供应商提交的首次响应文件中的</w:t>
      </w:r>
      <w:r>
        <w:rPr>
          <w:rFonts w:hint="eastAsia" w:hAnsi="宋体" w:cs="宋体"/>
          <w:color w:val="auto"/>
          <w:sz w:val="24"/>
          <w:highlight w:val="none"/>
        </w:rPr>
        <w:t>竞争性谈判</w:t>
      </w:r>
      <w:r>
        <w:rPr>
          <w:rFonts w:hint="eastAsia" w:ascii="宋体" w:hAnsi="宋体" w:cs="宋体"/>
          <w:color w:val="auto"/>
          <w:sz w:val="24"/>
          <w:highlight w:val="none"/>
        </w:rPr>
        <w:t>报价。</w:t>
      </w:r>
    </w:p>
    <w:p w14:paraId="288AA1A5">
      <w:pPr>
        <w:spacing w:line="360" w:lineRule="auto"/>
        <w:ind w:firstLine="643" w:firstLineChars="200"/>
        <w:contextualSpacing/>
        <w:rPr>
          <w:rFonts w:ascii="宋体" w:hAnsi="宋体" w:cs="宋体"/>
          <w:b/>
          <w:bCs/>
          <w:color w:val="auto"/>
          <w:sz w:val="32"/>
          <w:szCs w:val="32"/>
          <w:highlight w:val="none"/>
        </w:rPr>
      </w:pPr>
      <w:r>
        <w:rPr>
          <w:rFonts w:hint="eastAsia" w:ascii="宋体" w:hAnsi="宋体" w:cs="宋体"/>
          <w:b/>
          <w:bCs/>
          <w:color w:val="auto"/>
          <w:sz w:val="32"/>
          <w:szCs w:val="32"/>
          <w:highlight w:val="none"/>
        </w:rPr>
        <w:t>3.供应商的资格条件</w:t>
      </w:r>
    </w:p>
    <w:p w14:paraId="46170B6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供应商的资格条件详见“供应商须知前附表”。</w:t>
      </w:r>
    </w:p>
    <w:p w14:paraId="40DEB7E2">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4.竞争性谈判费用</w:t>
      </w:r>
    </w:p>
    <w:p w14:paraId="2BE9A7A9">
      <w:pPr>
        <w:spacing w:line="360" w:lineRule="auto"/>
        <w:ind w:firstLine="480" w:firstLineChars="200"/>
        <w:rPr>
          <w:rFonts w:ascii="宋体" w:hAnsi="宋体" w:cs="宋体"/>
          <w:color w:val="auto"/>
          <w:sz w:val="24"/>
          <w:highlight w:val="none"/>
        </w:rPr>
      </w:pPr>
      <w:r>
        <w:rPr>
          <w:rFonts w:hint="eastAsia" w:hAnsi="宋体" w:cs="宋体"/>
          <w:color w:val="auto"/>
          <w:sz w:val="24"/>
          <w:highlight w:val="none"/>
        </w:rPr>
        <w:t>竞争性谈判</w:t>
      </w:r>
      <w:r>
        <w:rPr>
          <w:rFonts w:hint="eastAsia" w:ascii="宋体" w:hAnsi="宋体" w:cs="宋体"/>
          <w:color w:val="auto"/>
          <w:sz w:val="24"/>
          <w:highlight w:val="none"/>
        </w:rPr>
        <w:t>费用：供应商应承担参与本次采购活动有关的所有费用，包括但不限于获取谈判文件、勘查现场、编制和提交响应文件、参加谈判与应答、签订合同等，不论</w:t>
      </w:r>
      <w:r>
        <w:rPr>
          <w:rFonts w:hint="eastAsia" w:hAnsi="宋体" w:cs="宋体"/>
          <w:color w:val="auto"/>
          <w:sz w:val="24"/>
          <w:highlight w:val="none"/>
        </w:rPr>
        <w:t>竞争性谈判</w:t>
      </w:r>
      <w:r>
        <w:rPr>
          <w:rFonts w:hint="eastAsia" w:ascii="宋体" w:hAnsi="宋体" w:cs="宋体"/>
          <w:color w:val="auto"/>
          <w:sz w:val="24"/>
          <w:highlight w:val="none"/>
        </w:rPr>
        <w:t>结果如何，均应自行承担。</w:t>
      </w:r>
    </w:p>
    <w:p w14:paraId="4910FAA3">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5.联合体参与竞争性谈判</w:t>
      </w:r>
    </w:p>
    <w:p w14:paraId="495F76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5.1本项目是否接受联合体参与</w:t>
      </w:r>
      <w:r>
        <w:rPr>
          <w:rFonts w:hint="eastAsia" w:hAnsi="宋体" w:cs="宋体"/>
          <w:color w:val="auto"/>
          <w:sz w:val="24"/>
          <w:highlight w:val="none"/>
        </w:rPr>
        <w:t>竞争性谈判</w:t>
      </w:r>
      <w:r>
        <w:rPr>
          <w:rFonts w:hint="eastAsia" w:ascii="宋体" w:hAnsi="宋体" w:cs="宋体"/>
          <w:color w:val="auto"/>
          <w:sz w:val="24"/>
          <w:highlight w:val="none"/>
        </w:rPr>
        <w:t>，详见“供应商须知前附表”。</w:t>
      </w:r>
    </w:p>
    <w:p w14:paraId="5CB9A9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w:t>
      </w:r>
      <w:r>
        <w:rPr>
          <w:rFonts w:hint="eastAsia" w:ascii="宋体" w:hAnsi="宋体" w:cs="宋体"/>
          <w:bCs/>
          <w:color w:val="auto"/>
          <w:sz w:val="24"/>
          <w:highlight w:val="none"/>
        </w:rPr>
        <w:t>如接受联合体参与</w:t>
      </w:r>
      <w:r>
        <w:rPr>
          <w:rFonts w:hint="eastAsia" w:hAnsi="宋体" w:cs="宋体"/>
          <w:color w:val="auto"/>
          <w:sz w:val="24"/>
          <w:highlight w:val="none"/>
        </w:rPr>
        <w:t>竞争性谈判</w:t>
      </w:r>
      <w:r>
        <w:rPr>
          <w:rFonts w:hint="eastAsia" w:ascii="宋体" w:hAnsi="宋体" w:cs="宋体"/>
          <w:bCs/>
          <w:color w:val="auto"/>
          <w:sz w:val="24"/>
          <w:highlight w:val="none"/>
        </w:rPr>
        <w:t>，</w:t>
      </w:r>
      <w:r>
        <w:rPr>
          <w:rFonts w:hint="eastAsia" w:ascii="宋体" w:hAnsi="宋体" w:cs="宋体"/>
          <w:color w:val="auto"/>
          <w:sz w:val="24"/>
          <w:highlight w:val="none"/>
        </w:rPr>
        <w:t>具体要求详见“供应商须知前附表”。</w:t>
      </w:r>
    </w:p>
    <w:p w14:paraId="17203323">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6.转包与分包             </w:t>
      </w:r>
    </w:p>
    <w:p w14:paraId="7D49E132">
      <w:pPr>
        <w:pStyle w:val="6"/>
        <w:keepNext w:val="0"/>
        <w:keepLines w:val="0"/>
        <w:spacing w:before="0" w:after="0" w:line="360" w:lineRule="auto"/>
        <w:ind w:firstLine="480" w:firstLineChars="200"/>
        <w:rPr>
          <w:rFonts w:ascii="宋体" w:hAnsi="宋体" w:cs="宋体"/>
          <w:b w:val="0"/>
          <w:color w:val="auto"/>
          <w:sz w:val="24"/>
          <w:szCs w:val="24"/>
          <w:highlight w:val="none"/>
        </w:rPr>
      </w:pPr>
      <w:bookmarkStart w:id="14" w:name="_Toc254970532"/>
      <w:bookmarkStart w:id="15" w:name="_Toc254970673"/>
      <w:r>
        <w:rPr>
          <w:rFonts w:hint="eastAsia" w:ascii="宋体" w:hAnsi="宋体" w:cs="宋体"/>
          <w:b w:val="0"/>
          <w:color w:val="auto"/>
          <w:sz w:val="24"/>
          <w:szCs w:val="24"/>
          <w:highlight w:val="none"/>
        </w:rPr>
        <w:t>6.1本项目不允许转包。</w:t>
      </w:r>
    </w:p>
    <w:p w14:paraId="2EB1A041">
      <w:pPr>
        <w:pStyle w:val="6"/>
        <w:keepNext w:val="0"/>
        <w:keepLines w:val="0"/>
        <w:spacing w:before="0" w:after="0" w:line="360" w:lineRule="auto"/>
        <w:ind w:firstLine="360" w:firstLineChars="150"/>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431CD9A">
      <w:pPr>
        <w:pStyle w:val="6"/>
        <w:keepNext w:val="0"/>
        <w:keepLines w:val="0"/>
        <w:spacing w:before="0" w:after="0" w:line="360" w:lineRule="auto"/>
        <w:ind w:firstLine="360" w:firstLineChars="150"/>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06D7C24D">
      <w:pPr>
        <w:spacing w:line="360" w:lineRule="auto"/>
        <w:ind w:firstLine="643" w:firstLineChars="200"/>
        <w:rPr>
          <w:rFonts w:ascii="宋体" w:hAnsi="宋体" w:cs="宋体"/>
          <w:color w:val="auto"/>
          <w:sz w:val="24"/>
          <w:highlight w:val="none"/>
        </w:rPr>
      </w:pPr>
      <w:r>
        <w:rPr>
          <w:rFonts w:hint="eastAsia" w:ascii="宋体" w:hAnsi="宋体" w:cs="宋体"/>
          <w:b/>
          <w:bCs/>
          <w:color w:val="auto"/>
          <w:sz w:val="32"/>
          <w:szCs w:val="32"/>
          <w:highlight w:val="none"/>
        </w:rPr>
        <w:t>7.特别说明</w:t>
      </w:r>
      <w:bookmarkEnd w:id="14"/>
      <w:bookmarkEnd w:id="15"/>
      <w:bookmarkStart w:id="16" w:name="_8.1提供相同品牌产品且通过资格审查、符合性审查的不同投标人参加同一合"/>
      <w:bookmarkEnd w:id="16"/>
    </w:p>
    <w:p w14:paraId="1E60F3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1</w:t>
      </w:r>
      <w:r>
        <w:rPr>
          <w:rFonts w:hint="eastAsia" w:ascii="宋体" w:hAnsi="宋体" w:cs="宋体"/>
          <w:color w:val="auto"/>
          <w:sz w:val="24"/>
          <w:highlight w:val="none"/>
        </w:rPr>
        <w:t>如果本谈判文件要求提供供应商或制造商的资格、信誉、荣誉、业绩与企业认证等材料的，资格、信誉、荣誉、业绩与企业认证等必须为供应商或者制造商所拥有或自身获得 。</w:t>
      </w:r>
    </w:p>
    <w:p w14:paraId="2AEB90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2</w:t>
      </w:r>
      <w:r>
        <w:rPr>
          <w:rFonts w:hint="eastAsia" w:ascii="宋体" w:hAnsi="宋体" w:cs="宋体"/>
          <w:color w:val="auto"/>
          <w:sz w:val="24"/>
          <w:highlight w:val="none"/>
        </w:rPr>
        <w:t>供应商应仔细阅读谈判文件的所有内容，按照谈判文件的要求提交响应文件，并对所提供的全部资料的真实性承担法律责任。</w:t>
      </w:r>
    </w:p>
    <w:p w14:paraId="724E13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3</w:t>
      </w:r>
      <w:r>
        <w:rPr>
          <w:rFonts w:hint="eastAsia" w:ascii="宋体" w:hAnsi="宋体" w:cs="宋体"/>
          <w:color w:val="auto"/>
          <w:sz w:val="24"/>
          <w:highlight w:val="none"/>
        </w:rPr>
        <w:t>供应商在参与</w:t>
      </w:r>
      <w:r>
        <w:rPr>
          <w:rFonts w:hint="eastAsia" w:hAnsi="宋体" w:cs="宋体"/>
          <w:color w:val="auto"/>
          <w:sz w:val="24"/>
          <w:highlight w:val="none"/>
        </w:rPr>
        <w:t>竞争性谈判</w:t>
      </w:r>
      <w:r>
        <w:rPr>
          <w:rFonts w:hint="eastAsia" w:ascii="宋体" w:hAnsi="宋体" w:cs="宋体"/>
          <w:color w:val="auto"/>
          <w:sz w:val="24"/>
          <w:highlight w:val="none"/>
        </w:rPr>
        <w:t>活动中提供任何虚假材料,其响应文件按无效响应处理，并报监管部门查处；签订合同后发现的,成交供应商须依法赔偿采购人，且民事赔偿并不免除违法供应商的行政与刑事责任。</w:t>
      </w:r>
    </w:p>
    <w:p w14:paraId="75E3AD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4</w:t>
      </w:r>
      <w:r>
        <w:rPr>
          <w:rFonts w:hint="eastAsia" w:ascii="宋体" w:hAnsi="宋体" w:cs="宋体"/>
          <w:color w:val="auto"/>
          <w:sz w:val="24"/>
          <w:highlight w:val="none"/>
        </w:rPr>
        <w:t>在政府采购活动中，采购人员及相关人员与供应商有下列利害关系之一的，应当回避：</w:t>
      </w:r>
    </w:p>
    <w:p w14:paraId="712AC1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（1）参加采购活动前3年内与供应商存在劳动关系；</w:t>
      </w:r>
    </w:p>
    <w:p w14:paraId="5C9D9B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（2）参加采购活动前3年内担任供应商的董事、监事；</w:t>
      </w:r>
    </w:p>
    <w:p w14:paraId="6414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（3）参加采购活动前3年内是供应商的控股股东或者实际控制人；</w:t>
      </w:r>
    </w:p>
    <w:p w14:paraId="3267D0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（4）与供应商的法定代表人或者负责人有夫妻、直系血亲、三代以内旁系血亲或者近姻亲关系；</w:t>
      </w:r>
    </w:p>
    <w:p w14:paraId="403CD3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（5）与供应商有其他可能影响政府采购活动公平、公正进行的关系。</w:t>
      </w:r>
    </w:p>
    <w:p w14:paraId="449171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34A56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5</w:t>
      </w:r>
      <w:r>
        <w:rPr>
          <w:rFonts w:hint="eastAsia" w:ascii="宋体" w:hAnsi="宋体" w:cs="宋体"/>
          <w:color w:val="auto"/>
          <w:sz w:val="24"/>
          <w:highlight w:val="none"/>
        </w:rPr>
        <w:t>有下列情形之一的视为供应商相互串通参与</w:t>
      </w:r>
      <w:r>
        <w:rPr>
          <w:rFonts w:hint="eastAsia" w:hAnsi="宋体" w:cs="宋体"/>
          <w:color w:val="auto"/>
          <w:sz w:val="24"/>
          <w:highlight w:val="none"/>
        </w:rPr>
        <w:t>竞争性谈判</w:t>
      </w:r>
      <w:r>
        <w:rPr>
          <w:rFonts w:hint="eastAsia" w:ascii="宋体" w:hAnsi="宋体" w:cs="宋体"/>
          <w:color w:val="auto"/>
          <w:sz w:val="24"/>
          <w:highlight w:val="none"/>
        </w:rPr>
        <w:t>，响应文件将被视为无效：</w:t>
      </w:r>
    </w:p>
    <w:p w14:paraId="0E8062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14:paraId="17985B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w:t>
      </w:r>
      <w:r>
        <w:rPr>
          <w:rFonts w:hint="eastAsia" w:hAnsi="宋体" w:cs="宋体"/>
          <w:color w:val="auto"/>
          <w:sz w:val="24"/>
          <w:highlight w:val="none"/>
        </w:rPr>
        <w:t>竞争性谈判</w:t>
      </w:r>
      <w:r>
        <w:rPr>
          <w:rFonts w:hint="eastAsia" w:ascii="宋体" w:hAnsi="宋体" w:cs="宋体"/>
          <w:color w:val="auto"/>
          <w:sz w:val="24"/>
          <w:highlight w:val="none"/>
        </w:rPr>
        <w:t>事宜；</w:t>
      </w:r>
    </w:p>
    <w:p w14:paraId="30B31E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17BBB3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（4）不同供应商的响应文件异常一致或者报价呈规律性差异；</w:t>
      </w:r>
    </w:p>
    <w:p w14:paraId="033898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514AD3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（6）不同供应商的谈判保证金从同一单位或者个人账户转出；</w:t>
      </w:r>
    </w:p>
    <w:p w14:paraId="5D233E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（7）供应商之间协商报价等响应文件的实质性内容；</w:t>
      </w:r>
    </w:p>
    <w:p w14:paraId="07BB63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（8）供应商之间约定成交供应商；</w:t>
      </w:r>
    </w:p>
    <w:p w14:paraId="116328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（9）供应商之间约定部分供应商放弃参与竞争性谈判或者成交；</w:t>
      </w:r>
    </w:p>
    <w:p w14:paraId="071AB8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（10）属于同一集团、协会、商会等组织成员的供应商按照该组织要求协同参与竞争性谈判；</w:t>
      </w:r>
    </w:p>
    <w:p w14:paraId="78EF4B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（11）供应商之间为谋取成交或者排斥特定供应商而采取的其他联合行动。</w:t>
      </w:r>
    </w:p>
    <w:p w14:paraId="0102E1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6</w:t>
      </w:r>
      <w:r>
        <w:rPr>
          <w:rFonts w:hint="eastAsia" w:ascii="宋体" w:hAnsi="宋体" w:cs="宋体"/>
          <w:color w:val="auto"/>
          <w:sz w:val="24"/>
          <w:highlight w:val="none"/>
        </w:rPr>
        <w:t>供应商有下列情形之一的，属于恶意串通行为</w:t>
      </w:r>
      <w:bookmarkStart w:id="17" w:name="_Hlk54682620"/>
      <w:r>
        <w:rPr>
          <w:rFonts w:hint="eastAsia" w:ascii="宋体" w:hAnsi="宋体" w:cs="宋体"/>
          <w:color w:val="auto"/>
          <w:sz w:val="24"/>
          <w:highlight w:val="none"/>
        </w:rPr>
        <w:t>，将报</w:t>
      </w:r>
      <w:r>
        <w:rPr>
          <w:rFonts w:hint="eastAsia" w:ascii="宋体" w:hAnsi="宋体" w:cs="宋体"/>
          <w:color w:val="auto"/>
          <w:sz w:val="24"/>
          <w:highlight w:val="none"/>
          <w:lang w:eastAsia="zh-CN"/>
        </w:rPr>
        <w:t>采购单位</w:t>
      </w:r>
      <w:r>
        <w:rPr>
          <w:rFonts w:hint="eastAsia" w:ascii="宋体" w:hAnsi="宋体" w:cs="宋体"/>
          <w:color w:val="auto"/>
          <w:sz w:val="24"/>
          <w:highlight w:val="none"/>
        </w:rPr>
        <w:t>监督管理部门</w:t>
      </w:r>
      <w:bookmarkEnd w:id="17"/>
      <w:r>
        <w:rPr>
          <w:rFonts w:hint="eastAsia" w:ascii="宋体" w:hAnsi="宋体" w:cs="宋体"/>
          <w:color w:val="auto"/>
          <w:sz w:val="24"/>
          <w:highlight w:val="none"/>
        </w:rPr>
        <w:t>：</w:t>
      </w:r>
    </w:p>
    <w:p w14:paraId="4C2FF9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158DBC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361983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（3）供应商之间协商报价、技术方案等响应文件或者响应文件的实质性内容；</w:t>
      </w:r>
    </w:p>
    <w:p w14:paraId="183037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8D068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（5）供应商之间事先约定一致抬高或者压低报价,或者在政府采购活动中事先约定轮流以高价位或者低价位成交,或者事先约定由某一特定供应商成交,然后再参加</w:t>
      </w:r>
      <w:r>
        <w:rPr>
          <w:rFonts w:hint="eastAsia" w:hAnsi="宋体" w:cs="宋体"/>
          <w:color w:val="auto"/>
          <w:sz w:val="24"/>
          <w:highlight w:val="none"/>
        </w:rPr>
        <w:t>竞争性谈判</w:t>
      </w:r>
      <w:r>
        <w:rPr>
          <w:rFonts w:hint="eastAsia" w:ascii="宋体" w:hAnsi="宋体" w:cs="宋体"/>
          <w:color w:val="auto"/>
          <w:sz w:val="24"/>
          <w:highlight w:val="none"/>
        </w:rPr>
        <w:t>；</w:t>
      </w:r>
    </w:p>
    <w:p w14:paraId="7E5BC8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69A3C6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p>
    <w:p w14:paraId="7FF4345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7.7</w:t>
      </w:r>
      <w:r>
        <w:rPr>
          <w:rFonts w:hint="eastAsia" w:ascii="宋体" w:hAnsi="宋体" w:cs="宋体"/>
          <w:color w:val="auto"/>
          <w:sz w:val="24"/>
          <w:highlight w:val="none"/>
        </w:rPr>
        <w:t>单一产品采购项目，提供相同品牌产品的不同供应商参加同一合同项下</w:t>
      </w:r>
      <w:r>
        <w:rPr>
          <w:rFonts w:hint="eastAsia" w:hAnsi="宋体" w:cs="宋体"/>
          <w:color w:val="auto"/>
          <w:sz w:val="24"/>
          <w:highlight w:val="none"/>
        </w:rPr>
        <w:t>竞争性谈判</w:t>
      </w:r>
      <w:r>
        <w:rPr>
          <w:rFonts w:hint="eastAsia" w:ascii="宋体" w:hAnsi="宋体" w:cs="宋体"/>
          <w:color w:val="auto"/>
          <w:sz w:val="24"/>
          <w:highlight w:val="none"/>
        </w:rPr>
        <w:t>的，以其中通过资格审查、符合性审查、谈判且最后报价最低的参加报价评审；最后报价相同的，按照前附表第2</w:t>
      </w:r>
      <w:r>
        <w:rPr>
          <w:rFonts w:ascii="宋体" w:hAnsi="宋体" w:cs="宋体"/>
          <w:color w:val="auto"/>
          <w:sz w:val="24"/>
          <w:highlight w:val="none"/>
        </w:rPr>
        <w:t>6</w:t>
      </w:r>
      <w:r>
        <w:rPr>
          <w:rFonts w:hint="eastAsia" w:ascii="宋体" w:hAnsi="宋体" w:cs="宋体"/>
          <w:color w:val="auto"/>
          <w:sz w:val="24"/>
          <w:highlight w:val="none"/>
        </w:rPr>
        <w:t>条规定确定一个参加评审的供应商，其他响应文件作无效处理。</w:t>
      </w:r>
    </w:p>
    <w:p w14:paraId="0E9268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非单一产品采购项目，多家供应商提供的核心产品品牌相同的，按前款规定处理；多家供应商提供的所有产品品牌相同，按前款处理。</w:t>
      </w:r>
    </w:p>
    <w:p w14:paraId="097F1DEC">
      <w:pPr>
        <w:spacing w:line="360" w:lineRule="auto"/>
        <w:ind w:firstLine="477" w:firstLineChars="199"/>
        <w:jc w:val="center"/>
        <w:rPr>
          <w:rFonts w:ascii="宋体" w:hAnsi="宋体" w:cs="宋体"/>
          <w:color w:val="auto"/>
          <w:sz w:val="24"/>
          <w:szCs w:val="32"/>
          <w:highlight w:val="none"/>
        </w:rPr>
      </w:pPr>
      <w:bookmarkStart w:id="18" w:name="_Toc254970675"/>
      <w:bookmarkStart w:id="19" w:name="_Toc254970534"/>
    </w:p>
    <w:p w14:paraId="7980E4B5">
      <w:pPr>
        <w:spacing w:line="360" w:lineRule="auto"/>
        <w:jc w:val="center"/>
        <w:rPr>
          <w:rFonts w:ascii="宋体" w:hAnsi="宋体" w:cs="宋体"/>
          <w:b/>
          <w:color w:val="auto"/>
          <w:sz w:val="40"/>
          <w:szCs w:val="40"/>
          <w:highlight w:val="none"/>
        </w:rPr>
      </w:pPr>
      <w:r>
        <w:rPr>
          <w:rFonts w:hint="eastAsia" w:ascii="宋体" w:hAnsi="宋体" w:cs="宋体"/>
          <w:b/>
          <w:color w:val="auto"/>
          <w:sz w:val="40"/>
          <w:szCs w:val="40"/>
          <w:highlight w:val="none"/>
        </w:rPr>
        <w:t>二、谈判文件</w:t>
      </w:r>
      <w:bookmarkEnd w:id="18"/>
      <w:bookmarkEnd w:id="19"/>
    </w:p>
    <w:p w14:paraId="65CC92AF">
      <w:pPr>
        <w:spacing w:line="360" w:lineRule="auto"/>
        <w:jc w:val="center"/>
        <w:rPr>
          <w:rFonts w:ascii="宋体" w:hAnsi="宋体" w:cs="宋体"/>
          <w:color w:val="auto"/>
          <w:sz w:val="24"/>
          <w:highlight w:val="none"/>
        </w:rPr>
      </w:pPr>
    </w:p>
    <w:p w14:paraId="77EB2443">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8.谈判文件的构成</w:t>
      </w:r>
    </w:p>
    <w:p w14:paraId="247ADAD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（1）竞争性谈判公告；</w:t>
      </w:r>
    </w:p>
    <w:p w14:paraId="4616D75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（2）供应商须知； </w:t>
      </w:r>
    </w:p>
    <w:p w14:paraId="26E976B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（3）采购需求；</w:t>
      </w:r>
    </w:p>
    <w:p w14:paraId="23764CE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（4）响应文件格式；</w:t>
      </w:r>
    </w:p>
    <w:p w14:paraId="535BCBE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（5）合同文本；</w:t>
      </w:r>
    </w:p>
    <w:p w14:paraId="47D0970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（6）评审程序和评定成交的标准。</w:t>
      </w:r>
    </w:p>
    <w:p w14:paraId="00029460">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9.供应商的询问</w:t>
      </w:r>
    </w:p>
    <w:p w14:paraId="1E754C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应认真阅读谈判文件的采购需求，如供应商对谈判文件有疑问的，如要求采购人作出澄清或者修改的，供应商尽可能在提交首次响应文件截止之日前，以纸质书面形式向采购人、采购代理机构提出，否则，由此产生的后果由供应商自行负责。</w:t>
      </w:r>
    </w:p>
    <w:p w14:paraId="25313631">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10.谈判文件的澄清和修改</w:t>
      </w:r>
    </w:p>
    <w:p w14:paraId="02E65C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提交首次响应文件截止之日前，采购人、采购代理机构可以对已发出的谈判文件进行必要的澄清或者修改，澄清或者修改的内容作为谈判文件的组成部分。澄清或者修改将在原公告发布媒体上发布更正公告。澄清或者修改的内容可能影响响应文件编制的，采购人、采购代理机构或者谈判小组应当在提交首次响应文件截止之日</w:t>
      </w:r>
      <w:r>
        <w:rPr>
          <w:rFonts w:ascii="宋体" w:hAnsi="宋体" w:cs="宋体"/>
          <w:color w:val="auto"/>
          <w:sz w:val="24"/>
          <w:highlight w:val="none"/>
        </w:rPr>
        <w:t>3个工作日前，在原公告发布媒体上发布更正公告</w:t>
      </w:r>
      <w:r>
        <w:rPr>
          <w:rFonts w:hint="eastAsia" w:ascii="宋体" w:hAnsi="宋体" w:cs="宋体"/>
          <w:color w:val="auto"/>
          <w:sz w:val="24"/>
          <w:highlight w:val="none"/>
        </w:rPr>
        <w:t>；不足</w:t>
      </w:r>
      <w:r>
        <w:rPr>
          <w:rFonts w:ascii="宋体" w:hAnsi="宋体" w:cs="宋体"/>
          <w:color w:val="auto"/>
          <w:sz w:val="24"/>
          <w:highlight w:val="none"/>
        </w:rPr>
        <w:t>3个工作日的，应当顺延提交首次响应文件截止</w:t>
      </w:r>
      <w:r>
        <w:rPr>
          <w:rFonts w:hint="eastAsia" w:ascii="宋体" w:hAnsi="宋体" w:cs="宋体"/>
          <w:color w:val="auto"/>
          <w:sz w:val="24"/>
          <w:highlight w:val="none"/>
        </w:rPr>
        <w:t>时间。</w:t>
      </w:r>
    </w:p>
    <w:p w14:paraId="305268EA">
      <w:pPr>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32"/>
          <w:highlight w:val="none"/>
        </w:rPr>
        <w:t>10.2采购人和采购代理机构可以视采购具体情况，变更</w:t>
      </w:r>
      <w:r>
        <w:rPr>
          <w:rFonts w:hint="eastAsia" w:ascii="宋体" w:hAnsi="宋体" w:cs="宋体"/>
          <w:color w:val="auto"/>
          <w:sz w:val="24"/>
          <w:highlight w:val="none"/>
        </w:rPr>
        <w:t>首次响应文件提交截止时间</w:t>
      </w:r>
      <w:r>
        <w:rPr>
          <w:rFonts w:hint="eastAsia" w:ascii="宋体" w:hAnsi="宋体" w:cs="宋体"/>
          <w:color w:val="auto"/>
          <w:sz w:val="24"/>
          <w:szCs w:val="32"/>
          <w:highlight w:val="none"/>
        </w:rPr>
        <w:t>，并</w:t>
      </w:r>
      <w:r>
        <w:rPr>
          <w:rFonts w:hint="eastAsia" w:ascii="宋体" w:hAnsi="宋体" w:cs="宋体"/>
          <w:color w:val="auto"/>
          <w:sz w:val="24"/>
          <w:highlight w:val="none"/>
        </w:rPr>
        <w:t>在原公告发布媒体上发布更正公告。</w:t>
      </w:r>
    </w:p>
    <w:p w14:paraId="76258B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10.3谈判文件澄清、答复、修改、补充的内容为谈判文件的组成部分。当谈判文件与谈判文件的澄清、答复、修改、补充通知就同一内容的表述不一致时，以最后发出的文件为准。</w:t>
      </w:r>
    </w:p>
    <w:p w14:paraId="6B0718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10.4响应文件未按谈判文件的澄清、修改后的内容编制的，其响应文件作无效响应处理。</w:t>
      </w:r>
    </w:p>
    <w:p w14:paraId="19A14A9D">
      <w:pPr>
        <w:spacing w:line="360" w:lineRule="auto"/>
        <w:ind w:firstLine="480" w:firstLineChars="200"/>
        <w:rPr>
          <w:rFonts w:ascii="宋体" w:hAnsi="宋体" w:cs="宋体"/>
          <w:color w:val="auto"/>
          <w:sz w:val="24"/>
          <w:highlight w:val="none"/>
        </w:rPr>
      </w:pPr>
    </w:p>
    <w:p w14:paraId="2A27F903">
      <w:pPr>
        <w:spacing w:line="360" w:lineRule="auto"/>
        <w:rPr>
          <w:rFonts w:ascii="宋体" w:hAnsi="宋体" w:cs="宋体"/>
          <w:color w:val="auto"/>
          <w:sz w:val="24"/>
          <w:highlight w:val="none"/>
        </w:rPr>
      </w:pPr>
    </w:p>
    <w:p w14:paraId="06C8BDCF">
      <w:pPr>
        <w:spacing w:line="360" w:lineRule="auto"/>
        <w:jc w:val="center"/>
        <w:rPr>
          <w:rFonts w:ascii="宋体" w:hAnsi="宋体" w:cs="宋体"/>
          <w:b/>
          <w:color w:val="auto"/>
          <w:sz w:val="24"/>
          <w:highlight w:val="none"/>
        </w:rPr>
      </w:pPr>
      <w:r>
        <w:rPr>
          <w:rFonts w:hint="eastAsia" w:ascii="宋体" w:hAnsi="宋体" w:cs="宋体"/>
          <w:b/>
          <w:color w:val="auto"/>
          <w:sz w:val="40"/>
          <w:szCs w:val="40"/>
          <w:highlight w:val="none"/>
        </w:rPr>
        <w:t>三、响应文件的编制</w:t>
      </w:r>
    </w:p>
    <w:p w14:paraId="7A47DD85">
      <w:pPr>
        <w:spacing w:line="360" w:lineRule="auto"/>
        <w:rPr>
          <w:rFonts w:ascii="宋体" w:hAnsi="宋体" w:cs="宋体"/>
          <w:color w:val="auto"/>
          <w:sz w:val="24"/>
          <w:highlight w:val="none"/>
        </w:rPr>
      </w:pPr>
    </w:p>
    <w:p w14:paraId="064517C9">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11.响应文件的编制原则</w:t>
      </w:r>
    </w:p>
    <w:p w14:paraId="7B2B43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供应商必须按照谈判文件的要求编制响应文件，并对其提交的响应文件的真实性、合法性承担法律责任。响应文件必须对谈判文件作出实质性响应。</w:t>
      </w:r>
    </w:p>
    <w:p w14:paraId="3DB6356D">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12.响应文件的组成</w:t>
      </w:r>
    </w:p>
    <w:p w14:paraId="69B4CD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12.1响应文件由资格证明文件、报价商务技术文件两部分组成。</w:t>
      </w:r>
    </w:p>
    <w:p w14:paraId="0E689D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12.1.1资格证明文件：详见“供应商须知前附表”</w:t>
      </w:r>
    </w:p>
    <w:p w14:paraId="41CCFE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12.1.2报价商务技术文件：详见“供应商须知前附表”</w:t>
      </w:r>
    </w:p>
    <w:p w14:paraId="78E39DCB">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13.计量单位</w:t>
      </w:r>
    </w:p>
    <w:p w14:paraId="373EC5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谈判文件已有明确规定的，使用谈判文件规定的计量单位；谈判文件没有规定的，应采用中华人民共和国法定计量单位，货币种类为人民币，否则视同未响应。</w:t>
      </w:r>
    </w:p>
    <w:p w14:paraId="174D933B">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14.竞争性谈判的风险</w:t>
      </w:r>
    </w:p>
    <w:p w14:paraId="79FE2C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供应商没有按照谈判文件要求提供全部资料，或者供应商没有对谈判文件在各方面作出实质性响应可能导致其响应文件按无效响应处理，是供应商应当考虑的风险。</w:t>
      </w:r>
    </w:p>
    <w:p w14:paraId="686D6691">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15.竞争性谈判报价</w:t>
      </w:r>
    </w:p>
    <w:p w14:paraId="532A83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w:t>
      </w:r>
      <w:r>
        <w:rPr>
          <w:rFonts w:hint="eastAsia" w:hAnsi="宋体" w:cs="宋体"/>
          <w:color w:val="auto"/>
          <w:sz w:val="24"/>
          <w:highlight w:val="none"/>
        </w:rPr>
        <w:t>竞争性谈判</w:t>
      </w:r>
      <w:r>
        <w:rPr>
          <w:rFonts w:hint="eastAsia" w:ascii="宋体" w:hAnsi="宋体" w:cs="宋体"/>
          <w:color w:val="auto"/>
          <w:sz w:val="24"/>
          <w:highlight w:val="none"/>
        </w:rPr>
        <w:t>报价应按谈判文件中“</w:t>
      </w:r>
      <w:r>
        <w:rPr>
          <w:rFonts w:hint="eastAsia" w:hAnsi="宋体" w:cs="宋体"/>
          <w:color w:val="auto"/>
          <w:sz w:val="24"/>
          <w:highlight w:val="none"/>
        </w:rPr>
        <w:t>竞争性谈判</w:t>
      </w:r>
      <w:r>
        <w:rPr>
          <w:rFonts w:hint="eastAsia" w:ascii="宋体" w:hAnsi="宋体" w:cs="宋体"/>
          <w:color w:val="auto"/>
          <w:sz w:val="24"/>
          <w:highlight w:val="none"/>
        </w:rPr>
        <w:t>报价表”格式填写。</w:t>
      </w:r>
    </w:p>
    <w:p w14:paraId="715B37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w:t>
      </w:r>
      <w:r>
        <w:rPr>
          <w:rFonts w:hint="eastAsia" w:hAnsi="宋体" w:cs="宋体"/>
          <w:color w:val="auto"/>
          <w:sz w:val="24"/>
          <w:highlight w:val="none"/>
        </w:rPr>
        <w:t>竞争性谈判</w:t>
      </w:r>
      <w:r>
        <w:rPr>
          <w:rFonts w:hint="eastAsia" w:ascii="宋体" w:hAnsi="宋体" w:cs="宋体"/>
          <w:color w:val="auto"/>
          <w:sz w:val="24"/>
          <w:highlight w:val="none"/>
        </w:rPr>
        <w:t>报价的内容详见“供应商须知前附表”。</w:t>
      </w:r>
    </w:p>
    <w:p w14:paraId="2B30FE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w:t>
      </w:r>
      <w:r>
        <w:rPr>
          <w:rFonts w:hint="eastAsia" w:hAnsi="宋体" w:cs="宋体"/>
          <w:color w:val="auto"/>
          <w:sz w:val="24"/>
          <w:highlight w:val="none"/>
        </w:rPr>
        <w:t>竞争性谈判</w:t>
      </w:r>
      <w:r>
        <w:rPr>
          <w:rFonts w:hint="eastAsia" w:ascii="宋体" w:hAnsi="宋体" w:cs="宋体"/>
          <w:color w:val="auto"/>
          <w:sz w:val="24"/>
          <w:highlight w:val="none"/>
        </w:rPr>
        <w:t>报价要求</w:t>
      </w:r>
    </w:p>
    <w:p w14:paraId="7C85DC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15.3.1供应商的</w:t>
      </w:r>
      <w:r>
        <w:rPr>
          <w:rFonts w:hint="eastAsia" w:hAnsi="宋体" w:cs="宋体"/>
          <w:color w:val="auto"/>
          <w:sz w:val="24"/>
          <w:highlight w:val="none"/>
        </w:rPr>
        <w:t>竞争性谈判</w:t>
      </w:r>
      <w:r>
        <w:rPr>
          <w:rFonts w:hint="eastAsia" w:ascii="宋体" w:hAnsi="宋体" w:cs="宋体"/>
          <w:color w:val="auto"/>
          <w:sz w:val="24"/>
          <w:highlight w:val="none"/>
        </w:rPr>
        <w:t>报价应符合以下要求，否则响应文件按无效响应处理：</w:t>
      </w:r>
    </w:p>
    <w:p w14:paraId="31F06CE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（1）供应商必须就“采购需求”中所需</w:t>
      </w:r>
      <w:r>
        <w:rPr>
          <w:rFonts w:hint="eastAsia" w:hAnsi="宋体" w:cs="宋体"/>
          <w:color w:val="auto"/>
          <w:sz w:val="24"/>
          <w:highlight w:val="none"/>
        </w:rPr>
        <w:t>竞争性谈判</w:t>
      </w:r>
      <w:r>
        <w:rPr>
          <w:rFonts w:hint="eastAsia" w:ascii="宋体" w:hAnsi="宋体" w:cs="宋体"/>
          <w:color w:val="auto"/>
          <w:sz w:val="24"/>
          <w:highlight w:val="none"/>
        </w:rPr>
        <w:t>的每个分标的全部内容分别作完整唯一总价报价，不得存在漏项报价；</w:t>
      </w:r>
    </w:p>
    <w:p w14:paraId="51EEA0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（2）供应商必须就所需</w:t>
      </w:r>
      <w:r>
        <w:rPr>
          <w:rFonts w:hint="eastAsia" w:hAnsi="宋体" w:cs="宋体"/>
          <w:color w:val="auto"/>
          <w:sz w:val="24"/>
          <w:highlight w:val="none"/>
        </w:rPr>
        <w:t>竞争性谈判</w:t>
      </w:r>
      <w:r>
        <w:rPr>
          <w:rFonts w:hint="eastAsia" w:ascii="宋体" w:hAnsi="宋体" w:cs="宋体"/>
          <w:color w:val="auto"/>
          <w:sz w:val="24"/>
          <w:highlight w:val="none"/>
        </w:rPr>
        <w:t>的分标的单项内容作唯一报价。</w:t>
      </w:r>
    </w:p>
    <w:p w14:paraId="68F841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15.3.2</w:t>
      </w:r>
      <w:r>
        <w:rPr>
          <w:rFonts w:hint="eastAsia" w:hAnsi="宋体" w:cs="宋体"/>
          <w:color w:val="auto"/>
          <w:sz w:val="24"/>
          <w:highlight w:val="none"/>
        </w:rPr>
        <w:t>竞争性谈判</w:t>
      </w:r>
      <w:r>
        <w:rPr>
          <w:rFonts w:hint="eastAsia" w:ascii="宋体" w:hAnsi="宋体" w:cs="宋体"/>
          <w:color w:val="auto"/>
          <w:sz w:val="24"/>
          <w:highlight w:val="none"/>
        </w:rPr>
        <w:t>报价（包含首次报价、最后报价）超过所参与</w:t>
      </w:r>
      <w:r>
        <w:rPr>
          <w:rFonts w:hint="eastAsia" w:hAnsi="宋体" w:cs="宋体"/>
          <w:color w:val="auto"/>
          <w:sz w:val="24"/>
          <w:highlight w:val="none"/>
        </w:rPr>
        <w:t>竞争性谈判</w:t>
      </w:r>
      <w:r>
        <w:rPr>
          <w:rFonts w:hint="eastAsia" w:ascii="宋体" w:hAnsi="宋体" w:cs="宋体"/>
          <w:color w:val="auto"/>
          <w:sz w:val="24"/>
          <w:highlight w:val="none"/>
        </w:rPr>
        <w:t>分标规定的采购预算金额或者最高限价的，其响应文件将按无效响应处理。</w:t>
      </w:r>
    </w:p>
    <w:p w14:paraId="1FD0023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15.3.3</w:t>
      </w:r>
      <w:r>
        <w:rPr>
          <w:rFonts w:hint="eastAsia" w:hAnsi="宋体" w:cs="宋体"/>
          <w:color w:val="auto"/>
          <w:sz w:val="24"/>
          <w:highlight w:val="none"/>
        </w:rPr>
        <w:t>竞争性谈判</w:t>
      </w:r>
      <w:r>
        <w:rPr>
          <w:rFonts w:hint="eastAsia" w:ascii="宋体" w:hAnsi="宋体" w:cs="宋体"/>
          <w:color w:val="auto"/>
          <w:sz w:val="24"/>
          <w:highlight w:val="none"/>
        </w:rPr>
        <w:t>报价（包含首次报价、最后报价）超过分项采购预算金额或者最高限价的，其响应文件将作无效处理。</w:t>
      </w:r>
    </w:p>
    <w:p w14:paraId="48142125">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16.竞争性谈判有效期</w:t>
      </w:r>
    </w:p>
    <w:p w14:paraId="1413EE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w:t>
      </w:r>
      <w:r>
        <w:rPr>
          <w:rFonts w:hint="eastAsia" w:hAnsi="宋体" w:cs="宋体"/>
          <w:color w:val="auto"/>
          <w:sz w:val="24"/>
          <w:highlight w:val="none"/>
        </w:rPr>
        <w:t>竞争性谈判</w:t>
      </w:r>
      <w:r>
        <w:rPr>
          <w:rFonts w:hint="eastAsia" w:ascii="宋体" w:hAnsi="宋体" w:cs="宋体"/>
          <w:color w:val="auto"/>
          <w:sz w:val="24"/>
          <w:highlight w:val="none"/>
        </w:rPr>
        <w:t>有效期是指为保证采购人有足够的时间在提交响应文件后完成评审、确定成交供应商、合同签订等工作而要求供应商提交的响应文件在一定时间内保持有效的期限。</w:t>
      </w:r>
    </w:p>
    <w:p w14:paraId="7714E5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w:t>
      </w:r>
      <w:r>
        <w:rPr>
          <w:rFonts w:hint="eastAsia" w:hAnsi="宋体" w:cs="宋体"/>
          <w:color w:val="auto"/>
          <w:sz w:val="24"/>
          <w:highlight w:val="none"/>
        </w:rPr>
        <w:t>竞争性谈判</w:t>
      </w:r>
      <w:r>
        <w:rPr>
          <w:rFonts w:hint="eastAsia" w:ascii="宋体" w:hAnsi="宋体" w:cs="宋体"/>
          <w:color w:val="auto"/>
          <w:sz w:val="24"/>
          <w:highlight w:val="none"/>
        </w:rPr>
        <w:t>有效期应由供应商按“供应商须知前附表”规定的期限作出响应。</w:t>
      </w:r>
    </w:p>
    <w:p w14:paraId="45C4A3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16.3供应商的响应文件在</w:t>
      </w:r>
      <w:r>
        <w:rPr>
          <w:rFonts w:hint="eastAsia" w:hAnsi="宋体" w:cs="宋体"/>
          <w:color w:val="auto"/>
          <w:sz w:val="24"/>
          <w:highlight w:val="none"/>
        </w:rPr>
        <w:t>竞争性谈判</w:t>
      </w:r>
      <w:r>
        <w:rPr>
          <w:rFonts w:hint="eastAsia" w:ascii="宋体" w:hAnsi="宋体" w:cs="宋体"/>
          <w:color w:val="auto"/>
          <w:sz w:val="24"/>
          <w:highlight w:val="none"/>
        </w:rPr>
        <w:t>有效期内均保持有效。</w:t>
      </w:r>
    </w:p>
    <w:p w14:paraId="1C7ACC7F">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17.谈判保证金</w:t>
      </w:r>
    </w:p>
    <w:p w14:paraId="054DF0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17.1供应商须按“供应商须知前附表”的规定提交谈判保证金。</w:t>
      </w:r>
    </w:p>
    <w:p w14:paraId="42ECBB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17.2谈判保证金的退还</w:t>
      </w:r>
    </w:p>
    <w:p w14:paraId="79BE91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未</w:t>
      </w:r>
      <w:r>
        <w:rPr>
          <w:rFonts w:hint="eastAsia" w:ascii="宋体" w:hAnsi="宋体" w:cs="宋体"/>
          <w:color w:val="auto"/>
          <w:spacing w:val="-6"/>
          <w:sz w:val="24"/>
          <w:highlight w:val="none"/>
        </w:rPr>
        <w:t>成交</w:t>
      </w:r>
      <w:r>
        <w:rPr>
          <w:rFonts w:hint="eastAsia" w:ascii="宋体" w:hAnsi="宋体" w:cs="宋体"/>
          <w:color w:val="auto"/>
          <w:sz w:val="24"/>
          <w:highlight w:val="none"/>
        </w:rPr>
        <w:t>供应商的谈判保证金自成交通知书发出之日起</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个工作日内退还；成交供应商的谈判保证金自签订合同之日起</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个工作日内退还。 </w:t>
      </w:r>
    </w:p>
    <w:p w14:paraId="674684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17.3谈判保证金不计息。</w:t>
      </w:r>
    </w:p>
    <w:p w14:paraId="1584B1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17.4供应商有下列情形之一的，谈判保证金将不予退还： </w:t>
      </w:r>
    </w:p>
    <w:p w14:paraId="04C0E3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（1）供应商在提交首次响应文件截止时间后撤回响应文件的，但在提交最后报价之前退出谈判的情况除外；</w:t>
      </w:r>
    </w:p>
    <w:p w14:paraId="7A2E80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（2）未按规定提交履约保证金的；</w:t>
      </w:r>
    </w:p>
    <w:p w14:paraId="75E81A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（3）供应商在响应文件中提供虚假材料的；</w:t>
      </w:r>
    </w:p>
    <w:p w14:paraId="26C515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（4）除因不可抗力或者谈判文件认可的情形以外，成交供应商不与采购人签订合同的；</w:t>
      </w:r>
    </w:p>
    <w:p w14:paraId="435F2E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（5）供应商与采购人、其他供应商或者采购代理机构恶意串通的；</w:t>
      </w:r>
    </w:p>
    <w:p w14:paraId="368E8B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367F3D2B">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18.响应文件编制的要求</w:t>
      </w:r>
    </w:p>
    <w:p w14:paraId="211225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18.1供应商应按本谈判文件规定的格式和顺序编制、装订响应文件并标注页码，响应文件内容</w:t>
      </w:r>
      <w:r>
        <w:rPr>
          <w:rFonts w:hint="eastAsia" w:ascii="宋体" w:hAnsi="宋体" w:cs="宋体"/>
          <w:color w:val="auto"/>
          <w:spacing w:val="-6"/>
          <w:sz w:val="24"/>
          <w:highlight w:val="none"/>
        </w:rPr>
        <w:t>不完整、编排混乱导致响应文件被误读、漏读或者查找不到相关内容的，</w:t>
      </w:r>
      <w:r>
        <w:rPr>
          <w:rFonts w:hint="eastAsia" w:ascii="宋体" w:hAnsi="宋体" w:cs="宋体"/>
          <w:color w:val="auto"/>
          <w:sz w:val="24"/>
          <w:szCs w:val="32"/>
          <w:highlight w:val="none"/>
        </w:rPr>
        <w:t>由此引发的</w:t>
      </w:r>
      <w:r>
        <w:rPr>
          <w:rFonts w:hint="eastAsia" w:ascii="宋体" w:hAnsi="宋体" w:cs="宋体"/>
          <w:color w:val="auto"/>
          <w:spacing w:val="-6"/>
          <w:sz w:val="24"/>
          <w:highlight w:val="none"/>
        </w:rPr>
        <w:t>后果由供应商承担。</w:t>
      </w:r>
    </w:p>
    <w:p w14:paraId="210EC9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18.2响应文件正本一份、副本三份（正本与副本不一致的，以正本为准），供应商应将响应文件中“资格证明文件</w:t>
      </w:r>
      <w:r>
        <w:rPr>
          <w:rFonts w:hint="eastAsia" w:ascii="宋体" w:hAnsi="宋体" w:cs="宋体"/>
          <w:color w:val="auto"/>
          <w:sz w:val="24"/>
          <w:highlight w:val="none"/>
          <w:lang w:eastAsia="zh-CN"/>
        </w:rPr>
        <w:t>、</w:t>
      </w:r>
      <w:r>
        <w:rPr>
          <w:rFonts w:hint="eastAsia" w:ascii="宋体" w:hAnsi="宋体" w:cs="宋体"/>
          <w:color w:val="auto"/>
          <w:sz w:val="24"/>
          <w:highlight w:val="none"/>
        </w:rPr>
        <w:t>价格文件、商务技术文件”合并装成一本。一并将响应文件封装在一个外层密封信封中。封口处必须加盖供应商公章或由供应商法定代表人（或委托代理人）签字以示密封，未按规定密封或标记的响应文件将被拒绝接收，由此造成的后果由供应商承担</w:t>
      </w:r>
      <w:r>
        <w:rPr>
          <w:rFonts w:hint="eastAsia" w:ascii="宋体" w:hAnsi="宋体" w:cs="宋体"/>
          <w:color w:val="auto"/>
          <w:sz w:val="24"/>
          <w:highlight w:val="none"/>
          <w:lang w:bidi="ar"/>
        </w:rPr>
        <w:t>。</w:t>
      </w:r>
    </w:p>
    <w:p w14:paraId="29F50C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w:t>
      </w:r>
      <w:bookmarkStart w:id="20" w:name="_Hlk65832699"/>
      <w:r>
        <w:rPr>
          <w:rFonts w:hint="eastAsia" w:ascii="宋体" w:hAnsi="宋体" w:cs="宋体"/>
          <w:color w:val="auto"/>
          <w:sz w:val="24"/>
          <w:highlight w:val="none"/>
        </w:rPr>
        <w:t>3响应文件须由供应商在规定位置盖公章并签字</w:t>
      </w:r>
      <w:bookmarkStart w:id="21" w:name="_Hlk65832569"/>
      <w:r>
        <w:rPr>
          <w:rFonts w:hint="eastAsia" w:ascii="宋体" w:hAnsi="宋体" w:cs="宋体"/>
          <w:color w:val="auto"/>
          <w:sz w:val="24"/>
          <w:highlight w:val="none"/>
        </w:rPr>
        <w:t>（具体以供应商须知前附表或响应文件格式规定为准）</w:t>
      </w:r>
      <w:bookmarkEnd w:id="20"/>
      <w:bookmarkEnd w:id="21"/>
      <w:r>
        <w:rPr>
          <w:rFonts w:hint="eastAsia" w:ascii="宋体" w:hAnsi="宋体" w:cs="宋体"/>
          <w:color w:val="auto"/>
          <w:sz w:val="24"/>
          <w:highlight w:val="none"/>
        </w:rPr>
        <w:t>，否则其响应文件按无效响应处理。</w:t>
      </w:r>
    </w:p>
    <w:p w14:paraId="00BA25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18.4响应文件中标注的供应商名称应与营业执照（事业单位法人证书、执业许可证、自然人身份证）及公章一致，否则其响应文件按无效响应处理。</w:t>
      </w:r>
    </w:p>
    <w:p w14:paraId="537ADF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5C5DABE">
      <w:pPr>
        <w:spacing w:line="360" w:lineRule="auto"/>
        <w:ind w:firstLine="643" w:firstLineChars="200"/>
        <w:rPr>
          <w:rFonts w:hint="eastAsia" w:ascii="宋体" w:hAnsi="宋体" w:cs="宋体"/>
          <w:color w:val="auto"/>
          <w:sz w:val="24"/>
          <w:szCs w:val="24"/>
          <w:highlight w:val="none"/>
        </w:rPr>
      </w:pPr>
      <w:r>
        <w:rPr>
          <w:rFonts w:hint="eastAsia" w:ascii="宋体" w:hAnsi="宋体" w:cs="宋体"/>
          <w:b/>
          <w:color w:val="auto"/>
          <w:sz w:val="32"/>
          <w:szCs w:val="32"/>
          <w:highlight w:val="none"/>
        </w:rPr>
        <w:t>19.响应文件的封装和递交</w:t>
      </w:r>
    </w:p>
    <w:p w14:paraId="6EC39361">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19.1</w:t>
      </w:r>
      <w:r>
        <w:rPr>
          <w:rFonts w:hint="eastAsia" w:ascii="宋体" w:hAnsi="宋体" w:cs="宋体"/>
          <w:color w:val="auto"/>
          <w:sz w:val="24"/>
          <w:szCs w:val="24"/>
          <w:highlight w:val="none"/>
        </w:rPr>
        <w:t>响应文件的外层封装上应写明：</w:t>
      </w:r>
    </w:p>
    <w:p w14:paraId="5F06B1D8">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（1）竞争性</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项目编号；</w:t>
      </w:r>
    </w:p>
    <w:p w14:paraId="71F0E09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（2）竞争性</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项目名称；</w:t>
      </w:r>
    </w:p>
    <w:p w14:paraId="5354C9ED">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（3）供应商名称、地址、邮编。</w:t>
      </w:r>
    </w:p>
    <w:p w14:paraId="34F1435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19.2</w:t>
      </w:r>
      <w:r>
        <w:rPr>
          <w:rFonts w:hint="eastAsia" w:ascii="宋体" w:hAnsi="宋体" w:cs="宋体"/>
          <w:color w:val="auto"/>
          <w:sz w:val="24"/>
          <w:szCs w:val="24"/>
          <w:highlight w:val="none"/>
        </w:rPr>
        <w:t>电子响应文件：见“供应商须知前附表”。</w:t>
      </w:r>
    </w:p>
    <w:p w14:paraId="3DDEF4B6">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19.3</w:t>
      </w:r>
      <w:r>
        <w:rPr>
          <w:rFonts w:hint="eastAsia" w:ascii="宋体" w:hAnsi="宋体" w:cs="宋体"/>
          <w:color w:val="auto"/>
          <w:sz w:val="24"/>
          <w:szCs w:val="24"/>
          <w:highlight w:val="none"/>
        </w:rPr>
        <w:t>响应文件的递交</w:t>
      </w:r>
    </w:p>
    <w:p w14:paraId="3030EF44">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19.4</w:t>
      </w:r>
      <w:r>
        <w:rPr>
          <w:rFonts w:hint="eastAsia" w:ascii="宋体" w:hAnsi="宋体" w:cs="宋体"/>
          <w:color w:val="auto"/>
          <w:sz w:val="24"/>
          <w:szCs w:val="24"/>
          <w:highlight w:val="none"/>
        </w:rPr>
        <w:t>响应文件须于竞争性</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文件中规定的时间前递交到指定地点位置。</w:t>
      </w:r>
    </w:p>
    <w:p w14:paraId="3B8522B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19.5</w:t>
      </w:r>
      <w:r>
        <w:rPr>
          <w:rFonts w:hint="eastAsia" w:ascii="宋体" w:hAnsi="宋体" w:cs="宋体"/>
          <w:color w:val="auto"/>
          <w:sz w:val="24"/>
          <w:szCs w:val="24"/>
          <w:highlight w:val="none"/>
        </w:rPr>
        <w:t>递交响应文件的地点：见“供应商须知前附表”。</w:t>
      </w:r>
    </w:p>
    <w:p w14:paraId="105068E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19.6</w:t>
      </w:r>
      <w:r>
        <w:rPr>
          <w:rFonts w:hint="eastAsia" w:ascii="宋体" w:hAnsi="宋体" w:cs="宋体"/>
          <w:color w:val="auto"/>
          <w:sz w:val="24"/>
          <w:szCs w:val="24"/>
          <w:highlight w:val="none"/>
        </w:rPr>
        <w:t>供应商在提交响应文件截止时间前，可以对所提交的响应文件进行补充、修改或者撤回，并书面通知采购人、采购代理机构。补充、修改的内容作为响应文件的组成部分。补充、修改的内容与响应文件不一致的，以有效的且时间最后的补充、修改的内容为准。</w:t>
      </w:r>
    </w:p>
    <w:p w14:paraId="1EA1F4A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19.7</w:t>
      </w:r>
      <w:r>
        <w:rPr>
          <w:rFonts w:hint="eastAsia" w:ascii="宋体" w:hAnsi="宋体" w:cs="宋体"/>
          <w:color w:val="auto"/>
          <w:sz w:val="24"/>
          <w:szCs w:val="24"/>
          <w:highlight w:val="none"/>
        </w:rPr>
        <w:t>迟交的响应文件</w:t>
      </w:r>
    </w:p>
    <w:p w14:paraId="65EDE96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逾期送达的或者未送达指定地点的响应文件，采购代理机构拒绝接收。</w:t>
      </w:r>
    </w:p>
    <w:p w14:paraId="077A35D8">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20.响应文件的提交</w:t>
      </w:r>
    </w:p>
    <w:p w14:paraId="76EA0581">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20.1供应商必须在“供应商须知前附表”规定的时间和地点提交响应文件。</w:t>
      </w:r>
    </w:p>
    <w:p w14:paraId="410EEA34">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21.首次响应文件的补充、修改与撤回</w:t>
      </w:r>
    </w:p>
    <w:p w14:paraId="79B40AE3">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lang w:bidi="ar"/>
        </w:rPr>
        <w:t>21.1供应商在提交响应文件截止时间前，可以对所提交的响应文件进行补充、修改或者撤回，并书面通知采购人、采购代理机构。补充、修改的内容作为响应文件的组成部分。补充、修改的内容与响应文件不一致的，以有效的且时间最后的补充、修改的内容为准。</w:t>
      </w:r>
    </w:p>
    <w:p w14:paraId="48A50403">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22.首次响应文件的退回</w:t>
      </w:r>
    </w:p>
    <w:p w14:paraId="135219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22.1在首次响应文件提交截止时间止提交响应文件的供应商不足3家时，采购人和采购代理机构对已提交的响应文件概不退回。</w:t>
      </w:r>
    </w:p>
    <w:p w14:paraId="42CA43A6">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23.截止时间后的撤回</w:t>
      </w:r>
    </w:p>
    <w:p w14:paraId="741F6D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23.1供应商在首次响应文件提交截止时间后书面通知采购人、采购代理机构书面撤回响应文件的，将根据本须知正文17.4的规定不予退还其谈判保证金。</w:t>
      </w:r>
    </w:p>
    <w:p w14:paraId="31BE25EA">
      <w:pPr>
        <w:spacing w:line="360" w:lineRule="auto"/>
        <w:ind w:firstLine="480" w:firstLineChars="200"/>
        <w:rPr>
          <w:rFonts w:ascii="宋体" w:hAnsi="宋体" w:cs="宋体"/>
          <w:color w:val="auto"/>
          <w:sz w:val="24"/>
          <w:highlight w:val="none"/>
        </w:rPr>
      </w:pPr>
    </w:p>
    <w:p w14:paraId="0CA2617E">
      <w:pPr>
        <w:spacing w:line="360" w:lineRule="auto"/>
        <w:jc w:val="center"/>
        <w:rPr>
          <w:rFonts w:ascii="宋体" w:hAnsi="宋体" w:cs="宋体"/>
          <w:b/>
          <w:color w:val="auto"/>
          <w:sz w:val="40"/>
          <w:szCs w:val="40"/>
          <w:highlight w:val="none"/>
        </w:rPr>
      </w:pPr>
      <w:r>
        <w:rPr>
          <w:rFonts w:hint="eastAsia" w:ascii="宋体" w:hAnsi="宋体" w:cs="宋体"/>
          <w:b/>
          <w:color w:val="auto"/>
          <w:sz w:val="40"/>
          <w:szCs w:val="40"/>
          <w:highlight w:val="none"/>
        </w:rPr>
        <w:t>四、评审及谈判</w:t>
      </w:r>
    </w:p>
    <w:p w14:paraId="6C7B56EE">
      <w:pPr>
        <w:spacing w:line="360" w:lineRule="auto"/>
        <w:ind w:firstLine="420"/>
        <w:rPr>
          <w:rFonts w:ascii="宋体" w:hAnsi="宋体" w:cs="宋体"/>
          <w:color w:val="auto"/>
          <w:sz w:val="24"/>
          <w:highlight w:val="none"/>
        </w:rPr>
      </w:pPr>
    </w:p>
    <w:p w14:paraId="1F19CBC8">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24.谈判小组成立</w:t>
      </w:r>
    </w:p>
    <w:p w14:paraId="0BCAFA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竞争性谈判小组成立：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43F8B3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ED3C002">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25.首次响应文件的开启</w:t>
      </w:r>
    </w:p>
    <w:p w14:paraId="5CC538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25.1首次响应文件由谈判小组或者采购代理机构在“供应商须知前附表”规定的时间开启。</w:t>
      </w:r>
    </w:p>
    <w:p w14:paraId="66ECE81B">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26.评审程序和评定成交的标准</w:t>
      </w:r>
    </w:p>
    <w:p w14:paraId="66F0F1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26.1谈判小组按照“第四章  评审程序和评定成交的标准”规定的评审程序对响应文件进行评审，并按照评定成交的标准推荐成交候选供应商。</w:t>
      </w:r>
    </w:p>
    <w:p w14:paraId="108C9B45">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27.确定成交供应商及结果公告</w:t>
      </w:r>
    </w:p>
    <w:p w14:paraId="1DFA48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4CEB0099">
      <w:pPr>
        <w:pStyle w:val="9"/>
        <w:spacing w:line="360" w:lineRule="auto"/>
        <w:ind w:firstLine="480" w:firstLineChars="200"/>
        <w:jc w:val="both"/>
        <w:rPr>
          <w:rFonts w:hint="eastAsia" w:ascii="宋体" w:hAnsi="宋体" w:cs="宋体"/>
          <w:color w:val="auto"/>
          <w:kern w:val="0"/>
          <w:sz w:val="24"/>
          <w:highlight w:val="none"/>
        </w:rPr>
      </w:pPr>
      <w:r>
        <w:rPr>
          <w:rFonts w:hint="eastAsia" w:ascii="宋体" w:hAnsi="宋体" w:cs="宋体"/>
          <w:color w:val="auto"/>
          <w:kern w:val="0"/>
          <w:sz w:val="24"/>
          <w:highlight w:val="none"/>
        </w:rPr>
        <w:t>27.2采购代理机构应当在成交供应商确定后2个工作日内，在省级以上财政部门指定的媒体上公告成交结果，同时向成交供应商发出成交通知书。</w:t>
      </w:r>
      <w:r>
        <w:rPr>
          <w:rFonts w:hint="eastAsia" w:ascii="宋体" w:hAnsi="宋体" w:cs="宋体"/>
          <w:b/>
          <w:color w:val="auto"/>
          <w:kern w:val="0"/>
          <w:sz w:val="24"/>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kern w:val="0"/>
          <w:sz w:val="24"/>
          <w:highlight w:val="none"/>
        </w:rPr>
        <w:t>排名第二的成交候选人因上述规定的同样原因被取消成交资格的，采购人可以确定排名第三的成交候选人为成交供应商。以上信息查询记录及相关证据与谈判文件一并保存。</w:t>
      </w:r>
    </w:p>
    <w:p w14:paraId="1DA36B41">
      <w:pPr>
        <w:pStyle w:val="9"/>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27.3出现下列情形之一的，采购人或者采购代理机构应当终止竞争性谈判采购活动，发布项目终止公告并说明原因，重新开展采购活动：</w:t>
      </w:r>
    </w:p>
    <w:p w14:paraId="45922B3A">
      <w:pPr>
        <w:pStyle w:val="9"/>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（一）因情况变化，不再符合规定的竞争性谈判采购方式适用情形的；</w:t>
      </w:r>
    </w:p>
    <w:p w14:paraId="402907B9">
      <w:pPr>
        <w:pStyle w:val="9"/>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（二）出现影响采购公正的违法、违规行为的；</w:t>
      </w:r>
    </w:p>
    <w:p w14:paraId="75DA3B5B">
      <w:pPr>
        <w:pStyle w:val="9"/>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（三）在采购过程中符合竞争要求的供应商或者报价未超过采购预算的供应商不足3家的，但“第四章 评审程序和评定成交的标准”第3.7条规定的情形除外。</w:t>
      </w:r>
    </w:p>
    <w:p w14:paraId="659385ED">
      <w:pPr>
        <w:pStyle w:val="9"/>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27.4在采购活动中因重大变故，采购任务取消的，采购人或者采购代理机构应当终止采购活动，通知所有参加采购活动的供应商。</w:t>
      </w:r>
    </w:p>
    <w:p w14:paraId="7F4CD3B4">
      <w:pPr>
        <w:pStyle w:val="9"/>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27.5</w:t>
      </w:r>
      <w:r>
        <w:rPr>
          <w:rFonts w:hint="eastAsia" w:ascii="宋体" w:hAnsi="宋体" w:cs="宋体"/>
          <w:color w:val="auto"/>
          <w:sz w:val="24"/>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7609896E">
      <w:pPr>
        <w:pStyle w:val="9"/>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除因不可抗力外，成交供应商不与采购人签订合同的，除不予退还其谈判保证金外，若给采购人造成损失，或（并）因此延误采购人教学科研计划的，须依据《中华人民共和国民法典》第五百条、《政府采购非招标采购方式管理办法（财政部令第74号）》第二十二条、第五十四条规定承担赔偿损失等法律责任，采购人有权将成交供应商的失信行为报财政部门记入诚信档案，以示惩戒。</w:t>
      </w:r>
    </w:p>
    <w:p w14:paraId="4BABCCA2">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28.履约保证金</w:t>
      </w:r>
    </w:p>
    <w:p w14:paraId="50E7DD6C">
      <w:pPr>
        <w:pStyle w:val="9"/>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highlight w:val="none"/>
        </w:rPr>
        <w:t>28.1履约保证金的金额、提交方式、退付的时间和条件详见 “供应商须知前附表”。成交供应商未按规定提交履约保证金的，视为拒绝</w:t>
      </w:r>
      <w:r>
        <w:rPr>
          <w:rFonts w:hint="eastAsia" w:ascii="宋体" w:hAnsi="宋体" w:cs="宋体"/>
          <w:color w:val="auto"/>
          <w:sz w:val="24"/>
          <w:szCs w:val="32"/>
          <w:highlight w:val="none"/>
        </w:rPr>
        <w:t>与采购人</w:t>
      </w:r>
      <w:r>
        <w:rPr>
          <w:rFonts w:hint="eastAsia" w:ascii="宋体" w:hAnsi="宋体" w:cs="宋体"/>
          <w:color w:val="auto"/>
          <w:sz w:val="24"/>
          <w:highlight w:val="none"/>
        </w:rPr>
        <w:t>签订合同。</w:t>
      </w:r>
    </w:p>
    <w:p w14:paraId="29CAA567">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28.2在履约保证金退还日期前，若成交供应商的开户名称、开户银行、</w:t>
      </w:r>
      <w:r>
        <w:rPr>
          <w:rFonts w:hint="eastAsia" w:ascii="宋体" w:hAnsi="宋体" w:cs="宋体"/>
          <w:color w:val="auto"/>
          <w:sz w:val="24"/>
          <w:highlight w:val="none"/>
          <w:lang w:eastAsia="zh-CN"/>
        </w:rPr>
        <w:t>账</w:t>
      </w:r>
      <w:r>
        <w:rPr>
          <w:rFonts w:hint="eastAsia" w:ascii="宋体" w:hAnsi="宋体" w:cs="宋体"/>
          <w:color w:val="auto"/>
          <w:sz w:val="24"/>
          <w:highlight w:val="none"/>
        </w:rPr>
        <w:t>号有变动的，请以书面形式通知履约保证金收取单位，否则由此产生的后果由成交供应商自负。</w:t>
      </w:r>
    </w:p>
    <w:p w14:paraId="0CE5B090">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29.签订合同</w:t>
      </w:r>
    </w:p>
    <w:p w14:paraId="3E10C703">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29.1成交供应商在收到成交通知书（书面或电子）后，按“供应商须知前附表”规定向采购人出示相关证明材料，经采购人核验合格后方可签订合同（书面或电子）。如成交供应商为联合体的，联合体各方应当共同与采购人签订采购合同，就采购合同约定的事项对采购人承担连带责任。</w:t>
      </w:r>
    </w:p>
    <w:p w14:paraId="5F9B7C06">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29.2 签订合同时间：按成交通知书的规定与采购人签订政府采购合同（最长不能超过25日）。</w:t>
      </w:r>
    </w:p>
    <w:p w14:paraId="75FF218E">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29.3成交供应商拒绝与采购人签订合同的，按照本文件之《供应商须知正文》第27.5条的规定执行。</w:t>
      </w:r>
    </w:p>
    <w:p w14:paraId="35162C61">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30.政府采购合同公告</w:t>
      </w:r>
    </w:p>
    <w:p w14:paraId="11D83682">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31.询问、质疑和投诉</w:t>
      </w:r>
    </w:p>
    <w:p w14:paraId="1B08380D">
      <w:pPr>
        <w:pStyle w:val="7"/>
        <w:spacing w:line="360" w:lineRule="auto"/>
        <w:rPr>
          <w:rFonts w:ascii="宋体" w:hAnsi="宋体" w:cs="宋体"/>
          <w:color w:val="auto"/>
          <w:sz w:val="24"/>
          <w:szCs w:val="24"/>
          <w:highlight w:val="none"/>
        </w:rPr>
      </w:pPr>
      <w:r>
        <w:rPr>
          <w:rFonts w:hint="eastAsia" w:ascii="宋体" w:hAnsi="宋体" w:cs="宋体"/>
          <w:color w:val="auto"/>
          <w:sz w:val="24"/>
          <w:szCs w:val="22"/>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 w:val="24"/>
          <w:szCs w:val="24"/>
          <w:highlight w:val="none"/>
        </w:rPr>
        <w:t>但答复的内容不得涉及商业秘密。</w:t>
      </w:r>
    </w:p>
    <w:p w14:paraId="6D1D28A3">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31.2供应商认为谈判文件、采购过程或者成交结果使自己的合法权益受到损害的，应当在知道或者应知其权益受到损害之日起7个工作日内，以纸质书面形式向采购人、采购代理机构提出质疑，</w:t>
      </w:r>
      <w:r>
        <w:rPr>
          <w:rFonts w:hint="eastAsia" w:ascii="宋体" w:hAnsi="宋体" w:cs="宋体"/>
          <w:color w:val="auto"/>
          <w:sz w:val="24"/>
          <w:szCs w:val="32"/>
          <w:highlight w:val="none"/>
          <w:shd w:val="clear" w:color="auto" w:fill="FFFFFF"/>
        </w:rPr>
        <w:t>接收质疑函的方式、联系部门、联系电话和通讯地址等信息</w:t>
      </w:r>
      <w:r>
        <w:rPr>
          <w:rFonts w:hint="eastAsia" w:ascii="宋体" w:hAnsi="宋体" w:cs="宋体"/>
          <w:color w:val="auto"/>
          <w:sz w:val="24"/>
          <w:highlight w:val="none"/>
        </w:rPr>
        <w:t>详见“供应商须知前附表”</w:t>
      </w:r>
      <w:r>
        <w:rPr>
          <w:rFonts w:hint="eastAsia" w:ascii="宋体" w:hAnsi="宋体" w:cs="宋体"/>
          <w:color w:val="auto"/>
          <w:sz w:val="24"/>
          <w:szCs w:val="32"/>
          <w:highlight w:val="none"/>
        </w:rPr>
        <w:t>。供应商应当在法定质疑期内一次性提出针对同一采购程序环节的质疑。具体质疑起算时间如下：</w:t>
      </w:r>
    </w:p>
    <w:p w14:paraId="1265437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（1）对可以质疑的谈判文件提出质疑的，为获取谈判文件之日；</w:t>
      </w:r>
    </w:p>
    <w:p w14:paraId="24EB7BB6">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（2）对采购过程提出质疑的，为各采购程序环节结束之日；</w:t>
      </w:r>
    </w:p>
    <w:p w14:paraId="5D8E1D4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（3）对成交结果提出质疑的，为成交结果公告期限届满之日。</w:t>
      </w:r>
    </w:p>
    <w:p w14:paraId="4575179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B9206A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4"/>
          <w:szCs w:val="32"/>
          <w:highlight w:val="none"/>
        </w:rPr>
        <w:t>（质疑函格式后附）</w:t>
      </w:r>
      <w:r>
        <w:rPr>
          <w:rFonts w:hint="eastAsia" w:ascii="宋体" w:hAnsi="宋体" w:cs="宋体"/>
          <w:color w:val="auto"/>
          <w:sz w:val="24"/>
          <w:szCs w:val="32"/>
          <w:highlight w:val="none"/>
        </w:rPr>
        <w:t>：</w:t>
      </w:r>
    </w:p>
    <w:p w14:paraId="6E225B9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（1）供应商的姓名或者名称、地址、邮编、联系人及联系电话；</w:t>
      </w:r>
    </w:p>
    <w:p w14:paraId="71E410C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（2）质疑项目的名称、编号；</w:t>
      </w:r>
    </w:p>
    <w:p w14:paraId="4B67B4E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（3）具体、明确的质疑事项和与质疑事项相关的请求；</w:t>
      </w:r>
    </w:p>
    <w:p w14:paraId="7D4C9E92">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（4）事实依据；</w:t>
      </w:r>
    </w:p>
    <w:p w14:paraId="7379920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（5）必要的法律依据；</w:t>
      </w:r>
    </w:p>
    <w:p w14:paraId="33B83C9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（6）提出质疑的日期。</w:t>
      </w:r>
    </w:p>
    <w:p w14:paraId="58FE303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供应商为自然人的，应当由本人签字；供应商为法人或者其他组织的，应当由法定代表人、主要负责人，或者其委托代理人签字或者盖章，并加盖公章。</w:t>
      </w:r>
    </w:p>
    <w:p w14:paraId="60B2E9C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31.5采购人、采购代理机构认为供应商质疑不成立，或者成立但未对成交结果构成影响的，继续开展采购活动；认为供应商质疑成立且影响或者可能影响成交结果的，按照下列情况处理：</w:t>
      </w:r>
    </w:p>
    <w:p w14:paraId="46F8A4E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（1）对采购文件提出的质疑，依法通过澄清或者修改可以继续开展采购活动的，澄清或者修改采购文件后继续开展采购活动；否则应当修改采购文件后重新开展采购活动。</w:t>
      </w:r>
    </w:p>
    <w:p w14:paraId="197F709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（2）对采购过程或者成交结果提出的质疑，合格供应商符合法定数量时，可以从合格的成交候选人中另行确定成交供应商的，应当依法另行确定成交供应商；否则应当重新开展采购活动。</w:t>
      </w:r>
    </w:p>
    <w:p w14:paraId="75251D82">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质疑答复导致成交结果改变的，采购人或者采购代理机构应当将有关情况书面报告本级</w:t>
      </w:r>
      <w:r>
        <w:rPr>
          <w:rFonts w:hint="eastAsia" w:ascii="宋体" w:hAnsi="宋体" w:cs="宋体"/>
          <w:color w:val="auto"/>
          <w:sz w:val="24"/>
          <w:szCs w:val="32"/>
          <w:highlight w:val="none"/>
          <w:lang w:eastAsia="zh-CN"/>
        </w:rPr>
        <w:t>监督</w:t>
      </w:r>
      <w:r>
        <w:rPr>
          <w:rFonts w:hint="eastAsia" w:ascii="宋体" w:hAnsi="宋体" w:cs="宋体"/>
          <w:color w:val="auto"/>
          <w:sz w:val="24"/>
          <w:szCs w:val="32"/>
          <w:highlight w:val="none"/>
        </w:rPr>
        <w:t>部门。</w:t>
      </w:r>
    </w:p>
    <w:p w14:paraId="572B246B">
      <w:pPr>
        <w:spacing w:line="360" w:lineRule="auto"/>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32.其他内容</w:t>
      </w:r>
    </w:p>
    <w:p w14:paraId="7F24F835">
      <w:pPr>
        <w:tabs>
          <w:tab w:val="left" w:pos="28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32.1代理服务费：代理服务收取标准及缴费账户详见“供应商须知前附表”，供应商为联合体的，可以由联合体中的一方或者多方共同交纳代理服务费。</w:t>
      </w:r>
    </w:p>
    <w:p w14:paraId="6CF6EF77">
      <w:pPr>
        <w:tabs>
          <w:tab w:val="left" w:pos="28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32.2代理服务费收费计算标准：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959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1A6BCA5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费率</w:t>
            </w:r>
          </w:p>
          <w:p w14:paraId="1BB0605F">
            <w:pPr>
              <w:spacing w:line="360" w:lineRule="auto"/>
              <w:rPr>
                <w:rFonts w:ascii="宋体" w:hAnsi="宋体" w:cs="宋体"/>
                <w:color w:val="auto"/>
                <w:sz w:val="24"/>
                <w:highlight w:val="none"/>
              </w:rPr>
            </w:pPr>
            <w:r>
              <w:rPr>
                <w:rFonts w:hint="eastAsia" w:ascii="宋体" w:hAnsi="宋体" w:cs="宋体"/>
                <w:color w:val="auto"/>
                <w:sz w:val="24"/>
                <w:highlight w:val="none"/>
              </w:rPr>
              <w:t>金额（人民币）</w:t>
            </w:r>
          </w:p>
        </w:tc>
        <w:tc>
          <w:tcPr>
            <w:tcW w:w="1659" w:type="dxa"/>
            <w:vAlign w:val="center"/>
          </w:tcPr>
          <w:p w14:paraId="66D8EFA7">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货物类</w:t>
            </w:r>
          </w:p>
        </w:tc>
        <w:tc>
          <w:tcPr>
            <w:tcW w:w="1532" w:type="dxa"/>
            <w:vAlign w:val="center"/>
          </w:tcPr>
          <w:p w14:paraId="017AAD3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服务类</w:t>
            </w:r>
          </w:p>
        </w:tc>
        <w:tc>
          <w:tcPr>
            <w:tcW w:w="1546" w:type="dxa"/>
            <w:vAlign w:val="center"/>
          </w:tcPr>
          <w:p w14:paraId="6BBC3DB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工程类</w:t>
            </w:r>
          </w:p>
        </w:tc>
      </w:tr>
      <w:tr w14:paraId="5296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9C6920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tcPr>
          <w:p w14:paraId="29C8FAA0">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1532" w:type="dxa"/>
          </w:tcPr>
          <w:p w14:paraId="0A743C23">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1546" w:type="dxa"/>
          </w:tcPr>
          <w:p w14:paraId="135A47E0">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r>
      <w:tr w14:paraId="76B4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13C097A">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tcPr>
          <w:p w14:paraId="47423E42">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1532" w:type="dxa"/>
          </w:tcPr>
          <w:p w14:paraId="3EE339B6">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0.8%</w:t>
            </w:r>
          </w:p>
        </w:tc>
        <w:tc>
          <w:tcPr>
            <w:tcW w:w="1546" w:type="dxa"/>
          </w:tcPr>
          <w:p w14:paraId="29856060">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0.7%</w:t>
            </w:r>
          </w:p>
        </w:tc>
      </w:tr>
      <w:tr w14:paraId="4F7C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8A22A54">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tcPr>
          <w:p w14:paraId="703158B0">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0.8%</w:t>
            </w:r>
          </w:p>
        </w:tc>
        <w:tc>
          <w:tcPr>
            <w:tcW w:w="1532" w:type="dxa"/>
          </w:tcPr>
          <w:p w14:paraId="6F6AE266">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0.45%</w:t>
            </w:r>
          </w:p>
        </w:tc>
        <w:tc>
          <w:tcPr>
            <w:tcW w:w="1546" w:type="dxa"/>
          </w:tcPr>
          <w:p w14:paraId="59F912FB">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0.55%</w:t>
            </w:r>
          </w:p>
        </w:tc>
      </w:tr>
      <w:tr w14:paraId="0698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4D7F6D3">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tcPr>
          <w:p w14:paraId="39EE84E8">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0.5%</w:t>
            </w:r>
          </w:p>
        </w:tc>
        <w:tc>
          <w:tcPr>
            <w:tcW w:w="1532" w:type="dxa"/>
          </w:tcPr>
          <w:p w14:paraId="32012E92">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0.25%</w:t>
            </w:r>
          </w:p>
        </w:tc>
        <w:tc>
          <w:tcPr>
            <w:tcW w:w="1546" w:type="dxa"/>
          </w:tcPr>
          <w:p w14:paraId="6173BE94">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0.35%</w:t>
            </w:r>
          </w:p>
        </w:tc>
      </w:tr>
      <w:tr w14:paraId="56BE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A5C6F7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tcPr>
          <w:p w14:paraId="6B6A773F">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0.25%</w:t>
            </w:r>
          </w:p>
        </w:tc>
        <w:tc>
          <w:tcPr>
            <w:tcW w:w="1532" w:type="dxa"/>
          </w:tcPr>
          <w:p w14:paraId="2C452F51">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0.1%</w:t>
            </w:r>
          </w:p>
        </w:tc>
        <w:tc>
          <w:tcPr>
            <w:tcW w:w="1546" w:type="dxa"/>
          </w:tcPr>
          <w:p w14:paraId="2559872C">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0.2%</w:t>
            </w:r>
          </w:p>
        </w:tc>
      </w:tr>
      <w:tr w14:paraId="6A05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E85EDAC">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1～5亿元</w:t>
            </w:r>
          </w:p>
        </w:tc>
        <w:tc>
          <w:tcPr>
            <w:tcW w:w="1659" w:type="dxa"/>
          </w:tcPr>
          <w:p w14:paraId="2279D5F6">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0.05%</w:t>
            </w:r>
          </w:p>
        </w:tc>
        <w:tc>
          <w:tcPr>
            <w:tcW w:w="1532" w:type="dxa"/>
          </w:tcPr>
          <w:p w14:paraId="3B40C43C">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0.05%</w:t>
            </w:r>
          </w:p>
        </w:tc>
        <w:tc>
          <w:tcPr>
            <w:tcW w:w="1546" w:type="dxa"/>
          </w:tcPr>
          <w:p w14:paraId="6A9BD45F">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0.05%</w:t>
            </w:r>
          </w:p>
        </w:tc>
      </w:tr>
      <w:tr w14:paraId="239A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E6A220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5～10亿元</w:t>
            </w:r>
          </w:p>
        </w:tc>
        <w:tc>
          <w:tcPr>
            <w:tcW w:w="1659" w:type="dxa"/>
          </w:tcPr>
          <w:p w14:paraId="63986354">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0.035%</w:t>
            </w:r>
          </w:p>
        </w:tc>
        <w:tc>
          <w:tcPr>
            <w:tcW w:w="1532" w:type="dxa"/>
          </w:tcPr>
          <w:p w14:paraId="1B7CAE36">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0.035%</w:t>
            </w:r>
          </w:p>
        </w:tc>
        <w:tc>
          <w:tcPr>
            <w:tcW w:w="1546" w:type="dxa"/>
          </w:tcPr>
          <w:p w14:paraId="089F592E">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0.035%</w:t>
            </w:r>
          </w:p>
        </w:tc>
      </w:tr>
      <w:tr w14:paraId="7ADA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D818CA2">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10～50亿元</w:t>
            </w:r>
          </w:p>
        </w:tc>
        <w:tc>
          <w:tcPr>
            <w:tcW w:w="1659" w:type="dxa"/>
          </w:tcPr>
          <w:p w14:paraId="73C3E688">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0.008%</w:t>
            </w:r>
          </w:p>
        </w:tc>
        <w:tc>
          <w:tcPr>
            <w:tcW w:w="1532" w:type="dxa"/>
          </w:tcPr>
          <w:p w14:paraId="48EFDB39">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0.008%</w:t>
            </w:r>
          </w:p>
        </w:tc>
        <w:tc>
          <w:tcPr>
            <w:tcW w:w="1546" w:type="dxa"/>
          </w:tcPr>
          <w:p w14:paraId="1B4A2C4A">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0.008%</w:t>
            </w:r>
          </w:p>
        </w:tc>
      </w:tr>
      <w:tr w14:paraId="4E3F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DD66673">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50～100亿元</w:t>
            </w:r>
          </w:p>
        </w:tc>
        <w:tc>
          <w:tcPr>
            <w:tcW w:w="1659" w:type="dxa"/>
          </w:tcPr>
          <w:p w14:paraId="4D51840E">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0.006%</w:t>
            </w:r>
          </w:p>
        </w:tc>
        <w:tc>
          <w:tcPr>
            <w:tcW w:w="1532" w:type="dxa"/>
          </w:tcPr>
          <w:p w14:paraId="791C5BFC">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0.006%</w:t>
            </w:r>
          </w:p>
        </w:tc>
        <w:tc>
          <w:tcPr>
            <w:tcW w:w="1546" w:type="dxa"/>
          </w:tcPr>
          <w:p w14:paraId="55D097EC">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0.006%</w:t>
            </w:r>
          </w:p>
        </w:tc>
      </w:tr>
      <w:tr w14:paraId="7040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18C285E">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100亿元以上</w:t>
            </w:r>
          </w:p>
        </w:tc>
        <w:tc>
          <w:tcPr>
            <w:tcW w:w="1659" w:type="dxa"/>
          </w:tcPr>
          <w:p w14:paraId="6FA26C03">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0.004%</w:t>
            </w:r>
          </w:p>
        </w:tc>
        <w:tc>
          <w:tcPr>
            <w:tcW w:w="1532" w:type="dxa"/>
          </w:tcPr>
          <w:p w14:paraId="7BF82C75">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0.004%</w:t>
            </w:r>
          </w:p>
        </w:tc>
        <w:tc>
          <w:tcPr>
            <w:tcW w:w="1546" w:type="dxa"/>
          </w:tcPr>
          <w:p w14:paraId="55686B7F">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0.004%</w:t>
            </w:r>
          </w:p>
        </w:tc>
      </w:tr>
    </w:tbl>
    <w:p w14:paraId="6518B818">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注：</w:t>
      </w:r>
      <w:r>
        <w:rPr>
          <w:rFonts w:ascii="楷体" w:hAnsi="楷体" w:eastAsia="楷体" w:cs="宋体"/>
          <w:color w:val="auto"/>
          <w:sz w:val="24"/>
          <w:highlight w:val="none"/>
        </w:rPr>
        <w:t xml:space="preserve"> </w:t>
      </w:r>
    </w:p>
    <w:p w14:paraId="4853D080">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1）按本表费率计算的收费为采购代理的收费基准价格；</w:t>
      </w:r>
    </w:p>
    <w:p w14:paraId="5072A283">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32DD8242">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例如：某货物采购代理业务成交金额或者暂定价为</w:t>
      </w:r>
      <w:r>
        <w:rPr>
          <w:rFonts w:ascii="楷体" w:hAnsi="楷体" w:eastAsia="楷体" w:cs="宋体"/>
          <w:color w:val="auto"/>
          <w:sz w:val="24"/>
          <w:highlight w:val="none"/>
        </w:rPr>
        <w:t>150万元，计算采购代理收费额如下：</w:t>
      </w:r>
    </w:p>
    <w:p w14:paraId="1AEF0FF4">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 xml:space="preserve">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l.5 %＝ 1.5 </w:t>
      </w:r>
      <w:r>
        <w:rPr>
          <w:rFonts w:hint="eastAsia" w:ascii="楷体" w:hAnsi="楷体" w:eastAsia="楷体" w:cs="宋体"/>
          <w:color w:val="auto"/>
          <w:sz w:val="24"/>
          <w:highlight w:val="none"/>
        </w:rPr>
        <w:t>万元</w:t>
      </w:r>
    </w:p>
    <w:p w14:paraId="572A63C6">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150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1.1%＝ 0.55 </w:t>
      </w:r>
      <w:r>
        <w:rPr>
          <w:rFonts w:hint="eastAsia" w:ascii="楷体" w:hAnsi="楷体" w:eastAsia="楷体" w:cs="宋体"/>
          <w:color w:val="auto"/>
          <w:sz w:val="24"/>
          <w:highlight w:val="none"/>
        </w:rPr>
        <w:t>万元</w:t>
      </w:r>
    </w:p>
    <w:p w14:paraId="408BA665">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合计收费＝</w:t>
      </w:r>
      <w:r>
        <w:rPr>
          <w:rFonts w:ascii="楷体" w:hAnsi="楷体" w:eastAsia="楷体" w:cs="宋体"/>
          <w:color w:val="auto"/>
          <w:sz w:val="24"/>
          <w:highlight w:val="none"/>
        </w:rPr>
        <w:t xml:space="preserve"> 1.5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0.55＝ 2.05 </w:t>
      </w:r>
      <w:r>
        <w:rPr>
          <w:rFonts w:hint="eastAsia" w:ascii="楷体" w:hAnsi="楷体" w:eastAsia="楷体" w:cs="宋体"/>
          <w:color w:val="auto"/>
          <w:sz w:val="24"/>
          <w:highlight w:val="none"/>
        </w:rPr>
        <w:t>（万元）</w:t>
      </w:r>
    </w:p>
    <w:p w14:paraId="5DBEA22E">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518441C7">
      <w:pPr>
        <w:pStyle w:val="15"/>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33.1本谈判文件解释规则详见“供应商须知前附表”。</w:t>
      </w:r>
    </w:p>
    <w:p w14:paraId="10A3F45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kern w:val="0"/>
          <w:sz w:val="24"/>
          <w:highlight w:val="none"/>
        </w:rPr>
        <w:t>33.2 其他事</w:t>
      </w:r>
      <w:r>
        <w:rPr>
          <w:rFonts w:hint="eastAsia" w:ascii="宋体" w:hAnsi="宋体" w:cs="宋体"/>
          <w:color w:val="auto"/>
          <w:sz w:val="24"/>
          <w:highlight w:val="none"/>
        </w:rPr>
        <w:t>项详见“供应商须知前附表”。</w:t>
      </w:r>
    </w:p>
    <w:p w14:paraId="3957F197">
      <w:pPr>
        <w:pStyle w:val="3"/>
        <w:spacing w:before="0" w:after="0" w:line="360" w:lineRule="auto"/>
        <w:jc w:val="center"/>
        <w:rPr>
          <w:rFonts w:ascii="宋体" w:hAnsi="宋体" w:cs="宋体"/>
          <w:color w:val="auto"/>
          <w:sz w:val="32"/>
          <w:szCs w:val="32"/>
          <w:highlight w:val="none"/>
        </w:rPr>
      </w:pPr>
      <w:r>
        <w:rPr>
          <w:rFonts w:hint="eastAsia" w:ascii="宋体" w:hAnsi="宋体" w:cs="宋体"/>
          <w:bCs w:val="0"/>
          <w:color w:val="auto"/>
          <w:sz w:val="24"/>
          <w:szCs w:val="24"/>
          <w:highlight w:val="none"/>
        </w:rPr>
        <w:br w:type="page"/>
      </w:r>
      <w:bookmarkStart w:id="22" w:name="_Toc4348"/>
      <w:r>
        <w:rPr>
          <w:rFonts w:hint="eastAsia" w:ascii="宋体" w:hAnsi="宋体" w:cs="宋体"/>
          <w:color w:val="auto"/>
          <w:highlight w:val="none"/>
        </w:rPr>
        <w:t>第三章 采购需求</w:t>
      </w:r>
      <w:bookmarkEnd w:id="22"/>
    </w:p>
    <w:p w14:paraId="5283473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说明：</w:t>
      </w:r>
    </w:p>
    <w:p w14:paraId="5CF6B3E6">
      <w:pPr>
        <w:spacing w:line="360" w:lineRule="auto"/>
        <w:ind w:left="-10" w:leftChars="-5" w:right="2" w:rightChars="1" w:firstLine="480" w:firstLineChars="200"/>
        <w:rPr>
          <w:bCs/>
          <w:color w:val="auto"/>
          <w:sz w:val="24"/>
          <w:highlight w:val="none"/>
        </w:rPr>
      </w:pPr>
      <w:r>
        <w:rPr>
          <w:bCs/>
          <w:color w:val="auto"/>
          <w:sz w:val="24"/>
          <w:highlight w:val="none"/>
        </w:rPr>
        <w:t>1</w:t>
      </w:r>
      <w:r>
        <w:rPr>
          <w:rFonts w:hint="eastAsia" w:ascii="宋体" w:hAnsi="宋体" w:cs="宋体"/>
          <w:color w:val="auto"/>
          <w:sz w:val="24"/>
          <w:highlight w:val="none"/>
        </w:rPr>
        <w:t>.</w:t>
      </w:r>
      <w:r>
        <w:rPr>
          <w:bCs/>
          <w:color w:val="auto"/>
          <w:sz w:val="24"/>
          <w:highlight w:val="none"/>
        </w:rPr>
        <w:t>采购需求中如出现品牌、型号或者生产厂家等均仅起参考作用，不属于指定品牌、型号或者生产厂家的情形，</w:t>
      </w:r>
      <w:r>
        <w:rPr>
          <w:rFonts w:hint="eastAsia"/>
          <w:bCs/>
          <w:color w:val="auto"/>
          <w:sz w:val="24"/>
          <w:highlight w:val="none"/>
        </w:rPr>
        <w:t>供应商</w:t>
      </w:r>
      <w:r>
        <w:rPr>
          <w:bCs/>
          <w:color w:val="auto"/>
          <w:sz w:val="24"/>
          <w:highlight w:val="none"/>
        </w:rPr>
        <w:t>可参照或者选用其他相当的品牌、型号或者生产供应商替代。但</w:t>
      </w:r>
      <w:r>
        <w:rPr>
          <w:rFonts w:hint="eastAsia"/>
          <w:bCs/>
          <w:color w:val="auto"/>
          <w:sz w:val="24"/>
          <w:highlight w:val="none"/>
        </w:rPr>
        <w:t>供应商提供</w:t>
      </w:r>
      <w:r>
        <w:rPr>
          <w:bCs/>
          <w:color w:val="auto"/>
          <w:sz w:val="24"/>
          <w:highlight w:val="none"/>
        </w:rPr>
        <w:t>的产品实质上应相当于或优于本</w:t>
      </w:r>
      <w:r>
        <w:rPr>
          <w:rFonts w:hint="eastAsia"/>
          <w:bCs/>
          <w:color w:val="auto"/>
          <w:sz w:val="24"/>
          <w:highlight w:val="none"/>
        </w:rPr>
        <w:t>《采购</w:t>
      </w:r>
      <w:r>
        <w:rPr>
          <w:bCs/>
          <w:color w:val="auto"/>
          <w:sz w:val="24"/>
          <w:highlight w:val="none"/>
        </w:rPr>
        <w:t>需求</w:t>
      </w:r>
      <w:r>
        <w:rPr>
          <w:rFonts w:hint="eastAsia"/>
          <w:bCs/>
          <w:color w:val="auto"/>
          <w:sz w:val="24"/>
          <w:highlight w:val="none"/>
        </w:rPr>
        <w:t>》</w:t>
      </w:r>
      <w:r>
        <w:rPr>
          <w:bCs/>
          <w:color w:val="auto"/>
          <w:sz w:val="24"/>
          <w:highlight w:val="none"/>
        </w:rPr>
        <w:t>中的技术要求。</w:t>
      </w:r>
    </w:p>
    <w:p w14:paraId="6D79481E">
      <w:pPr>
        <w:spacing w:line="360" w:lineRule="auto"/>
        <w:ind w:left="-10" w:leftChars="-5" w:right="2" w:rightChars="1" w:firstLine="480" w:firstLineChars="200"/>
        <w:rPr>
          <w:bCs/>
          <w:color w:val="auto"/>
          <w:sz w:val="24"/>
          <w:highlight w:val="none"/>
        </w:rPr>
      </w:pPr>
      <w:r>
        <w:rPr>
          <w:bCs/>
          <w:color w:val="auto"/>
          <w:sz w:val="24"/>
          <w:highlight w:val="none"/>
        </w:rPr>
        <w:t>2</w:t>
      </w:r>
      <w:r>
        <w:rPr>
          <w:rFonts w:hint="eastAsia" w:ascii="宋体" w:hAnsi="宋体" w:cs="宋体"/>
          <w:color w:val="auto"/>
          <w:sz w:val="24"/>
          <w:highlight w:val="none"/>
        </w:rPr>
        <w:t>.</w:t>
      </w:r>
      <w:r>
        <w:rPr>
          <w:bCs/>
          <w:color w:val="auto"/>
          <w:sz w:val="24"/>
          <w:highlight w:val="none"/>
        </w:rPr>
        <w:t>凡在“技术要求”中表述为“标配”或“标准配置”的设备，</w:t>
      </w:r>
      <w:r>
        <w:rPr>
          <w:rFonts w:hint="eastAsia"/>
          <w:bCs/>
          <w:color w:val="auto"/>
          <w:sz w:val="24"/>
          <w:highlight w:val="none"/>
        </w:rPr>
        <w:t>供应商</w:t>
      </w:r>
      <w:r>
        <w:rPr>
          <w:bCs/>
          <w:color w:val="auto"/>
          <w:sz w:val="24"/>
          <w:highlight w:val="none"/>
        </w:rPr>
        <w:t>应在</w:t>
      </w:r>
      <w:r>
        <w:rPr>
          <w:rFonts w:hint="eastAsia" w:ascii="宋体" w:hAnsi="宋体" w:cs="宋体"/>
          <w:color w:val="auto"/>
          <w:sz w:val="24"/>
          <w:highlight w:val="none"/>
          <w:lang w:bidi="ar"/>
        </w:rPr>
        <w:t>竞争性谈判</w:t>
      </w:r>
      <w:r>
        <w:rPr>
          <w:bCs/>
          <w:color w:val="auto"/>
          <w:sz w:val="24"/>
          <w:highlight w:val="none"/>
        </w:rPr>
        <w:t>设备性能配置清单中将其标配参数详细列明。</w:t>
      </w:r>
    </w:p>
    <w:p w14:paraId="187EC6A9">
      <w:pPr>
        <w:spacing w:line="360" w:lineRule="auto"/>
        <w:ind w:left="-10" w:leftChars="-5" w:right="2" w:rightChars="1" w:firstLine="480" w:firstLineChars="200"/>
        <w:rPr>
          <w:bCs/>
          <w:color w:val="auto"/>
          <w:sz w:val="24"/>
          <w:highlight w:val="none"/>
        </w:rPr>
      </w:pPr>
      <w:r>
        <w:rPr>
          <w:bCs/>
          <w:color w:val="auto"/>
          <w:sz w:val="24"/>
          <w:highlight w:val="none"/>
        </w:rPr>
        <w:t>3</w:t>
      </w:r>
      <w:r>
        <w:rPr>
          <w:rFonts w:hint="eastAsia" w:ascii="宋体" w:hAnsi="宋体" w:cs="宋体"/>
          <w:color w:val="auto"/>
          <w:sz w:val="24"/>
          <w:highlight w:val="none"/>
        </w:rPr>
        <w:t>.</w:t>
      </w:r>
      <w:r>
        <w:rPr>
          <w:bCs/>
          <w:color w:val="auto"/>
          <w:sz w:val="24"/>
          <w:highlight w:val="none"/>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Segoe UI Symbol" w:hAnsi="Segoe UI Symbol" w:cs="Segoe UI Symbol"/>
          <w:bCs/>
          <w:color w:val="auto"/>
          <w:sz w:val="24"/>
          <w:highlight w:val="none"/>
        </w:rPr>
        <w:t>★</w:t>
      </w:r>
      <w:r>
        <w:rPr>
          <w:bCs/>
          <w:color w:val="auto"/>
          <w:sz w:val="24"/>
          <w:highlight w:val="none"/>
        </w:rPr>
        <w:t>”的（详见本章后附的节能产品政府采购品目清单），</w:t>
      </w:r>
      <w:r>
        <w:rPr>
          <w:rFonts w:hint="eastAsia"/>
          <w:bCs/>
          <w:color w:val="auto"/>
          <w:sz w:val="24"/>
          <w:highlight w:val="none"/>
        </w:rPr>
        <w:t>供应商参与</w:t>
      </w:r>
      <w:r>
        <w:rPr>
          <w:rFonts w:hint="eastAsia" w:ascii="宋体" w:hAnsi="宋体" w:cs="宋体"/>
          <w:color w:val="auto"/>
          <w:sz w:val="24"/>
          <w:highlight w:val="none"/>
          <w:lang w:bidi="ar"/>
        </w:rPr>
        <w:t>竞争性谈判</w:t>
      </w:r>
      <w:r>
        <w:rPr>
          <w:rFonts w:hint="eastAsia"/>
          <w:bCs/>
          <w:color w:val="auto"/>
          <w:sz w:val="24"/>
          <w:highlight w:val="none"/>
        </w:rPr>
        <w:t>提供的</w:t>
      </w:r>
      <w:r>
        <w:rPr>
          <w:bCs/>
          <w:color w:val="auto"/>
          <w:sz w:val="24"/>
          <w:highlight w:val="none"/>
        </w:rPr>
        <w:t>货物必须使用政府强制采购的节能产品，否则</w:t>
      </w:r>
      <w:r>
        <w:rPr>
          <w:rFonts w:hint="eastAsia"/>
          <w:bCs/>
          <w:color w:val="auto"/>
          <w:sz w:val="24"/>
          <w:highlight w:val="none"/>
        </w:rPr>
        <w:t>响应</w:t>
      </w:r>
      <w:r>
        <w:rPr>
          <w:bCs/>
          <w:color w:val="auto"/>
          <w:sz w:val="24"/>
          <w:highlight w:val="none"/>
        </w:rPr>
        <w:t>文件作无效处理。</w:t>
      </w:r>
    </w:p>
    <w:p w14:paraId="2DA11AE7">
      <w:pPr>
        <w:spacing w:line="360" w:lineRule="auto"/>
        <w:ind w:left="-10" w:leftChars="-5" w:right="2" w:rightChars="1" w:firstLine="480" w:firstLineChars="200"/>
        <w:rPr>
          <w:bCs/>
          <w:color w:val="auto"/>
          <w:sz w:val="24"/>
          <w:highlight w:val="none"/>
        </w:rPr>
      </w:pPr>
      <w:r>
        <w:rPr>
          <w:bCs/>
          <w:color w:val="auto"/>
          <w:sz w:val="24"/>
          <w:highlight w:val="none"/>
        </w:rPr>
        <w:t>4</w:t>
      </w:r>
      <w:r>
        <w:rPr>
          <w:rFonts w:hint="eastAsia" w:ascii="宋体" w:hAnsi="宋体" w:cs="宋体"/>
          <w:color w:val="auto"/>
          <w:sz w:val="24"/>
          <w:highlight w:val="none"/>
        </w:rPr>
        <w:t>.</w:t>
      </w:r>
      <w:r>
        <w:rPr>
          <w:bCs/>
          <w:color w:val="auto"/>
          <w:sz w:val="24"/>
          <w:highlight w:val="none"/>
        </w:rPr>
        <w:t>如</w:t>
      </w:r>
      <w:r>
        <w:rPr>
          <w:rFonts w:hint="eastAsia"/>
          <w:bCs/>
          <w:color w:val="auto"/>
          <w:sz w:val="24"/>
          <w:highlight w:val="none"/>
        </w:rPr>
        <w:t>供应商参与</w:t>
      </w:r>
      <w:r>
        <w:rPr>
          <w:rFonts w:hint="eastAsia" w:ascii="宋体" w:hAnsi="宋体" w:cs="宋体"/>
          <w:color w:val="auto"/>
          <w:sz w:val="24"/>
          <w:highlight w:val="none"/>
          <w:lang w:bidi="ar"/>
        </w:rPr>
        <w:t>竞争性谈判提供的</w:t>
      </w:r>
      <w:r>
        <w:rPr>
          <w:bCs/>
          <w:color w:val="auto"/>
          <w:sz w:val="24"/>
          <w:highlight w:val="none"/>
        </w:rPr>
        <w:t>产品存在侵犯他人的知识产权或者专利成果行为的，由</w:t>
      </w:r>
      <w:r>
        <w:rPr>
          <w:rFonts w:hint="eastAsia"/>
          <w:bCs/>
          <w:color w:val="auto"/>
          <w:sz w:val="24"/>
          <w:highlight w:val="none"/>
        </w:rPr>
        <w:t>供应商</w:t>
      </w:r>
      <w:r>
        <w:rPr>
          <w:bCs/>
          <w:color w:val="auto"/>
          <w:sz w:val="24"/>
          <w:highlight w:val="none"/>
        </w:rPr>
        <w:t>自行承担相应法律责任。</w:t>
      </w:r>
    </w:p>
    <w:p w14:paraId="49AE2CE9">
      <w:pPr>
        <w:spacing w:line="360" w:lineRule="auto"/>
        <w:ind w:left="-10" w:leftChars="-5" w:right="2" w:rightChars="1" w:firstLine="480" w:firstLineChars="200"/>
        <w:rPr>
          <w:rFonts w:hint="eastAsia"/>
          <w:bCs/>
          <w:color w:val="auto"/>
          <w:sz w:val="24"/>
          <w:highlight w:val="none"/>
        </w:rPr>
      </w:pPr>
      <w:r>
        <w:rPr>
          <w:bCs/>
          <w:color w:val="auto"/>
          <w:sz w:val="24"/>
          <w:highlight w:val="none"/>
        </w:rPr>
        <w:t>5</w:t>
      </w:r>
      <w:r>
        <w:rPr>
          <w:rFonts w:hint="eastAsia" w:ascii="宋体" w:hAnsi="宋体" w:cs="宋体"/>
          <w:color w:val="auto"/>
          <w:sz w:val="24"/>
          <w:highlight w:val="none"/>
        </w:rPr>
        <w:t>.“</w:t>
      </w:r>
      <w:r>
        <w:rPr>
          <w:bCs/>
          <w:color w:val="auto"/>
          <w:sz w:val="24"/>
          <w:highlight w:val="none"/>
        </w:rPr>
        <w:t>实质性要求</w:t>
      </w:r>
      <w:r>
        <w:rPr>
          <w:rFonts w:hint="eastAsia" w:ascii="宋体" w:hAnsi="宋体" w:cs="宋体"/>
          <w:color w:val="auto"/>
          <w:sz w:val="24"/>
          <w:highlight w:val="none"/>
        </w:rPr>
        <w:t>”</w:t>
      </w:r>
      <w:r>
        <w:rPr>
          <w:bCs/>
          <w:color w:val="auto"/>
          <w:sz w:val="24"/>
          <w:highlight w:val="none"/>
        </w:rPr>
        <w:t>是指</w:t>
      </w:r>
      <w:r>
        <w:rPr>
          <w:rFonts w:hint="eastAsia"/>
          <w:bCs/>
          <w:color w:val="auto"/>
          <w:sz w:val="24"/>
          <w:highlight w:val="none"/>
        </w:rPr>
        <w:t>采购文件</w:t>
      </w:r>
      <w:r>
        <w:rPr>
          <w:bCs/>
          <w:color w:val="auto"/>
          <w:sz w:val="24"/>
          <w:highlight w:val="none"/>
        </w:rPr>
        <w:t>中已经指明不满足则</w:t>
      </w:r>
      <w:r>
        <w:rPr>
          <w:rFonts w:hint="eastAsia" w:ascii="宋体" w:hAnsi="宋体" w:cs="宋体"/>
          <w:color w:val="auto"/>
          <w:sz w:val="24"/>
          <w:highlight w:val="none"/>
          <w:lang w:bidi="ar"/>
        </w:rPr>
        <w:t>竞争性谈判</w:t>
      </w:r>
      <w:r>
        <w:rPr>
          <w:bCs/>
          <w:color w:val="auto"/>
          <w:sz w:val="24"/>
          <w:highlight w:val="none"/>
        </w:rPr>
        <w:t>无效的条款，或者不</w:t>
      </w:r>
      <w:r>
        <w:rPr>
          <w:rFonts w:hint="eastAsia"/>
          <w:bCs/>
          <w:color w:val="auto"/>
          <w:sz w:val="24"/>
          <w:highlight w:val="none"/>
        </w:rPr>
        <w:t>容许</w:t>
      </w:r>
      <w:r>
        <w:rPr>
          <w:bCs/>
          <w:color w:val="auto"/>
          <w:sz w:val="24"/>
          <w:highlight w:val="none"/>
        </w:rPr>
        <w:t>负偏离的条款，或者采购需求中带</w:t>
      </w:r>
      <w:r>
        <w:rPr>
          <w:rFonts w:hint="eastAsia"/>
          <w:bCs/>
          <w:color w:val="auto"/>
          <w:sz w:val="24"/>
          <w:highlight w:val="none"/>
        </w:rPr>
        <w:t>“▲”</w:t>
      </w:r>
      <w:r>
        <w:rPr>
          <w:bCs/>
          <w:color w:val="auto"/>
          <w:sz w:val="24"/>
          <w:highlight w:val="none"/>
        </w:rPr>
        <w:t>的条款。</w:t>
      </w:r>
      <w:r>
        <w:rPr>
          <w:rFonts w:hint="eastAsia"/>
          <w:bCs/>
          <w:color w:val="auto"/>
          <w:sz w:val="24"/>
          <w:highlight w:val="none"/>
        </w:rPr>
        <w:t>未标注“</w:t>
      </w:r>
      <w:r>
        <w:rPr>
          <w:rFonts w:hint="eastAsia" w:ascii="Segoe UI Symbol" w:hAnsi="Segoe UI Symbol" w:cs="Segoe UI Symbol"/>
          <w:bCs/>
          <w:color w:val="auto"/>
          <w:sz w:val="24"/>
          <w:highlight w:val="none"/>
        </w:rPr>
        <w:t>▲</w:t>
      </w:r>
      <w:r>
        <w:rPr>
          <w:rFonts w:hint="eastAsia"/>
          <w:bCs/>
          <w:color w:val="auto"/>
          <w:sz w:val="24"/>
          <w:highlight w:val="none"/>
        </w:rPr>
        <w:t>”号的非实质性条款要求可允许</w:t>
      </w:r>
      <w:r>
        <w:rPr>
          <w:rFonts w:hint="eastAsia"/>
          <w:bCs/>
          <w:color w:val="auto"/>
          <w:sz w:val="24"/>
          <w:highlight w:val="none"/>
          <w:lang w:val="en-US" w:eastAsia="zh-CN"/>
        </w:rPr>
        <w:t>0</w:t>
      </w:r>
      <w:r>
        <w:rPr>
          <w:rFonts w:hint="eastAsia"/>
          <w:bCs/>
          <w:color w:val="auto"/>
          <w:sz w:val="24"/>
          <w:highlight w:val="none"/>
        </w:rPr>
        <w:t>项负偏离，</w:t>
      </w:r>
      <w:r>
        <w:rPr>
          <w:rFonts w:hint="eastAsia"/>
          <w:bCs/>
          <w:color w:val="auto"/>
          <w:sz w:val="24"/>
          <w:highlight w:val="none"/>
          <w:lang w:val="en-US" w:eastAsia="zh-CN"/>
        </w:rPr>
        <w:t>1</w:t>
      </w:r>
      <w:r>
        <w:rPr>
          <w:rFonts w:hint="eastAsia"/>
          <w:bCs/>
          <w:color w:val="auto"/>
          <w:sz w:val="24"/>
          <w:highlight w:val="none"/>
        </w:rPr>
        <w:t>项以上（含</w:t>
      </w:r>
      <w:r>
        <w:rPr>
          <w:rFonts w:hint="eastAsia"/>
          <w:bCs/>
          <w:color w:val="auto"/>
          <w:sz w:val="24"/>
          <w:highlight w:val="none"/>
          <w:lang w:val="en-US" w:eastAsia="zh-CN"/>
        </w:rPr>
        <w:t>1</w:t>
      </w:r>
      <w:r>
        <w:rPr>
          <w:rFonts w:hint="eastAsia"/>
          <w:bCs/>
          <w:color w:val="auto"/>
          <w:sz w:val="24"/>
          <w:highlight w:val="none"/>
        </w:rPr>
        <w:t>项）负偏离的</w:t>
      </w:r>
      <w:r>
        <w:rPr>
          <w:rFonts w:hint="eastAsia" w:ascii="宋体" w:hAnsi="宋体" w:cs="宋体"/>
          <w:color w:val="auto"/>
          <w:sz w:val="24"/>
          <w:highlight w:val="none"/>
          <w:lang w:bidi="ar"/>
        </w:rPr>
        <w:t>竞争性谈判</w:t>
      </w:r>
      <w:r>
        <w:rPr>
          <w:rFonts w:hint="eastAsia"/>
          <w:bCs/>
          <w:color w:val="auto"/>
          <w:sz w:val="24"/>
          <w:highlight w:val="none"/>
        </w:rPr>
        <w:t>无效。</w:t>
      </w:r>
    </w:p>
    <w:tbl>
      <w:tblPr>
        <w:tblStyle w:val="27"/>
        <w:tblpPr w:leftFromText="180" w:rightFromText="180" w:vertAnchor="text" w:horzAnchor="page" w:tblpX="1062" w:tblpY="491"/>
        <w:tblOverlap w:val="never"/>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78"/>
        <w:gridCol w:w="613"/>
        <w:gridCol w:w="650"/>
        <w:gridCol w:w="7197"/>
      </w:tblGrid>
      <w:tr w14:paraId="008D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trPr>
        <w:tc>
          <w:tcPr>
            <w:tcW w:w="416" w:type="dxa"/>
            <w:vAlign w:val="center"/>
          </w:tcPr>
          <w:p w14:paraId="67CCA222">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78" w:type="dxa"/>
            <w:vAlign w:val="center"/>
          </w:tcPr>
          <w:p w14:paraId="7E4CA251">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w:t>
            </w:r>
          </w:p>
          <w:p w14:paraId="7DBFBE5E">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613" w:type="dxa"/>
            <w:vAlign w:val="center"/>
          </w:tcPr>
          <w:p w14:paraId="10A59DB7">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650" w:type="dxa"/>
            <w:vAlign w:val="center"/>
          </w:tcPr>
          <w:p w14:paraId="43787959">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7197" w:type="dxa"/>
            <w:vAlign w:val="center"/>
          </w:tcPr>
          <w:p w14:paraId="24BBBE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技术参数及性能（配置）要求</w:t>
            </w:r>
          </w:p>
        </w:tc>
      </w:tr>
      <w:tr w14:paraId="3189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16" w:type="dxa"/>
            <w:vAlign w:val="center"/>
          </w:tcPr>
          <w:p w14:paraId="14530E20">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8" w:type="dxa"/>
            <w:vAlign w:val="center"/>
          </w:tcPr>
          <w:p w14:paraId="18577067">
            <w:pPr>
              <w:keepNext w:val="0"/>
              <w:keepLines w:val="0"/>
              <w:pageBreakBefore w:val="0"/>
              <w:kinsoku/>
              <w:wordWrap/>
              <w:overflowPunct/>
              <w:topLinePunct w:val="0"/>
              <w:autoSpaceDE/>
              <w:bidi w:val="0"/>
              <w:adjustRightInd/>
              <w:snapToGrid/>
              <w:spacing w:line="40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应急监测车</w:t>
            </w:r>
          </w:p>
        </w:tc>
        <w:tc>
          <w:tcPr>
            <w:tcW w:w="613" w:type="dxa"/>
            <w:vAlign w:val="center"/>
          </w:tcPr>
          <w:p w14:paraId="552625A7">
            <w:pPr>
              <w:keepNext w:val="0"/>
              <w:keepLines w:val="0"/>
              <w:pageBreakBefore w:val="0"/>
              <w:kinsoku/>
              <w:wordWrap/>
              <w:overflowPunct/>
              <w:topLinePunct w:val="0"/>
              <w:autoSpaceDE/>
              <w:bidi w:val="0"/>
              <w:adjustRightInd/>
              <w:snapToGrid/>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50" w:type="dxa"/>
            <w:vAlign w:val="center"/>
          </w:tcPr>
          <w:p w14:paraId="433F96F4">
            <w:pPr>
              <w:keepNext w:val="0"/>
              <w:keepLines w:val="0"/>
              <w:pageBreakBefore w:val="0"/>
              <w:kinsoku/>
              <w:wordWrap/>
              <w:overflowPunct/>
              <w:topLinePunct w:val="0"/>
              <w:autoSpaceDE/>
              <w:bidi w:val="0"/>
              <w:adjustRightInd/>
              <w:snapToGrid/>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辆</w:t>
            </w:r>
          </w:p>
        </w:tc>
        <w:tc>
          <w:tcPr>
            <w:tcW w:w="7197" w:type="dxa"/>
            <w:vAlign w:val="center"/>
          </w:tcPr>
          <w:p w14:paraId="3C92EC4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color w:val="auto"/>
                <w:sz w:val="24"/>
                <w:szCs w:val="24"/>
                <w:highlight w:val="none"/>
                <w:lang w:val="en-US" w:eastAsia="zh-CN"/>
              </w:rPr>
            </w:pPr>
            <w:r>
              <w:rPr>
                <w:rFonts w:hint="eastAsia" w:ascii="宋体" w:hAnsi="宋体" w:eastAsia="宋体" w:cs="宋体"/>
                <w:b/>
                <w:bCs/>
                <w:color w:val="auto"/>
                <w:kern w:val="2"/>
                <w:sz w:val="24"/>
                <w:szCs w:val="24"/>
                <w:lang w:val="en-US" w:eastAsia="zh-CN" w:bidi="ar-SA"/>
              </w:rPr>
              <w:t>一、</w:t>
            </w:r>
            <w:r>
              <w:rPr>
                <w:rFonts w:hint="eastAsia" w:ascii="宋体" w:hAnsi="宋体" w:cs="宋体"/>
                <w:b/>
                <w:bCs/>
                <w:color w:val="auto"/>
                <w:sz w:val="24"/>
                <w:szCs w:val="24"/>
                <w:highlight w:val="none"/>
                <w:lang w:val="en-US" w:eastAsia="zh-CN"/>
              </w:rPr>
              <w:t>车辆用途：</w:t>
            </w:r>
            <w:r>
              <w:rPr>
                <w:rFonts w:hint="eastAsia" w:ascii="宋体" w:hAnsi="宋体" w:cs="宋体"/>
                <w:color w:val="auto"/>
                <w:sz w:val="24"/>
                <w:szCs w:val="24"/>
                <w:highlight w:val="none"/>
                <w:lang w:val="en-US" w:eastAsia="zh-CN"/>
              </w:rPr>
              <w:t>用于装载集成ICP-MS等应急监测设备，监测设备尺寸</w:t>
            </w:r>
            <w:r>
              <w:rPr>
                <w:rFonts w:hint="eastAsia" w:ascii="宋体" w:hAnsi="宋体" w:eastAsia="宋体" w:cs="宋体"/>
                <w:bCs/>
                <w:color w:val="000000"/>
                <w:sz w:val="24"/>
                <w:highlight w:val="none"/>
              </w:rPr>
              <w:t>长</w:t>
            </w:r>
            <w:r>
              <w:rPr>
                <w:rFonts w:hint="eastAsia" w:ascii="宋体" w:hAnsi="宋体" w:cs="宋体"/>
                <w:bCs/>
                <w:color w:val="000000"/>
                <w:sz w:val="24"/>
                <w:highlight w:val="none"/>
                <w:lang w:eastAsia="zh-CN"/>
              </w:rPr>
              <w:t>约</w:t>
            </w:r>
            <w:r>
              <w:rPr>
                <w:rFonts w:hint="eastAsia" w:ascii="宋体" w:hAnsi="宋体" w:eastAsia="宋体" w:cs="宋体"/>
                <w:bCs/>
                <w:color w:val="000000"/>
                <w:sz w:val="24"/>
                <w:highlight w:val="none"/>
              </w:rPr>
              <w:t>4</w:t>
            </w:r>
            <w:r>
              <w:rPr>
                <w:rFonts w:hint="eastAsia" w:ascii="宋体" w:hAnsi="宋体" w:eastAsia="宋体" w:cs="宋体"/>
                <w:bCs/>
                <w:color w:val="000000"/>
                <w:sz w:val="24"/>
                <w:highlight w:val="none"/>
                <w:lang w:val="en-US" w:eastAsia="zh-CN"/>
              </w:rPr>
              <w:t>6</w:t>
            </w:r>
            <w:r>
              <w:rPr>
                <w:rFonts w:hint="eastAsia" w:ascii="宋体" w:hAnsi="宋体" w:eastAsia="宋体" w:cs="宋体"/>
                <w:bCs/>
                <w:color w:val="000000"/>
                <w:sz w:val="24"/>
                <w:highlight w:val="none"/>
              </w:rPr>
              <w:t>00，宽</w:t>
            </w:r>
            <w:r>
              <w:rPr>
                <w:rFonts w:hint="eastAsia" w:ascii="宋体" w:hAnsi="宋体" w:cs="宋体"/>
                <w:bCs/>
                <w:color w:val="000000"/>
                <w:sz w:val="24"/>
                <w:highlight w:val="none"/>
                <w:lang w:eastAsia="zh-CN"/>
              </w:rPr>
              <w:t>约</w:t>
            </w:r>
            <w:r>
              <w:rPr>
                <w:rFonts w:hint="eastAsia" w:ascii="宋体" w:hAnsi="宋体" w:eastAsia="宋体" w:cs="宋体"/>
                <w:bCs/>
                <w:color w:val="000000"/>
                <w:sz w:val="24"/>
                <w:highlight w:val="none"/>
              </w:rPr>
              <w:t>2100，高度</w:t>
            </w:r>
            <w:r>
              <w:rPr>
                <w:rFonts w:hint="eastAsia" w:ascii="宋体" w:hAnsi="宋体" w:cs="宋体"/>
                <w:bCs/>
                <w:color w:val="000000"/>
                <w:sz w:val="24"/>
                <w:highlight w:val="none"/>
                <w:lang w:eastAsia="zh-CN"/>
              </w:rPr>
              <w:t>约</w:t>
            </w:r>
            <w:r>
              <w:rPr>
                <w:rFonts w:hint="eastAsia" w:ascii="宋体" w:hAnsi="宋体" w:eastAsia="宋体" w:cs="宋体"/>
                <w:bCs/>
                <w:color w:val="000000"/>
                <w:sz w:val="24"/>
                <w:highlight w:val="none"/>
                <w:lang w:val="en-US" w:eastAsia="zh-CN"/>
              </w:rPr>
              <w:t>20</w:t>
            </w:r>
            <w:r>
              <w:rPr>
                <w:rFonts w:hint="eastAsia" w:ascii="宋体" w:hAnsi="宋体" w:eastAsia="宋体" w:cs="宋体"/>
                <w:bCs/>
                <w:color w:val="000000"/>
                <w:sz w:val="24"/>
                <w:highlight w:val="none"/>
              </w:rPr>
              <w:t>00mm</w:t>
            </w:r>
            <w:r>
              <w:rPr>
                <w:rFonts w:hint="eastAsia" w:ascii="宋体" w:hAnsi="宋体" w:cs="宋体"/>
                <w:color w:val="auto"/>
                <w:sz w:val="24"/>
                <w:szCs w:val="24"/>
                <w:highlight w:val="none"/>
                <w:lang w:val="en-US" w:eastAsia="zh-CN"/>
              </w:rPr>
              <w:t>。</w:t>
            </w:r>
          </w:p>
          <w:p w14:paraId="2BF3B3B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二、技术参数要求</w:t>
            </w:r>
          </w:p>
          <w:p w14:paraId="60181B62">
            <w:pPr>
              <w:pStyle w:val="9"/>
              <w:spacing w:line="400" w:lineRule="exact"/>
              <w:rPr>
                <w:rFonts w:hint="eastAsia" w:ascii="宋体" w:hAnsi="宋体" w:eastAsia="宋体" w:cs="宋体"/>
                <w:b/>
                <w:color w:val="000000"/>
                <w:sz w:val="24"/>
              </w:rPr>
            </w:pPr>
            <w:r>
              <w:rPr>
                <w:rFonts w:hint="eastAsia" w:ascii="宋体" w:hAnsi="宋体" w:eastAsia="宋体" w:cs="宋体"/>
                <w:b/>
                <w:color w:val="000000"/>
                <w:sz w:val="24"/>
              </w:rPr>
              <w:t>1.整车参数：</w:t>
            </w:r>
          </w:p>
          <w:p w14:paraId="07238912">
            <w:pPr>
              <w:pStyle w:val="9"/>
              <w:spacing w:line="400" w:lineRule="exact"/>
              <w:rPr>
                <w:rFonts w:hint="eastAsia" w:ascii="宋体" w:hAnsi="宋体" w:eastAsia="宋体" w:cs="宋体"/>
                <w:bCs/>
                <w:color w:val="000000"/>
                <w:sz w:val="24"/>
              </w:rPr>
            </w:pPr>
            <w:r>
              <w:rPr>
                <w:rFonts w:hint="eastAsia" w:ascii="宋体" w:hAnsi="宋体" w:eastAsia="宋体" w:cs="宋体"/>
                <w:bCs/>
                <w:color w:val="000000"/>
                <w:sz w:val="24"/>
              </w:rPr>
              <w:t>1.1外形尺寸：长≥7</w:t>
            </w:r>
            <w:r>
              <w:rPr>
                <w:rFonts w:hint="eastAsia" w:ascii="宋体" w:hAnsi="宋体" w:eastAsia="宋体" w:cs="宋体"/>
                <w:bCs/>
                <w:color w:val="000000"/>
                <w:sz w:val="24"/>
                <w:lang w:val="en-US" w:eastAsia="zh-CN"/>
              </w:rPr>
              <w:t>1</w:t>
            </w:r>
            <w:r>
              <w:rPr>
                <w:rFonts w:hint="eastAsia" w:ascii="宋体" w:hAnsi="宋体" w:eastAsia="宋体" w:cs="宋体"/>
                <w:bCs/>
                <w:color w:val="000000"/>
                <w:sz w:val="24"/>
              </w:rPr>
              <w:t>00mm，宽≥22</w:t>
            </w:r>
            <w:r>
              <w:rPr>
                <w:rFonts w:hint="eastAsia" w:ascii="宋体" w:hAnsi="宋体" w:eastAsia="宋体" w:cs="宋体"/>
                <w:bCs/>
                <w:color w:val="000000"/>
                <w:sz w:val="24"/>
                <w:lang w:val="en-US" w:eastAsia="zh-CN"/>
              </w:rPr>
              <w:t>0</w:t>
            </w:r>
            <w:r>
              <w:rPr>
                <w:rFonts w:hint="eastAsia" w:ascii="宋体" w:hAnsi="宋体" w:eastAsia="宋体" w:cs="宋体"/>
                <w:bCs/>
                <w:color w:val="000000"/>
                <w:sz w:val="24"/>
              </w:rPr>
              <w:t>0mm，高≥3</w:t>
            </w:r>
            <w:r>
              <w:rPr>
                <w:rFonts w:hint="eastAsia" w:ascii="宋体" w:hAnsi="宋体" w:eastAsia="宋体" w:cs="宋体"/>
                <w:bCs/>
                <w:color w:val="000000"/>
                <w:sz w:val="24"/>
                <w:lang w:val="en-US" w:eastAsia="zh-CN"/>
              </w:rPr>
              <w:t>2</w:t>
            </w:r>
            <w:r>
              <w:rPr>
                <w:rFonts w:hint="eastAsia" w:ascii="宋体" w:hAnsi="宋体" w:eastAsia="宋体" w:cs="宋体"/>
                <w:bCs/>
                <w:color w:val="000000"/>
                <w:sz w:val="24"/>
              </w:rPr>
              <w:t>00mm；</w:t>
            </w:r>
          </w:p>
          <w:p w14:paraId="559F79AC">
            <w:pPr>
              <w:pStyle w:val="9"/>
              <w:spacing w:line="400" w:lineRule="exact"/>
              <w:rPr>
                <w:rFonts w:hint="eastAsia" w:ascii="宋体" w:hAnsi="宋体" w:eastAsia="宋体" w:cs="宋体"/>
                <w:bCs/>
                <w:color w:val="000000"/>
                <w:sz w:val="24"/>
              </w:rPr>
            </w:pPr>
            <w:r>
              <w:rPr>
                <w:rFonts w:hint="eastAsia" w:ascii="宋体" w:hAnsi="宋体" w:eastAsia="宋体" w:cs="宋体"/>
                <w:bCs/>
                <w:color w:val="000000"/>
                <w:sz w:val="24"/>
              </w:rPr>
              <w:t>▲1.2</w:t>
            </w:r>
            <w:r>
              <w:rPr>
                <w:rFonts w:hint="eastAsia" w:ascii="宋体" w:hAnsi="宋体" w:eastAsia="宋体" w:cs="宋体"/>
                <w:bCs/>
                <w:color w:val="000000"/>
                <w:sz w:val="24"/>
                <w:highlight w:val="none"/>
              </w:rPr>
              <w:t>舱体内部尺寸</w:t>
            </w:r>
            <w:r>
              <w:rPr>
                <w:rFonts w:hint="eastAsia" w:ascii="宋体" w:hAnsi="宋体" w:eastAsia="宋体" w:cs="宋体"/>
                <w:bCs/>
                <w:color w:val="000000"/>
                <w:sz w:val="24"/>
              </w:rPr>
              <w:t>：长≥4</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00，宽≥2100，高度≥</w:t>
            </w:r>
            <w:r>
              <w:rPr>
                <w:rFonts w:hint="eastAsia" w:ascii="宋体" w:hAnsi="宋体" w:eastAsia="宋体" w:cs="宋体"/>
                <w:bCs/>
                <w:color w:val="000000"/>
                <w:sz w:val="24"/>
                <w:lang w:val="en-US" w:eastAsia="zh-CN"/>
              </w:rPr>
              <w:t>20</w:t>
            </w:r>
            <w:r>
              <w:rPr>
                <w:rFonts w:hint="eastAsia" w:ascii="宋体" w:hAnsi="宋体" w:eastAsia="宋体" w:cs="宋体"/>
                <w:bCs/>
                <w:color w:val="000000"/>
                <w:sz w:val="24"/>
              </w:rPr>
              <w:t>00mm；</w:t>
            </w:r>
            <w:r>
              <w:rPr>
                <w:rFonts w:hint="eastAsia" w:ascii="宋体" w:hAnsi="宋体" w:eastAsia="宋体" w:cs="宋体"/>
                <w:bCs/>
                <w:color w:val="auto"/>
                <w:sz w:val="24"/>
              </w:rPr>
              <w:t>【</w:t>
            </w:r>
            <w:r>
              <w:rPr>
                <w:rFonts w:hint="eastAsia" w:ascii="宋体" w:hAnsi="宋体" w:cs="宋体"/>
                <w:bCs/>
                <w:color w:val="auto"/>
                <w:sz w:val="24"/>
                <w:lang w:eastAsia="zh-CN"/>
              </w:rPr>
              <w:t>供应商须</w:t>
            </w:r>
            <w:r>
              <w:rPr>
                <w:rFonts w:hint="eastAsia" w:ascii="宋体" w:hAnsi="宋体" w:eastAsia="宋体" w:cs="宋体"/>
                <w:bCs/>
                <w:strike w:val="0"/>
                <w:dstrike w:val="0"/>
                <w:color w:val="auto"/>
                <w:sz w:val="24"/>
                <w:lang w:eastAsia="zh-CN"/>
              </w:rPr>
              <w:t>在响应文件中</w:t>
            </w:r>
            <w:r>
              <w:rPr>
                <w:rFonts w:hint="eastAsia" w:ascii="宋体" w:hAnsi="宋体" w:eastAsia="宋体" w:cs="宋体"/>
                <w:bCs/>
                <w:color w:val="auto"/>
                <w:sz w:val="24"/>
              </w:rPr>
              <w:t>提供</w:t>
            </w:r>
            <w:r>
              <w:rPr>
                <w:rFonts w:hint="eastAsia" w:ascii="宋体" w:hAnsi="宋体" w:eastAsia="宋体" w:cs="宋体"/>
                <w:bCs/>
                <w:strike w:val="0"/>
                <w:dstrike w:val="0"/>
                <w:color w:val="auto"/>
                <w:sz w:val="24"/>
                <w:highlight w:val="none"/>
                <w:lang w:val="en-US" w:eastAsia="zh-CN"/>
              </w:rPr>
              <w:t>适用于监测设备安</w:t>
            </w:r>
            <w:r>
              <w:rPr>
                <w:rFonts w:hint="eastAsia" w:ascii="宋体" w:hAnsi="宋体" w:cs="宋体"/>
                <w:bCs/>
                <w:strike w:val="0"/>
                <w:dstrike w:val="0"/>
                <w:color w:val="auto"/>
                <w:sz w:val="24"/>
                <w:highlight w:val="none"/>
                <w:lang w:val="en-US" w:eastAsia="zh-CN"/>
              </w:rPr>
              <w:t>装</w:t>
            </w:r>
            <w:r>
              <w:rPr>
                <w:rFonts w:hint="eastAsia" w:ascii="宋体" w:hAnsi="宋体" w:eastAsia="宋体" w:cs="宋体"/>
                <w:bCs/>
                <w:strike w:val="0"/>
                <w:dstrike w:val="0"/>
                <w:color w:val="auto"/>
                <w:sz w:val="24"/>
                <w:highlight w:val="none"/>
                <w:lang w:val="en-US" w:eastAsia="zh-CN"/>
              </w:rPr>
              <w:t>的</w:t>
            </w:r>
            <w:r>
              <w:rPr>
                <w:rFonts w:hint="eastAsia" w:ascii="宋体" w:hAnsi="宋体" w:eastAsia="宋体" w:cs="宋体"/>
                <w:bCs/>
                <w:color w:val="auto"/>
                <w:sz w:val="24"/>
                <w:highlight w:val="none"/>
              </w:rPr>
              <w:t>舱体</w:t>
            </w:r>
            <w:r>
              <w:rPr>
                <w:rFonts w:hint="eastAsia" w:ascii="宋体" w:hAnsi="宋体" w:eastAsia="宋体" w:cs="宋体"/>
                <w:bCs/>
                <w:color w:val="auto"/>
                <w:sz w:val="24"/>
                <w:highlight w:val="none"/>
                <w:lang w:val="en-US" w:eastAsia="zh-CN"/>
              </w:rPr>
              <w:t>区域内部结构尺寸和</w:t>
            </w:r>
            <w:r>
              <w:rPr>
                <w:rFonts w:hint="eastAsia" w:ascii="宋体" w:hAnsi="宋体" w:eastAsia="宋体" w:cs="宋体"/>
                <w:bCs/>
                <w:color w:val="auto"/>
                <w:sz w:val="24"/>
              </w:rPr>
              <w:t>照片佐证，否则</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无效】</w:t>
            </w:r>
          </w:p>
          <w:p w14:paraId="64371A39">
            <w:pPr>
              <w:pStyle w:val="9"/>
              <w:spacing w:line="400" w:lineRule="exact"/>
              <w:rPr>
                <w:rFonts w:hint="eastAsia" w:ascii="宋体" w:hAnsi="宋体" w:eastAsia="宋体" w:cs="宋体"/>
                <w:bCs/>
                <w:color w:val="000000"/>
                <w:sz w:val="24"/>
              </w:rPr>
            </w:pPr>
            <w:r>
              <w:rPr>
                <w:rFonts w:hint="eastAsia" w:ascii="宋体" w:hAnsi="宋体" w:eastAsia="宋体" w:cs="宋体"/>
                <w:bCs/>
                <w:color w:val="000000"/>
                <w:sz w:val="24"/>
              </w:rPr>
              <w:t>1.2轴距：≥3815mm；</w:t>
            </w:r>
          </w:p>
          <w:p w14:paraId="62FB30EB">
            <w:pPr>
              <w:pStyle w:val="9"/>
              <w:spacing w:line="400" w:lineRule="exact"/>
              <w:rPr>
                <w:rFonts w:hint="eastAsia" w:ascii="宋体" w:hAnsi="宋体" w:eastAsia="宋体" w:cs="宋体"/>
                <w:bCs/>
                <w:color w:val="000000"/>
                <w:sz w:val="24"/>
              </w:rPr>
            </w:pPr>
            <w:r>
              <w:rPr>
                <w:rFonts w:hint="eastAsia" w:ascii="宋体" w:hAnsi="宋体" w:eastAsia="宋体" w:cs="宋体"/>
                <w:bCs/>
                <w:color w:val="000000"/>
                <w:sz w:val="24"/>
              </w:rPr>
              <w:t>1.3前悬：≤1155mm，后悬：≤2408mm；</w:t>
            </w:r>
          </w:p>
          <w:p w14:paraId="06D6ED54">
            <w:pPr>
              <w:pStyle w:val="9"/>
              <w:spacing w:line="400" w:lineRule="exact"/>
              <w:rPr>
                <w:rFonts w:hint="eastAsia" w:ascii="宋体" w:hAnsi="宋体" w:eastAsia="宋体" w:cs="宋体"/>
                <w:bCs/>
                <w:color w:val="000000"/>
                <w:sz w:val="24"/>
              </w:rPr>
            </w:pPr>
            <w:r>
              <w:rPr>
                <w:rFonts w:hint="eastAsia" w:ascii="宋体" w:hAnsi="宋体" w:eastAsia="宋体" w:cs="宋体"/>
                <w:bCs/>
                <w:color w:val="000000"/>
                <w:sz w:val="24"/>
              </w:rPr>
              <w:t>1.4整备质量：≥5700kg；</w:t>
            </w:r>
          </w:p>
          <w:p w14:paraId="55685294">
            <w:pPr>
              <w:pStyle w:val="9"/>
              <w:spacing w:line="400" w:lineRule="exact"/>
              <w:rPr>
                <w:rFonts w:hint="eastAsia" w:ascii="宋体" w:hAnsi="宋体" w:eastAsia="宋体" w:cs="宋体"/>
                <w:bCs/>
                <w:color w:val="000000"/>
                <w:sz w:val="24"/>
              </w:rPr>
            </w:pPr>
            <w:r>
              <w:rPr>
                <w:rFonts w:hint="eastAsia" w:ascii="宋体" w:hAnsi="宋体" w:eastAsia="宋体" w:cs="宋体"/>
                <w:bCs/>
                <w:color w:val="000000"/>
                <w:sz w:val="24"/>
              </w:rPr>
              <w:t>1.5总质量：≥5900kg；</w:t>
            </w:r>
          </w:p>
          <w:p w14:paraId="2BB8EF92">
            <w:pPr>
              <w:pStyle w:val="9"/>
              <w:spacing w:line="400" w:lineRule="exact"/>
              <w:rPr>
                <w:rFonts w:hint="eastAsia" w:ascii="宋体" w:hAnsi="宋体" w:eastAsia="宋体" w:cs="宋体"/>
                <w:bCs/>
                <w:color w:val="000000"/>
                <w:sz w:val="24"/>
              </w:rPr>
            </w:pPr>
            <w:r>
              <w:rPr>
                <w:rFonts w:hint="eastAsia" w:ascii="宋体" w:hAnsi="宋体" w:eastAsia="宋体" w:cs="宋体"/>
                <w:bCs/>
                <w:color w:val="000000"/>
                <w:sz w:val="24"/>
              </w:rPr>
              <w:t>1.6舱体结构：采用方舱结构（一体式成形）；</w:t>
            </w:r>
          </w:p>
          <w:p w14:paraId="08359A3C">
            <w:pPr>
              <w:pStyle w:val="9"/>
              <w:spacing w:line="400" w:lineRule="exact"/>
              <w:rPr>
                <w:rFonts w:hint="eastAsia" w:ascii="宋体" w:hAnsi="宋体" w:eastAsia="宋体" w:cs="宋体"/>
                <w:bCs/>
                <w:color w:val="000000"/>
                <w:sz w:val="24"/>
              </w:rPr>
            </w:pPr>
            <w:r>
              <w:rPr>
                <w:rFonts w:hint="eastAsia" w:ascii="宋体" w:hAnsi="宋体" w:eastAsia="宋体" w:cs="宋体"/>
                <w:bCs/>
                <w:color w:val="000000"/>
                <w:sz w:val="24"/>
              </w:rPr>
              <w:t>1.7保温层：采用聚氨酯（PU）或挤塑板（XPS）；</w:t>
            </w:r>
          </w:p>
          <w:p w14:paraId="2260EB88">
            <w:pPr>
              <w:pStyle w:val="9"/>
              <w:spacing w:line="400" w:lineRule="exact"/>
              <w:rPr>
                <w:rFonts w:hint="eastAsia" w:ascii="宋体" w:hAnsi="宋体" w:eastAsia="宋体" w:cs="宋体"/>
                <w:b/>
                <w:color w:val="000000"/>
                <w:sz w:val="24"/>
              </w:rPr>
            </w:pPr>
            <w:r>
              <w:rPr>
                <w:rFonts w:hint="eastAsia" w:ascii="宋体" w:hAnsi="宋体" w:eastAsia="宋体" w:cs="宋体"/>
                <w:b/>
                <w:color w:val="000000"/>
                <w:sz w:val="24"/>
              </w:rPr>
              <w:t>2.车辆底盘参数：</w:t>
            </w:r>
          </w:p>
          <w:p w14:paraId="2FCF98DD">
            <w:pPr>
              <w:pStyle w:val="9"/>
              <w:spacing w:line="400" w:lineRule="exact"/>
              <w:rPr>
                <w:rFonts w:hint="eastAsia" w:ascii="宋体" w:hAnsi="宋体" w:eastAsia="宋体" w:cs="宋体"/>
                <w:bCs/>
                <w:color w:val="000000"/>
                <w:sz w:val="24"/>
              </w:rPr>
            </w:pPr>
            <w:r>
              <w:rPr>
                <w:rFonts w:hint="eastAsia" w:ascii="宋体" w:hAnsi="宋体" w:eastAsia="宋体" w:cs="宋体"/>
                <w:bCs/>
                <w:color w:val="000000"/>
                <w:sz w:val="24"/>
              </w:rPr>
              <w:t>▲2.1底盘型号：采用正规车企</w:t>
            </w:r>
            <w:r>
              <w:rPr>
                <w:rFonts w:hint="eastAsia" w:ascii="宋体" w:hAnsi="宋体" w:eastAsia="宋体" w:cs="宋体"/>
                <w:bCs/>
                <w:color w:val="auto"/>
                <w:sz w:val="24"/>
              </w:rPr>
              <w:t>生产的车辆底盘；【</w:t>
            </w:r>
            <w:r>
              <w:rPr>
                <w:rFonts w:hint="eastAsia" w:ascii="宋体" w:hAnsi="宋体" w:cs="宋体"/>
                <w:bCs/>
                <w:color w:val="auto"/>
                <w:sz w:val="24"/>
                <w:lang w:eastAsia="zh-CN"/>
              </w:rPr>
              <w:t>供应商须</w:t>
            </w:r>
            <w:r>
              <w:rPr>
                <w:rFonts w:hint="eastAsia" w:ascii="宋体" w:hAnsi="宋体" w:eastAsia="宋体" w:cs="宋体"/>
                <w:bCs/>
                <w:strike w:val="0"/>
                <w:dstrike w:val="0"/>
                <w:color w:val="auto"/>
                <w:sz w:val="24"/>
                <w:lang w:eastAsia="zh-CN"/>
              </w:rPr>
              <w:t>在响应文件中</w:t>
            </w:r>
            <w:r>
              <w:rPr>
                <w:rFonts w:hint="eastAsia" w:ascii="宋体" w:hAnsi="宋体" w:eastAsia="宋体" w:cs="宋体"/>
                <w:bCs/>
                <w:color w:val="auto"/>
                <w:sz w:val="24"/>
              </w:rPr>
              <w:t>提供</w:t>
            </w:r>
            <w:r>
              <w:rPr>
                <w:rFonts w:hint="eastAsia" w:ascii="宋体" w:hAnsi="宋体" w:eastAsia="宋体" w:cs="宋体"/>
                <w:bCs/>
                <w:color w:val="auto"/>
                <w:sz w:val="24"/>
                <w:highlight w:val="none"/>
              </w:rPr>
              <w:t>底盘型号及</w:t>
            </w:r>
            <w:r>
              <w:rPr>
                <w:rFonts w:hint="eastAsia" w:ascii="宋体" w:hAnsi="宋体" w:eastAsia="宋体" w:cs="宋体"/>
                <w:bCs/>
                <w:color w:val="auto"/>
                <w:sz w:val="24"/>
                <w:highlight w:val="none"/>
                <w:lang w:val="en-US" w:eastAsia="zh-CN"/>
              </w:rPr>
              <w:t>工信部公告发</w:t>
            </w:r>
            <w:r>
              <w:rPr>
                <w:rFonts w:hint="eastAsia" w:ascii="宋体" w:hAnsi="宋体" w:cs="宋体"/>
                <w:bCs/>
                <w:color w:val="auto"/>
                <w:sz w:val="24"/>
                <w:highlight w:val="none"/>
                <w:lang w:val="en-US" w:eastAsia="zh-CN"/>
              </w:rPr>
              <w:t>布</w:t>
            </w:r>
            <w:r>
              <w:rPr>
                <w:rFonts w:hint="eastAsia" w:ascii="宋体" w:hAnsi="宋体" w:eastAsia="宋体" w:cs="宋体"/>
                <w:bCs/>
                <w:color w:val="auto"/>
                <w:sz w:val="24"/>
                <w:highlight w:val="none"/>
                <w:lang w:val="en-US" w:eastAsia="zh-CN"/>
              </w:rPr>
              <w:t>截图</w:t>
            </w:r>
            <w:r>
              <w:rPr>
                <w:rFonts w:hint="eastAsia" w:ascii="宋体" w:hAnsi="宋体" w:eastAsia="宋体" w:cs="宋体"/>
                <w:bCs/>
                <w:color w:val="auto"/>
                <w:sz w:val="24"/>
              </w:rPr>
              <w:t>，否则</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无效】</w:t>
            </w:r>
          </w:p>
          <w:p w14:paraId="63764E58">
            <w:pPr>
              <w:pStyle w:val="9"/>
              <w:spacing w:line="400" w:lineRule="exact"/>
              <w:rPr>
                <w:rFonts w:hint="eastAsia" w:ascii="宋体" w:hAnsi="宋体" w:eastAsia="宋体" w:cs="宋体"/>
                <w:bCs/>
                <w:color w:val="000000"/>
                <w:sz w:val="24"/>
              </w:rPr>
            </w:pPr>
            <w:r>
              <w:rPr>
                <w:rFonts w:hint="eastAsia" w:ascii="宋体" w:hAnsi="宋体" w:eastAsia="宋体" w:cs="宋体"/>
                <w:bCs/>
                <w:color w:val="000000"/>
                <w:sz w:val="24"/>
              </w:rPr>
              <w:t>2.2发动机功率：≥112kW；</w:t>
            </w:r>
          </w:p>
          <w:p w14:paraId="416A6DD0">
            <w:pPr>
              <w:pStyle w:val="9"/>
              <w:spacing w:line="400" w:lineRule="exact"/>
              <w:rPr>
                <w:rFonts w:hint="eastAsia" w:ascii="宋体" w:hAnsi="宋体" w:eastAsia="宋体" w:cs="宋体"/>
                <w:bCs/>
                <w:color w:val="000000"/>
                <w:sz w:val="24"/>
              </w:rPr>
            </w:pPr>
            <w:r>
              <w:rPr>
                <w:rFonts w:hint="eastAsia" w:ascii="宋体" w:hAnsi="宋体" w:eastAsia="宋体" w:cs="宋体"/>
                <w:bCs/>
                <w:color w:val="000000"/>
                <w:sz w:val="24"/>
              </w:rPr>
              <w:t>2.3发动机排量：≥2.8L；</w:t>
            </w:r>
          </w:p>
          <w:p w14:paraId="68D12355">
            <w:pPr>
              <w:pStyle w:val="9"/>
              <w:spacing w:line="400" w:lineRule="exact"/>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排放标准：国VI或以上；【</w:t>
            </w:r>
            <w:r>
              <w:rPr>
                <w:rFonts w:hint="eastAsia" w:ascii="宋体" w:hAnsi="宋体" w:cs="宋体"/>
                <w:bCs/>
                <w:color w:val="auto"/>
                <w:sz w:val="24"/>
                <w:lang w:eastAsia="zh-CN"/>
              </w:rPr>
              <w:t>供应商须</w:t>
            </w:r>
            <w:r>
              <w:rPr>
                <w:rFonts w:hint="eastAsia" w:ascii="宋体" w:hAnsi="宋体" w:eastAsia="宋体" w:cs="宋体"/>
                <w:bCs/>
                <w:strike w:val="0"/>
                <w:dstrike w:val="0"/>
                <w:color w:val="auto"/>
                <w:sz w:val="24"/>
                <w:lang w:eastAsia="zh-CN"/>
              </w:rPr>
              <w:t>在响应文件中</w:t>
            </w:r>
            <w:r>
              <w:rPr>
                <w:rFonts w:hint="eastAsia" w:ascii="宋体" w:hAnsi="宋体" w:eastAsia="宋体" w:cs="宋体"/>
                <w:bCs/>
                <w:color w:val="auto"/>
                <w:sz w:val="24"/>
              </w:rPr>
              <w:t>提供</w:t>
            </w:r>
            <w:r>
              <w:rPr>
                <w:rFonts w:hint="eastAsia" w:ascii="宋体" w:hAnsi="宋体" w:eastAsia="宋体" w:cs="宋体"/>
                <w:bCs/>
                <w:color w:val="auto"/>
                <w:sz w:val="24"/>
                <w:highlight w:val="none"/>
                <w:lang w:val="en-US" w:eastAsia="zh-CN"/>
              </w:rPr>
              <w:t>执行标准证明</w:t>
            </w:r>
            <w:r>
              <w:rPr>
                <w:rFonts w:hint="eastAsia" w:ascii="宋体" w:hAnsi="宋体" w:eastAsia="宋体" w:cs="宋体"/>
                <w:bCs/>
                <w:color w:val="auto"/>
                <w:sz w:val="24"/>
              </w:rPr>
              <w:t>，否则</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无效】</w:t>
            </w:r>
          </w:p>
          <w:p w14:paraId="51A44343">
            <w:pPr>
              <w:pStyle w:val="9"/>
              <w:spacing w:line="400" w:lineRule="exact"/>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燃油种类：柴油；</w:t>
            </w:r>
          </w:p>
          <w:p w14:paraId="1042B4F8">
            <w:pPr>
              <w:pStyle w:val="9"/>
              <w:spacing w:line="400" w:lineRule="exact"/>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6</w:t>
            </w:r>
            <w:r>
              <w:rPr>
                <w:rFonts w:hint="eastAsia" w:ascii="宋体" w:hAnsi="宋体" w:eastAsia="宋体" w:cs="宋体"/>
                <w:bCs/>
                <w:color w:val="auto"/>
                <w:sz w:val="24"/>
              </w:rPr>
              <w:t>变速箱形式：≥6AT；</w:t>
            </w:r>
          </w:p>
          <w:p w14:paraId="47B1EE57">
            <w:pPr>
              <w:pStyle w:val="9"/>
              <w:spacing w:line="400" w:lineRule="exact"/>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7</w:t>
            </w:r>
            <w:r>
              <w:rPr>
                <w:rFonts w:hint="eastAsia" w:ascii="宋体" w:hAnsi="宋体" w:eastAsia="宋体" w:cs="宋体"/>
                <w:bCs/>
                <w:color w:val="auto"/>
                <w:sz w:val="24"/>
              </w:rPr>
              <w:t>接去角：≥17°，离去角：≥10°；</w:t>
            </w:r>
          </w:p>
          <w:p w14:paraId="69C57D49">
            <w:pPr>
              <w:pStyle w:val="9"/>
              <w:spacing w:line="400" w:lineRule="exact"/>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8</w:t>
            </w:r>
            <w:r>
              <w:rPr>
                <w:rFonts w:hint="eastAsia" w:ascii="宋体" w:hAnsi="宋体" w:eastAsia="宋体" w:cs="宋体"/>
                <w:bCs/>
                <w:color w:val="auto"/>
                <w:sz w:val="24"/>
              </w:rPr>
              <w:t>轮胎数：≥6个；</w:t>
            </w:r>
          </w:p>
          <w:p w14:paraId="3C84273D">
            <w:pPr>
              <w:pStyle w:val="9"/>
              <w:spacing w:line="400" w:lineRule="exact"/>
              <w:rPr>
                <w:rFonts w:hint="eastAsia" w:ascii="宋体" w:hAnsi="宋体" w:eastAsia="宋体" w:cs="宋体"/>
                <w:b/>
                <w:color w:val="auto"/>
                <w:sz w:val="24"/>
              </w:rPr>
            </w:pPr>
            <w:r>
              <w:rPr>
                <w:rFonts w:hint="eastAsia" w:ascii="宋体" w:hAnsi="宋体" w:eastAsia="宋体" w:cs="宋体"/>
                <w:b/>
                <w:color w:val="auto"/>
                <w:sz w:val="24"/>
              </w:rPr>
              <w:t>3.安全保障措施:</w:t>
            </w:r>
          </w:p>
          <w:p w14:paraId="643ED1E9">
            <w:pPr>
              <w:pStyle w:val="9"/>
              <w:spacing w:line="400" w:lineRule="exact"/>
              <w:rPr>
                <w:rFonts w:hint="eastAsia" w:ascii="宋体" w:hAnsi="宋体" w:eastAsia="宋体" w:cs="宋体"/>
                <w:bCs/>
                <w:color w:val="auto"/>
                <w:sz w:val="24"/>
              </w:rPr>
            </w:pPr>
            <w:r>
              <w:rPr>
                <w:rFonts w:hint="eastAsia" w:ascii="宋体" w:hAnsi="宋体" w:eastAsia="宋体" w:cs="宋体"/>
                <w:bCs/>
                <w:color w:val="auto"/>
                <w:sz w:val="24"/>
              </w:rPr>
              <w:t>3.1主驾驶安全气囊；</w:t>
            </w:r>
          </w:p>
          <w:p w14:paraId="15E86084">
            <w:pPr>
              <w:pStyle w:val="9"/>
              <w:spacing w:line="400" w:lineRule="exact"/>
              <w:rPr>
                <w:rFonts w:hint="eastAsia" w:ascii="宋体" w:hAnsi="宋体" w:eastAsia="宋体" w:cs="宋体"/>
                <w:bCs/>
                <w:color w:val="auto"/>
                <w:sz w:val="24"/>
              </w:rPr>
            </w:pPr>
            <w:r>
              <w:rPr>
                <w:rFonts w:hint="eastAsia" w:ascii="宋体" w:hAnsi="宋体" w:eastAsia="宋体" w:cs="宋体"/>
                <w:bCs/>
                <w:color w:val="auto"/>
                <w:sz w:val="24"/>
              </w:rPr>
              <w:t>3.2倒车雷达；</w:t>
            </w:r>
          </w:p>
          <w:p w14:paraId="1A078DB3">
            <w:pPr>
              <w:pStyle w:val="9"/>
              <w:spacing w:line="400" w:lineRule="exact"/>
              <w:rPr>
                <w:rFonts w:hint="eastAsia" w:ascii="宋体" w:hAnsi="宋体" w:eastAsia="宋体" w:cs="宋体"/>
                <w:bCs/>
                <w:color w:val="auto"/>
                <w:sz w:val="24"/>
              </w:rPr>
            </w:pPr>
            <w:r>
              <w:rPr>
                <w:rFonts w:hint="eastAsia" w:ascii="宋体" w:hAnsi="宋体" w:eastAsia="宋体" w:cs="宋体"/>
                <w:bCs/>
                <w:color w:val="auto"/>
                <w:sz w:val="24"/>
              </w:rPr>
              <w:t>3.</w:t>
            </w:r>
            <w:r>
              <w:rPr>
                <w:rFonts w:hint="eastAsia" w:ascii="宋体" w:hAnsi="宋体" w:eastAsia="宋体" w:cs="宋体"/>
                <w:bCs/>
                <w:color w:val="auto"/>
                <w:sz w:val="24"/>
                <w:lang w:val="en-US" w:eastAsia="zh-CN"/>
              </w:rPr>
              <w:t>3</w:t>
            </w:r>
            <w:r>
              <w:rPr>
                <w:rFonts w:hint="eastAsia" w:ascii="宋体" w:hAnsi="宋体" w:eastAsia="宋体" w:cs="宋体"/>
                <w:bCs/>
                <w:color w:val="auto"/>
                <w:sz w:val="24"/>
              </w:rPr>
              <w:t>防抱死系统ABS；</w:t>
            </w:r>
          </w:p>
          <w:p w14:paraId="4A4324B7">
            <w:pPr>
              <w:pStyle w:val="9"/>
              <w:spacing w:line="400" w:lineRule="exact"/>
              <w:rPr>
                <w:rFonts w:hint="eastAsia" w:ascii="宋体" w:hAnsi="宋体" w:eastAsia="宋体" w:cs="宋体"/>
                <w:bCs/>
                <w:strike w:val="0"/>
                <w:dstrike w:val="0"/>
                <w:color w:val="auto"/>
                <w:sz w:val="24"/>
              </w:rPr>
            </w:pPr>
            <w:r>
              <w:rPr>
                <w:rFonts w:hint="eastAsia" w:ascii="宋体" w:hAnsi="宋体" w:eastAsia="宋体" w:cs="宋体"/>
                <w:bCs/>
                <w:strike w:val="0"/>
                <w:dstrike w:val="0"/>
                <w:color w:val="auto"/>
                <w:sz w:val="24"/>
              </w:rPr>
              <w:t>▲</w:t>
            </w:r>
            <w:r>
              <w:rPr>
                <w:rFonts w:hint="eastAsia" w:ascii="宋体" w:hAnsi="宋体" w:eastAsia="宋体" w:cs="宋体"/>
                <w:b/>
                <w:strike w:val="0"/>
                <w:dstrike w:val="0"/>
                <w:color w:val="auto"/>
                <w:sz w:val="24"/>
              </w:rPr>
              <w:t>4</w:t>
            </w:r>
            <w:bookmarkStart w:id="23" w:name="_Toc162280045"/>
            <w:r>
              <w:rPr>
                <w:rFonts w:hint="eastAsia" w:ascii="宋体" w:hAnsi="宋体" w:eastAsia="宋体" w:cs="宋体"/>
                <w:b/>
                <w:strike w:val="0"/>
                <w:dstrike w:val="0"/>
                <w:color w:val="auto"/>
                <w:sz w:val="24"/>
              </w:rPr>
              <w:t>.其他配</w:t>
            </w:r>
            <w:r>
              <w:rPr>
                <w:rFonts w:hint="eastAsia" w:ascii="宋体" w:hAnsi="宋体" w:eastAsia="宋体" w:cs="宋体"/>
                <w:b/>
                <w:strike w:val="0"/>
                <w:dstrike w:val="0"/>
                <w:color w:val="auto"/>
                <w:sz w:val="24"/>
                <w:lang w:val="en-US" w:eastAsia="zh-CN"/>
              </w:rPr>
              <w:t>套</w:t>
            </w:r>
            <w:r>
              <w:rPr>
                <w:rFonts w:hint="eastAsia" w:ascii="宋体" w:hAnsi="宋体" w:eastAsia="宋体" w:cs="宋体"/>
                <w:b/>
                <w:strike w:val="0"/>
                <w:dstrike w:val="0"/>
                <w:color w:val="auto"/>
                <w:sz w:val="24"/>
              </w:rPr>
              <w:t>要求：</w:t>
            </w:r>
            <w:bookmarkEnd w:id="23"/>
          </w:p>
          <w:p w14:paraId="1F83EBBE">
            <w:pPr>
              <w:pStyle w:val="9"/>
              <w:spacing w:line="400" w:lineRule="exact"/>
              <w:rPr>
                <w:rFonts w:hint="eastAsia" w:ascii="宋体" w:hAnsi="宋体" w:eastAsia="宋体" w:cs="宋体"/>
                <w:bCs/>
                <w:strike w:val="0"/>
                <w:dstrike w:val="0"/>
                <w:color w:val="auto"/>
                <w:sz w:val="24"/>
                <w:highlight w:val="none"/>
              </w:rPr>
            </w:pPr>
            <w:r>
              <w:rPr>
                <w:rFonts w:hint="eastAsia" w:ascii="宋体" w:hAnsi="宋体" w:eastAsia="宋体" w:cs="宋体"/>
                <w:bCs/>
                <w:strike w:val="0"/>
                <w:dstrike w:val="0"/>
                <w:color w:val="auto"/>
                <w:sz w:val="24"/>
                <w:lang w:val="en-US" w:eastAsia="zh-CN"/>
              </w:rPr>
              <w:t>4.1</w:t>
            </w:r>
            <w:r>
              <w:rPr>
                <w:rFonts w:hint="eastAsia" w:ascii="宋体" w:hAnsi="宋体" w:eastAsia="宋体" w:cs="宋体"/>
                <w:bCs/>
                <w:strike w:val="0"/>
                <w:dstrike w:val="0"/>
                <w:color w:val="auto"/>
                <w:sz w:val="24"/>
              </w:rPr>
              <w:t>提供车辆上牌服务。车辆完成监测仪器及配套设施装配后，</w:t>
            </w:r>
            <w:r>
              <w:rPr>
                <w:rFonts w:hint="eastAsia" w:ascii="宋体" w:hAnsi="宋体" w:eastAsia="宋体" w:cs="宋体"/>
                <w:bCs/>
                <w:strike w:val="0"/>
                <w:dstrike w:val="0"/>
                <w:color w:val="auto"/>
                <w:sz w:val="24"/>
                <w:lang w:val="en-US" w:eastAsia="zh-CN"/>
              </w:rPr>
              <w:t>于2025年10月底前</w:t>
            </w:r>
            <w:r>
              <w:rPr>
                <w:rFonts w:hint="eastAsia" w:ascii="宋体" w:hAnsi="宋体" w:eastAsia="宋体" w:cs="宋体"/>
                <w:bCs/>
                <w:strike w:val="0"/>
                <w:dstrike w:val="0"/>
                <w:color w:val="auto"/>
                <w:sz w:val="24"/>
              </w:rPr>
              <w:t>负责办理</w:t>
            </w:r>
            <w:r>
              <w:rPr>
                <w:rFonts w:hint="eastAsia" w:ascii="宋体" w:hAnsi="宋体" w:cs="宋体"/>
                <w:bCs/>
                <w:strike w:val="0"/>
                <w:dstrike w:val="0"/>
                <w:color w:val="auto"/>
                <w:sz w:val="24"/>
                <w:lang w:val="en-US" w:eastAsia="zh-CN"/>
              </w:rPr>
              <w:t>来宾</w:t>
            </w:r>
            <w:r>
              <w:rPr>
                <w:rFonts w:hint="eastAsia" w:ascii="宋体" w:hAnsi="宋体" w:eastAsia="宋体" w:cs="宋体"/>
                <w:bCs/>
                <w:strike w:val="0"/>
                <w:dstrike w:val="0"/>
                <w:color w:val="auto"/>
                <w:sz w:val="24"/>
              </w:rPr>
              <w:t>市机动车牌照，</w:t>
            </w:r>
            <w:r>
              <w:rPr>
                <w:rFonts w:hint="eastAsia" w:ascii="宋体" w:hAnsi="宋体" w:eastAsia="宋体" w:cs="宋体"/>
                <w:bCs/>
                <w:strike w:val="0"/>
                <w:dstrike w:val="0"/>
                <w:color w:val="auto"/>
                <w:sz w:val="24"/>
                <w:lang w:val="en-US" w:eastAsia="zh-CN"/>
              </w:rPr>
              <w:t>并</w:t>
            </w:r>
            <w:r>
              <w:rPr>
                <w:rFonts w:hint="eastAsia" w:ascii="宋体" w:hAnsi="宋体" w:eastAsia="宋体" w:cs="宋体"/>
                <w:bCs/>
                <w:strike w:val="0"/>
                <w:dstrike w:val="0"/>
                <w:color w:val="auto"/>
                <w:sz w:val="24"/>
                <w:shd w:val="clear"/>
              </w:rPr>
              <w:t>取得机动车登记证和行驶证。办理</w:t>
            </w:r>
            <w:r>
              <w:rPr>
                <w:rFonts w:hint="eastAsia" w:ascii="宋体" w:hAnsi="宋体" w:eastAsia="宋体" w:cs="宋体"/>
                <w:bCs/>
                <w:strike w:val="0"/>
                <w:dstrike w:val="0"/>
                <w:color w:val="auto"/>
                <w:sz w:val="24"/>
              </w:rPr>
              <w:t>过程中产生的购置税、车船税</w:t>
            </w:r>
            <w:r>
              <w:rPr>
                <w:rFonts w:hint="eastAsia" w:ascii="宋体" w:hAnsi="宋体" w:eastAsia="宋体" w:cs="宋体"/>
                <w:bCs/>
                <w:strike w:val="0"/>
                <w:dstrike w:val="0"/>
                <w:color w:val="auto"/>
                <w:sz w:val="24"/>
                <w:shd w:val="clear"/>
                <w:lang w:eastAsia="zh-CN"/>
              </w:rPr>
              <w:t>和上牌费用</w:t>
            </w:r>
            <w:r>
              <w:rPr>
                <w:rFonts w:hint="eastAsia" w:ascii="宋体" w:hAnsi="宋体" w:eastAsia="宋体" w:cs="宋体"/>
                <w:bCs/>
                <w:strike w:val="0"/>
                <w:dstrike w:val="0"/>
                <w:color w:val="auto"/>
                <w:sz w:val="24"/>
                <w:shd w:val="clear"/>
              </w:rPr>
              <w:t>由</w:t>
            </w:r>
            <w:r>
              <w:rPr>
                <w:rFonts w:hint="eastAsia" w:ascii="宋体" w:hAnsi="宋体" w:eastAsia="宋体" w:cs="宋体"/>
                <w:bCs/>
                <w:strike w:val="0"/>
                <w:dstrike w:val="0"/>
                <w:color w:val="auto"/>
                <w:sz w:val="24"/>
                <w:lang w:eastAsia="zh-CN"/>
              </w:rPr>
              <w:t>成交供应商</w:t>
            </w:r>
            <w:r>
              <w:rPr>
                <w:rFonts w:hint="eastAsia" w:ascii="宋体" w:hAnsi="宋体" w:eastAsia="宋体" w:cs="宋体"/>
                <w:bCs/>
                <w:strike w:val="0"/>
                <w:dstrike w:val="0"/>
                <w:color w:val="auto"/>
                <w:sz w:val="24"/>
              </w:rPr>
              <w:t>承担，采购人不再额外支付费用；</w:t>
            </w:r>
            <w:r>
              <w:rPr>
                <w:rFonts w:hint="eastAsia" w:ascii="宋体" w:hAnsi="宋体" w:eastAsia="宋体" w:cs="宋体"/>
                <w:bCs/>
                <w:strike w:val="0"/>
                <w:dstrike w:val="0"/>
                <w:color w:val="auto"/>
                <w:sz w:val="24"/>
                <w:lang w:val="en-US" w:eastAsia="zh-CN"/>
              </w:rPr>
              <w:t>【</w:t>
            </w:r>
            <w:r>
              <w:rPr>
                <w:rFonts w:hint="eastAsia" w:ascii="宋体" w:hAnsi="宋体" w:cs="宋体"/>
                <w:bCs/>
                <w:color w:val="auto"/>
                <w:sz w:val="24"/>
                <w:lang w:eastAsia="zh-CN"/>
              </w:rPr>
              <w:t>供应商须在</w:t>
            </w:r>
            <w:r>
              <w:rPr>
                <w:rFonts w:hint="eastAsia" w:ascii="宋体" w:hAnsi="宋体" w:eastAsia="宋体" w:cs="宋体"/>
                <w:bCs/>
                <w:strike w:val="0"/>
                <w:dstrike w:val="0"/>
                <w:color w:val="auto"/>
                <w:sz w:val="24"/>
                <w:lang w:eastAsia="zh-CN"/>
              </w:rPr>
              <w:t>响应文件中</w:t>
            </w:r>
            <w:r>
              <w:rPr>
                <w:rFonts w:hint="eastAsia" w:ascii="宋体" w:hAnsi="宋体" w:eastAsia="宋体" w:cs="宋体"/>
                <w:bCs/>
                <w:strike w:val="0"/>
                <w:dstrike w:val="0"/>
                <w:color w:val="auto"/>
                <w:sz w:val="24"/>
              </w:rPr>
              <w:t>提供</w:t>
            </w:r>
            <w:r>
              <w:rPr>
                <w:rFonts w:hint="eastAsia" w:ascii="宋体" w:hAnsi="宋体" w:eastAsia="宋体" w:cs="宋体"/>
                <w:bCs/>
                <w:strike w:val="0"/>
                <w:dstrike w:val="0"/>
                <w:color w:val="auto"/>
                <w:sz w:val="24"/>
                <w:lang w:val="en-US" w:eastAsia="zh-CN"/>
              </w:rPr>
              <w:t>服务承诺函</w:t>
            </w:r>
            <w:r>
              <w:rPr>
                <w:rFonts w:hint="eastAsia" w:ascii="宋体" w:hAnsi="宋体" w:cs="宋体"/>
                <w:bCs/>
                <w:strike w:val="0"/>
                <w:dstrike w:val="0"/>
                <w:color w:val="auto"/>
                <w:sz w:val="24"/>
                <w:lang w:val="en-US" w:eastAsia="zh-CN"/>
              </w:rPr>
              <w:t>（</w:t>
            </w:r>
            <w:r>
              <w:rPr>
                <w:rFonts w:hint="eastAsia" w:ascii="宋体" w:hAnsi="宋体" w:cs="宋体"/>
                <w:bCs/>
                <w:strike w:val="0"/>
                <w:dstrike w:val="0"/>
                <w:color w:val="auto"/>
                <w:sz w:val="24"/>
                <w:highlight w:val="none"/>
                <w:lang w:val="en-US" w:eastAsia="zh-CN"/>
              </w:rPr>
              <w:t>格式见附件1）</w:t>
            </w:r>
            <w:r>
              <w:rPr>
                <w:rFonts w:hint="eastAsia" w:ascii="宋体" w:hAnsi="宋体" w:eastAsia="宋体" w:cs="宋体"/>
                <w:bCs/>
                <w:strike w:val="0"/>
                <w:dstrike w:val="0"/>
                <w:color w:val="auto"/>
                <w:sz w:val="24"/>
                <w:highlight w:val="none"/>
              </w:rPr>
              <w:t>，否则</w:t>
            </w:r>
            <w:r>
              <w:rPr>
                <w:rFonts w:hint="eastAsia" w:ascii="宋体" w:hAnsi="宋体" w:eastAsia="宋体" w:cs="宋体"/>
                <w:bCs/>
                <w:strike w:val="0"/>
                <w:dstrike w:val="0"/>
                <w:color w:val="auto"/>
                <w:sz w:val="24"/>
                <w:highlight w:val="none"/>
                <w:lang w:eastAsia="zh-CN"/>
              </w:rPr>
              <w:t>响应</w:t>
            </w:r>
            <w:r>
              <w:rPr>
                <w:rFonts w:hint="eastAsia" w:ascii="宋体" w:hAnsi="宋体" w:eastAsia="宋体" w:cs="宋体"/>
                <w:bCs/>
                <w:strike w:val="0"/>
                <w:dstrike w:val="0"/>
                <w:color w:val="auto"/>
                <w:sz w:val="24"/>
                <w:highlight w:val="none"/>
              </w:rPr>
              <w:t>无效</w:t>
            </w:r>
            <w:r>
              <w:rPr>
                <w:rFonts w:hint="eastAsia" w:ascii="宋体" w:hAnsi="宋体" w:eastAsia="宋体" w:cs="宋体"/>
                <w:bCs/>
                <w:strike w:val="0"/>
                <w:dstrike w:val="0"/>
                <w:color w:val="auto"/>
                <w:sz w:val="24"/>
                <w:highlight w:val="none"/>
                <w:lang w:val="en-US" w:eastAsia="zh-CN"/>
              </w:rPr>
              <w:t>】</w:t>
            </w:r>
          </w:p>
          <w:p w14:paraId="18F89C7B">
            <w:pPr>
              <w:pStyle w:val="9"/>
              <w:spacing w:line="400" w:lineRule="exact"/>
              <w:rPr>
                <w:rFonts w:hint="default" w:ascii="宋体" w:hAnsi="宋体" w:cs="宋体"/>
                <w:color w:val="auto"/>
                <w:sz w:val="24"/>
                <w:szCs w:val="24"/>
                <w:highlight w:val="none"/>
                <w:lang w:val="en-US" w:eastAsia="zh-CN"/>
              </w:rPr>
            </w:pPr>
            <w:r>
              <w:rPr>
                <w:rFonts w:hint="eastAsia" w:ascii="宋体" w:hAnsi="宋体" w:eastAsia="宋体" w:cs="宋体"/>
                <w:bCs/>
                <w:strike w:val="0"/>
                <w:dstrike w:val="0"/>
                <w:color w:val="auto"/>
                <w:sz w:val="24"/>
                <w:highlight w:val="none"/>
              </w:rPr>
              <w:t>4.</w:t>
            </w:r>
            <w:r>
              <w:rPr>
                <w:rFonts w:hint="eastAsia" w:ascii="宋体" w:hAnsi="宋体" w:eastAsia="宋体" w:cs="宋体"/>
                <w:bCs/>
                <w:strike w:val="0"/>
                <w:dstrike w:val="0"/>
                <w:color w:val="auto"/>
                <w:sz w:val="24"/>
                <w:highlight w:val="none"/>
                <w:lang w:val="en-US" w:eastAsia="zh-CN"/>
              </w:rPr>
              <w:t>2</w:t>
            </w:r>
            <w:r>
              <w:rPr>
                <w:rFonts w:hint="eastAsia" w:ascii="宋体" w:hAnsi="宋体" w:eastAsia="宋体" w:cs="宋体"/>
                <w:bCs/>
                <w:strike w:val="0"/>
                <w:dstrike w:val="0"/>
                <w:color w:val="auto"/>
                <w:sz w:val="24"/>
                <w:highlight w:val="none"/>
              </w:rPr>
              <w:t>送车服务。</w:t>
            </w:r>
            <w:r>
              <w:rPr>
                <w:rFonts w:hint="eastAsia" w:ascii="宋体" w:hAnsi="宋体" w:eastAsia="宋体" w:cs="宋体"/>
                <w:bCs/>
                <w:strike w:val="0"/>
                <w:dstrike w:val="0"/>
                <w:color w:val="auto"/>
                <w:sz w:val="24"/>
                <w:highlight w:val="none"/>
                <w:lang w:val="en-US" w:eastAsia="zh-CN"/>
              </w:rPr>
              <w:t>车辆取得</w:t>
            </w:r>
            <w:r>
              <w:rPr>
                <w:rFonts w:hint="eastAsia" w:ascii="宋体" w:hAnsi="宋体" w:cs="宋体"/>
                <w:bCs/>
                <w:strike w:val="0"/>
                <w:dstrike w:val="0"/>
                <w:color w:val="auto"/>
                <w:sz w:val="24"/>
                <w:highlight w:val="none"/>
                <w:lang w:val="en-US" w:eastAsia="zh-CN"/>
              </w:rPr>
              <w:t>来</w:t>
            </w:r>
            <w:r>
              <w:rPr>
                <w:rFonts w:hint="eastAsia" w:ascii="宋体" w:hAnsi="宋体" w:cs="宋体"/>
                <w:bCs/>
                <w:strike w:val="0"/>
                <w:dstrike w:val="0"/>
                <w:color w:val="auto"/>
                <w:sz w:val="24"/>
                <w:lang w:val="en-US" w:eastAsia="zh-CN"/>
              </w:rPr>
              <w:t>宾</w:t>
            </w:r>
            <w:r>
              <w:rPr>
                <w:rFonts w:hint="eastAsia" w:ascii="宋体" w:hAnsi="宋体" w:eastAsia="宋体" w:cs="宋体"/>
                <w:bCs/>
                <w:strike w:val="0"/>
                <w:dstrike w:val="0"/>
                <w:color w:val="auto"/>
                <w:sz w:val="24"/>
              </w:rPr>
              <w:t>市</w:t>
            </w:r>
            <w:r>
              <w:rPr>
                <w:rFonts w:hint="eastAsia" w:ascii="宋体" w:hAnsi="宋体" w:eastAsia="宋体" w:cs="宋体"/>
                <w:bCs/>
                <w:strike w:val="0"/>
                <w:dstrike w:val="0"/>
                <w:color w:val="auto"/>
                <w:sz w:val="24"/>
                <w:highlight w:val="none"/>
              </w:rPr>
              <w:t>机动车牌照</w:t>
            </w:r>
            <w:r>
              <w:rPr>
                <w:rFonts w:hint="eastAsia" w:ascii="宋体" w:hAnsi="宋体" w:eastAsia="宋体" w:cs="宋体"/>
                <w:bCs/>
                <w:strike w:val="0"/>
                <w:dstrike w:val="0"/>
                <w:color w:val="auto"/>
                <w:sz w:val="24"/>
                <w:highlight w:val="none"/>
                <w:lang w:val="en-US" w:eastAsia="zh-CN"/>
              </w:rPr>
              <w:t>后，</w:t>
            </w:r>
            <w:r>
              <w:rPr>
                <w:rFonts w:hint="eastAsia" w:ascii="宋体" w:hAnsi="宋体" w:eastAsia="宋体" w:cs="宋体"/>
                <w:bCs/>
                <w:strike w:val="0"/>
                <w:dstrike w:val="0"/>
                <w:color w:val="auto"/>
                <w:sz w:val="24"/>
                <w:highlight w:val="none"/>
              </w:rPr>
              <w:t>整车配送至采购人指定地点，配送过程中产生的运输费、人工费、道路交通费等由</w:t>
            </w:r>
            <w:r>
              <w:rPr>
                <w:rFonts w:hint="eastAsia" w:ascii="宋体" w:hAnsi="宋体" w:eastAsia="宋体" w:cs="宋体"/>
                <w:bCs/>
                <w:strike w:val="0"/>
                <w:dstrike w:val="0"/>
                <w:color w:val="auto"/>
                <w:sz w:val="24"/>
                <w:highlight w:val="none"/>
                <w:lang w:eastAsia="zh-CN"/>
              </w:rPr>
              <w:t>成交供应商</w:t>
            </w:r>
            <w:r>
              <w:rPr>
                <w:rFonts w:hint="eastAsia" w:ascii="宋体" w:hAnsi="宋体" w:eastAsia="宋体" w:cs="宋体"/>
                <w:bCs/>
                <w:strike w:val="0"/>
                <w:dstrike w:val="0"/>
                <w:color w:val="auto"/>
                <w:sz w:val="24"/>
                <w:highlight w:val="none"/>
              </w:rPr>
              <w:t>承担，采购人不再额外支付费用。</w:t>
            </w:r>
            <w:r>
              <w:rPr>
                <w:rFonts w:hint="eastAsia" w:ascii="宋体" w:hAnsi="宋体" w:eastAsia="宋体" w:cs="宋体"/>
                <w:bCs/>
                <w:strike w:val="0"/>
                <w:dstrike w:val="0"/>
                <w:color w:val="auto"/>
                <w:sz w:val="24"/>
                <w:highlight w:val="none"/>
                <w:lang w:val="en-US" w:eastAsia="zh-CN"/>
              </w:rPr>
              <w:t>【</w:t>
            </w:r>
            <w:r>
              <w:rPr>
                <w:rFonts w:hint="eastAsia" w:ascii="宋体" w:hAnsi="宋体" w:cs="宋体"/>
                <w:bCs/>
                <w:color w:val="auto"/>
                <w:sz w:val="24"/>
                <w:highlight w:val="none"/>
                <w:lang w:eastAsia="zh-CN"/>
              </w:rPr>
              <w:t>供应商须须</w:t>
            </w:r>
            <w:r>
              <w:rPr>
                <w:rFonts w:hint="eastAsia" w:ascii="宋体" w:hAnsi="宋体" w:eastAsia="宋体" w:cs="宋体"/>
                <w:bCs/>
                <w:strike w:val="0"/>
                <w:dstrike w:val="0"/>
                <w:color w:val="auto"/>
                <w:sz w:val="24"/>
                <w:highlight w:val="none"/>
                <w:lang w:eastAsia="zh-CN"/>
              </w:rPr>
              <w:t>响应文件中</w:t>
            </w:r>
            <w:r>
              <w:rPr>
                <w:rFonts w:hint="eastAsia" w:ascii="宋体" w:hAnsi="宋体" w:eastAsia="宋体" w:cs="宋体"/>
                <w:bCs/>
                <w:strike w:val="0"/>
                <w:dstrike w:val="0"/>
                <w:color w:val="auto"/>
                <w:sz w:val="24"/>
                <w:highlight w:val="none"/>
              </w:rPr>
              <w:t>提供</w:t>
            </w:r>
            <w:r>
              <w:rPr>
                <w:rFonts w:hint="eastAsia" w:ascii="宋体" w:hAnsi="宋体" w:eastAsia="宋体" w:cs="宋体"/>
                <w:bCs/>
                <w:strike w:val="0"/>
                <w:dstrike w:val="0"/>
                <w:color w:val="auto"/>
                <w:sz w:val="24"/>
                <w:highlight w:val="none"/>
                <w:lang w:val="en-US" w:eastAsia="zh-CN"/>
              </w:rPr>
              <w:t>服务承诺函</w:t>
            </w:r>
            <w:r>
              <w:rPr>
                <w:rFonts w:hint="eastAsia" w:ascii="宋体" w:hAnsi="宋体" w:cs="宋体"/>
                <w:bCs/>
                <w:strike w:val="0"/>
                <w:dstrike w:val="0"/>
                <w:color w:val="auto"/>
                <w:sz w:val="24"/>
                <w:highlight w:val="none"/>
                <w:lang w:val="en-US" w:eastAsia="zh-CN"/>
              </w:rPr>
              <w:t>（格式见附件1</w:t>
            </w:r>
            <w:r>
              <w:rPr>
                <w:rFonts w:hint="eastAsia" w:ascii="宋体" w:hAnsi="宋体" w:cs="宋体"/>
                <w:bCs/>
                <w:strike w:val="0"/>
                <w:dstrike w:val="0"/>
                <w:color w:val="auto"/>
                <w:sz w:val="24"/>
                <w:lang w:val="en-US" w:eastAsia="zh-CN"/>
              </w:rPr>
              <w:t>）</w:t>
            </w:r>
            <w:r>
              <w:rPr>
                <w:rFonts w:hint="eastAsia" w:ascii="宋体" w:hAnsi="宋体" w:eastAsia="宋体" w:cs="宋体"/>
                <w:bCs/>
                <w:strike w:val="0"/>
                <w:dstrike w:val="0"/>
                <w:color w:val="auto"/>
                <w:sz w:val="24"/>
              </w:rPr>
              <w:t>，否则</w:t>
            </w:r>
            <w:r>
              <w:rPr>
                <w:rFonts w:hint="eastAsia" w:ascii="宋体" w:hAnsi="宋体" w:eastAsia="宋体" w:cs="宋体"/>
                <w:bCs/>
                <w:strike w:val="0"/>
                <w:dstrike w:val="0"/>
                <w:color w:val="auto"/>
                <w:sz w:val="24"/>
                <w:lang w:eastAsia="zh-CN"/>
              </w:rPr>
              <w:t>响应</w:t>
            </w:r>
            <w:r>
              <w:rPr>
                <w:rFonts w:hint="eastAsia" w:ascii="宋体" w:hAnsi="宋体" w:eastAsia="宋体" w:cs="宋体"/>
                <w:bCs/>
                <w:strike w:val="0"/>
                <w:dstrike w:val="0"/>
                <w:color w:val="auto"/>
                <w:sz w:val="24"/>
              </w:rPr>
              <w:t>无效</w:t>
            </w:r>
            <w:r>
              <w:rPr>
                <w:rFonts w:hint="eastAsia" w:ascii="宋体" w:hAnsi="宋体" w:eastAsia="宋体" w:cs="宋体"/>
                <w:bCs/>
                <w:strike w:val="0"/>
                <w:dstrike w:val="0"/>
                <w:color w:val="auto"/>
                <w:sz w:val="24"/>
                <w:lang w:val="en-US" w:eastAsia="zh-CN"/>
              </w:rPr>
              <w:t>】</w:t>
            </w:r>
          </w:p>
        </w:tc>
      </w:tr>
      <w:tr w14:paraId="40B8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954" w:type="dxa"/>
            <w:gridSpan w:val="5"/>
            <w:vAlign w:val="center"/>
          </w:tcPr>
          <w:p w14:paraId="67396F24">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商务要求表：</w:t>
            </w:r>
          </w:p>
        </w:tc>
      </w:tr>
      <w:tr w14:paraId="7120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42726658">
            <w:pPr>
              <w:keepNext w:val="0"/>
              <w:keepLines w:val="0"/>
              <w:pageBreakBefore w:val="0"/>
              <w:widowControl/>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合同签订时间</w:t>
            </w:r>
          </w:p>
        </w:tc>
        <w:tc>
          <w:tcPr>
            <w:tcW w:w="7847" w:type="dxa"/>
            <w:gridSpan w:val="2"/>
            <w:vAlign w:val="center"/>
          </w:tcPr>
          <w:p w14:paraId="3F98643B">
            <w:pPr>
              <w:keepNext w:val="0"/>
              <w:keepLines w:val="0"/>
              <w:pageBreakBefore w:val="0"/>
              <w:widowControl/>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自成交通知书发出之日起</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日内。</w:t>
            </w:r>
          </w:p>
        </w:tc>
      </w:tr>
      <w:tr w14:paraId="72E7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2D3142BC">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color w:val="auto"/>
                <w:kern w:val="1"/>
                <w:sz w:val="24"/>
                <w:szCs w:val="24"/>
                <w:highlight w:val="none"/>
              </w:rPr>
            </w:pPr>
            <w:r>
              <w:rPr>
                <w:rFonts w:hint="eastAsia" w:ascii="宋体" w:hAnsi="宋体" w:eastAsia="宋体" w:cs="宋体"/>
                <w:b/>
                <w:color w:val="auto"/>
                <w:sz w:val="24"/>
                <w:szCs w:val="24"/>
                <w:highlight w:val="none"/>
              </w:rPr>
              <w:t>交</w:t>
            </w:r>
            <w:r>
              <w:rPr>
                <w:rFonts w:hint="eastAsia" w:ascii="宋体" w:hAnsi="宋体" w:eastAsia="宋体" w:cs="宋体"/>
                <w:b/>
                <w:color w:val="auto"/>
                <w:sz w:val="24"/>
                <w:szCs w:val="24"/>
                <w:highlight w:val="none"/>
                <w:lang w:eastAsia="zh-CN"/>
              </w:rPr>
              <w:t>付</w:t>
            </w:r>
            <w:r>
              <w:rPr>
                <w:rFonts w:hint="eastAsia" w:ascii="宋体" w:hAnsi="宋体" w:eastAsia="宋体" w:cs="宋体"/>
                <w:b/>
                <w:color w:val="auto"/>
                <w:sz w:val="24"/>
                <w:szCs w:val="24"/>
                <w:highlight w:val="none"/>
              </w:rPr>
              <w:t>时间及地点</w:t>
            </w:r>
          </w:p>
        </w:tc>
        <w:tc>
          <w:tcPr>
            <w:tcW w:w="7847" w:type="dxa"/>
            <w:gridSpan w:val="2"/>
            <w:vAlign w:val="center"/>
          </w:tcPr>
          <w:p w14:paraId="373283AF">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w:t>
            </w:r>
            <w:r>
              <w:rPr>
                <w:rFonts w:hint="eastAsia" w:ascii="宋体" w:hAnsi="宋体" w:cs="宋体"/>
                <w:color w:val="auto"/>
                <w:sz w:val="24"/>
                <w:szCs w:val="24"/>
                <w:highlight w:val="none"/>
                <w:lang w:eastAsia="zh-CN"/>
              </w:rPr>
              <w:t>付</w:t>
            </w:r>
            <w:r>
              <w:rPr>
                <w:rFonts w:hint="eastAsia" w:ascii="宋体" w:hAnsi="宋体" w:eastAsia="宋体" w:cs="宋体"/>
                <w:color w:val="auto"/>
                <w:sz w:val="24"/>
                <w:szCs w:val="24"/>
                <w:highlight w:val="none"/>
              </w:rPr>
              <w:t>时间：自签订合同之日起60日内完成上牌并交付整车</w:t>
            </w:r>
            <w:r>
              <w:rPr>
                <w:rFonts w:hint="eastAsia" w:ascii="宋体" w:hAnsi="宋体" w:eastAsia="宋体" w:cs="宋体"/>
                <w:color w:val="auto"/>
                <w:sz w:val="24"/>
                <w:szCs w:val="24"/>
                <w:highlight w:val="none"/>
                <w:lang w:eastAsia="zh-CN"/>
              </w:rPr>
              <w:t>，确保车辆合格上路行驶</w:t>
            </w:r>
            <w:r>
              <w:rPr>
                <w:rFonts w:hint="eastAsia" w:ascii="宋体" w:hAnsi="宋体" w:eastAsia="宋体" w:cs="宋体"/>
                <w:color w:val="auto"/>
                <w:sz w:val="24"/>
                <w:szCs w:val="24"/>
                <w:highlight w:val="none"/>
              </w:rPr>
              <w:t>；</w:t>
            </w:r>
          </w:p>
          <w:p w14:paraId="00E898C9">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w:t>
            </w:r>
            <w:r>
              <w:rPr>
                <w:rFonts w:hint="eastAsia" w:ascii="宋体" w:hAnsi="宋体" w:cs="宋体"/>
                <w:color w:val="auto"/>
                <w:sz w:val="24"/>
                <w:szCs w:val="24"/>
                <w:highlight w:val="none"/>
                <w:lang w:eastAsia="zh-CN"/>
              </w:rPr>
              <w:t>付</w:t>
            </w:r>
            <w:r>
              <w:rPr>
                <w:rFonts w:hint="eastAsia" w:ascii="宋体" w:hAnsi="宋体" w:eastAsia="宋体" w:cs="宋体"/>
                <w:color w:val="auto"/>
                <w:sz w:val="24"/>
                <w:szCs w:val="24"/>
                <w:highlight w:val="none"/>
              </w:rPr>
              <w:t>地点：广西壮族自治区</w:t>
            </w:r>
            <w:r>
              <w:rPr>
                <w:rFonts w:hint="eastAsia" w:ascii="宋体" w:hAnsi="宋体" w:cs="宋体"/>
                <w:color w:val="auto"/>
                <w:sz w:val="24"/>
                <w:szCs w:val="24"/>
                <w:highlight w:val="none"/>
                <w:lang w:eastAsia="zh-CN"/>
              </w:rPr>
              <w:t>来宾生态环境监测中心</w:t>
            </w:r>
            <w:r>
              <w:rPr>
                <w:rFonts w:hint="eastAsia" w:ascii="宋体" w:hAnsi="宋体" w:eastAsia="宋体" w:cs="宋体"/>
                <w:color w:val="auto"/>
                <w:sz w:val="24"/>
                <w:szCs w:val="24"/>
                <w:highlight w:val="none"/>
              </w:rPr>
              <w:t>（广西来宾市兴宾区来华管理区育才路与康平路交叉口）。</w:t>
            </w:r>
          </w:p>
        </w:tc>
      </w:tr>
      <w:tr w14:paraId="2E25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25C8F85F">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验收</w:t>
            </w:r>
            <w:r>
              <w:rPr>
                <w:rFonts w:hint="eastAsia" w:ascii="宋体" w:hAnsi="宋体" w:eastAsia="宋体" w:cs="宋体"/>
                <w:b/>
                <w:bCs/>
                <w:color w:val="auto"/>
                <w:kern w:val="0"/>
                <w:sz w:val="24"/>
                <w:szCs w:val="24"/>
                <w:highlight w:val="none"/>
                <w:lang w:eastAsia="zh-CN"/>
              </w:rPr>
              <w:t>要求</w:t>
            </w:r>
          </w:p>
        </w:tc>
        <w:tc>
          <w:tcPr>
            <w:tcW w:w="7847" w:type="dxa"/>
            <w:gridSpan w:val="2"/>
            <w:vAlign w:val="center"/>
          </w:tcPr>
          <w:p w14:paraId="7F0ED6FE">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1.常规验证，验收内容包括：车辆规格型号、数量，外观完整性，外观质量完好性，标识是否清晰，配装设备（仪器）、相关资料（合格证、说明书及其它必要资料）的齐全性。</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2.实验测试，依据合同中的技术指标作为验收测试指标，进行测试验收。</w:t>
            </w:r>
          </w:p>
          <w:p w14:paraId="326C00D2">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3.当满足以下条件时，采购人才向成交供应商签发货物验收报告：</w:t>
            </w:r>
          </w:p>
          <w:p w14:paraId="13833487">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（1）成交供应商已按照合同规定提供了车辆（含改装）及完整的技术资料。</w:t>
            </w:r>
          </w:p>
          <w:p w14:paraId="1E8FB740">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（2）车辆各项参数完全符合技术参数及性能（配置）要求，且功能正常。</w:t>
            </w:r>
          </w:p>
          <w:p w14:paraId="61137CF4">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（3）成交供应商协助完成车辆上牌，并完成采购人的使用操作培训。</w:t>
            </w:r>
          </w:p>
          <w:p w14:paraId="1B3FCB8C">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4.成交车辆不能涉及任何法律纠纷。</w:t>
            </w:r>
          </w:p>
          <w:p w14:paraId="64A16FD4">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如在合同约定的保修期内，采购人发现货物的质量或规格与合同要求不符，或货物被证实有缺陷，包括潜在的缺陷或使用不合适的材料，采购人有权向成交供应商要求退货或换货，退换货仍无法达到合同要求的有权提出索赔。</w:t>
            </w:r>
          </w:p>
          <w:p w14:paraId="3306394A">
            <w:pPr>
              <w:keepNext w:val="0"/>
              <w:keepLines w:val="0"/>
              <w:pageBreakBefore w:val="0"/>
              <w:tabs>
                <w:tab w:val="left" w:pos="420"/>
              </w:tabs>
              <w:kinsoku/>
              <w:wordWrap/>
              <w:overflowPunct/>
              <w:topLinePunct w:val="0"/>
              <w:autoSpaceDE/>
              <w:autoSpaceDN/>
              <w:bidi w:val="0"/>
              <w:spacing w:line="460" w:lineRule="exact"/>
              <w:rPr>
                <w:rFonts w:hint="eastAsia" w:eastAsia="宋体"/>
                <w:color w:val="auto"/>
                <w:highlight w:val="none"/>
                <w:lang w:val="en-US" w:eastAsia="zh-CN"/>
              </w:rPr>
            </w:pPr>
            <w:r>
              <w:rPr>
                <w:rFonts w:hint="eastAsia" w:ascii="宋体" w:hAnsi="宋体" w:eastAsia="宋体" w:cs="宋体"/>
                <w:color w:val="auto"/>
                <w:sz w:val="24"/>
                <w:szCs w:val="24"/>
                <w:highlight w:val="none"/>
                <w:lang w:val="en-US" w:eastAsia="zh-CN"/>
              </w:rPr>
              <w:t>6.在验收过程中发现数量不足或有质量等问题，成交供应商应按照合同要求采取补足、更换或退货等措施妥善处理。在验收过程中发现成交供应商所供货物虚假响应采购人要求的技术参数，采购人有权立即中止合同，由此造成的一切损失由成交供应商自行承担。</w:t>
            </w:r>
          </w:p>
        </w:tc>
      </w:tr>
      <w:tr w14:paraId="3602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322C8B14">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质量保证要求</w:t>
            </w:r>
          </w:p>
        </w:tc>
        <w:tc>
          <w:tcPr>
            <w:tcW w:w="7847" w:type="dxa"/>
            <w:gridSpan w:val="2"/>
          </w:tcPr>
          <w:p w14:paraId="5D8735D9">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按国家有关规定实行产品“三包”，质保期不少于3年或6万公里行程，质保期内负责保修。质保期自双方最终验收合格之日起计算。质保期内，成交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将负责处理及解决故障，并</w:t>
            </w:r>
            <w:r>
              <w:rPr>
                <w:rFonts w:hint="eastAsia" w:ascii="宋体" w:hAnsi="宋体" w:cs="宋体"/>
                <w:color w:val="auto"/>
                <w:sz w:val="24"/>
                <w:szCs w:val="24"/>
                <w:highlight w:val="none"/>
                <w:lang w:val="en-US" w:eastAsia="zh-CN"/>
              </w:rPr>
              <w:t>无条件</w:t>
            </w:r>
            <w:r>
              <w:rPr>
                <w:rFonts w:hint="eastAsia" w:ascii="宋体" w:hAnsi="宋体" w:eastAsia="宋体" w:cs="宋体"/>
                <w:color w:val="auto"/>
                <w:sz w:val="24"/>
                <w:szCs w:val="24"/>
                <w:highlight w:val="none"/>
                <w:lang w:val="en-US" w:eastAsia="zh-CN"/>
              </w:rPr>
              <w:t>更换有故障的零、部件，一切费用由成交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w:t>
            </w:r>
          </w:p>
          <w:p w14:paraId="2202A2E5">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质保期内出现故障，成交供应商在接到</w:t>
            </w:r>
            <w:r>
              <w:rPr>
                <w:rFonts w:hint="eastAsia" w:ascii="宋体" w:hAnsi="宋体" w:eastAsia="宋体" w:cs="宋体"/>
                <w:color w:val="auto"/>
                <w:sz w:val="24"/>
                <w:szCs w:val="24"/>
                <w:highlight w:val="none"/>
                <w:lang w:val="en-US" w:eastAsia="zh-CN"/>
              </w:rPr>
              <w:t>采购</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通知后2小时响应，提出解决方案；如需现场</w:t>
            </w:r>
            <w:r>
              <w:rPr>
                <w:rFonts w:hint="eastAsia" w:ascii="宋体" w:hAnsi="宋体" w:eastAsia="宋体" w:cs="宋体"/>
                <w:color w:val="auto"/>
                <w:sz w:val="24"/>
                <w:szCs w:val="24"/>
                <w:highlight w:val="none"/>
                <w:lang w:val="en-US" w:eastAsia="zh-CN"/>
              </w:rPr>
              <w:t>排除故障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须在48小时内派相关人员抵达采购人现场</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抢修。属设计原因、质量、调试等方面出现的故障，所产生的一切费用由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承担，属使用不当及人为原因造成的故障除外。</w:t>
            </w:r>
          </w:p>
          <w:p w14:paraId="1DFDA4C3">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.产品质保期外终身有偿服务，</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响应时间与前款相同，</w:t>
            </w:r>
            <w:r>
              <w:rPr>
                <w:rFonts w:hint="eastAsia" w:ascii="宋体" w:hAnsi="宋体" w:eastAsia="宋体" w:cs="宋体"/>
                <w:color w:val="auto"/>
                <w:sz w:val="24"/>
                <w:szCs w:val="24"/>
                <w:highlight w:val="none"/>
                <w:lang w:eastAsia="zh-CN"/>
              </w:rPr>
              <w:t>采购</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支付产品的配件成本费用及适当的人工费用。售后服务标准不得低于生产厂家售后服务公开条约。</w:t>
            </w:r>
          </w:p>
        </w:tc>
      </w:tr>
      <w:tr w14:paraId="1437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58C0EC42">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售后服务要求</w:t>
            </w:r>
          </w:p>
        </w:tc>
        <w:tc>
          <w:tcPr>
            <w:tcW w:w="7847" w:type="dxa"/>
            <w:gridSpan w:val="2"/>
          </w:tcPr>
          <w:p w14:paraId="27B489A1">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竞标</w:t>
            </w:r>
            <w:r>
              <w:rPr>
                <w:rFonts w:hint="eastAsia" w:ascii="宋体" w:hAnsi="宋体" w:eastAsia="宋体" w:cs="宋体"/>
                <w:color w:val="auto"/>
                <w:sz w:val="24"/>
                <w:szCs w:val="24"/>
                <w:highlight w:val="none"/>
                <w:lang w:val="en-US" w:eastAsia="zh-CN"/>
              </w:rPr>
              <w:t>产品必须是按厂家标准配置的整套全新，具备正规合法经销渠道的，符合国家各项有关质量标准的合格产品；</w:t>
            </w:r>
          </w:p>
          <w:p w14:paraId="0956F464">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成交供应商应当提供每周7天、每天24小时的电话支持服务。成交供应商接到采购人保修通知后2个小时内响应，48个小时内排除故障。货物出现重大故障或维修时限超过2日的，成交供应商应在24个小时内无条件更换备品备件，如故障无法排除，须立即提供与原货物技术参数要求相同或高于原货物技术参数要求的备用产品，以保证采购人的正常工作</w:t>
            </w:r>
            <w:r>
              <w:rPr>
                <w:rFonts w:hint="eastAsia" w:ascii="宋体" w:hAnsi="宋体" w:eastAsia="宋体" w:cs="宋体"/>
                <w:color w:val="auto"/>
                <w:sz w:val="24"/>
                <w:szCs w:val="24"/>
                <w:highlight w:val="none"/>
                <w:lang w:val="en-US" w:eastAsia="zh-CN"/>
              </w:rPr>
              <w:t xml:space="preserve">。 </w:t>
            </w:r>
          </w:p>
          <w:p w14:paraId="4040BDE3">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实施和安装要求： </w:t>
            </w:r>
          </w:p>
          <w:p w14:paraId="7A1B48B8">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（1）成交供应商必须服从采购人现场负责人的指挥，按指定地点进行安装； </w:t>
            </w:r>
          </w:p>
          <w:p w14:paraId="0D280870">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（2）安装过程中的所有安全保障由成交供应商自行负责； </w:t>
            </w:r>
          </w:p>
          <w:p w14:paraId="6F9D0B50">
            <w:pPr>
              <w:keepNext w:val="0"/>
              <w:keepLines w:val="0"/>
              <w:pageBreakBefore w:val="0"/>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（3）严格按产品的安装规范要求进行安装，确保安全。</w:t>
            </w:r>
          </w:p>
        </w:tc>
      </w:tr>
      <w:tr w14:paraId="0D9A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784DB38E">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付款方式</w:t>
            </w:r>
          </w:p>
        </w:tc>
        <w:tc>
          <w:tcPr>
            <w:tcW w:w="7847" w:type="dxa"/>
            <w:gridSpan w:val="2"/>
            <w:vAlign w:val="center"/>
          </w:tcPr>
          <w:p w14:paraId="550C1A53">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strike w:val="0"/>
                <w:dstrike w:val="0"/>
                <w:color w:val="auto"/>
                <w:sz w:val="24"/>
                <w:szCs w:val="24"/>
                <w:highlight w:val="none"/>
                <w:lang w:val="en-US" w:eastAsia="zh-CN"/>
              </w:rPr>
              <w:t>2025年10月底前，</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rPr>
              <w:t>完成监测仪器及配套设施装配后</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整车交付</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并经</w:t>
            </w:r>
            <w:r>
              <w:rPr>
                <w:rFonts w:hint="eastAsia" w:ascii="宋体" w:hAnsi="宋体" w:eastAsia="宋体" w:cs="宋体"/>
                <w:strike w:val="0"/>
                <w:dstrike w:val="0"/>
                <w:color w:val="auto"/>
                <w:sz w:val="24"/>
                <w:szCs w:val="24"/>
                <w:highlight w:val="none"/>
                <w:lang w:val="en-US" w:eastAsia="zh-CN"/>
              </w:rPr>
              <w:t>确认</w:t>
            </w:r>
            <w:r>
              <w:rPr>
                <w:rFonts w:hint="eastAsia"/>
                <w:sz w:val="24"/>
                <w:szCs w:val="24"/>
                <w:lang w:eastAsia="zh-CN"/>
              </w:rPr>
              <w:t>合格</w:t>
            </w:r>
            <w:r>
              <w:rPr>
                <w:rFonts w:hint="eastAsia" w:ascii="宋体" w:hAnsi="宋体" w:eastAsia="宋体" w:cs="宋体"/>
                <w:color w:val="auto"/>
                <w:sz w:val="24"/>
                <w:szCs w:val="24"/>
                <w:highlight w:val="none"/>
                <w:lang w:val="en-US" w:eastAsia="zh-CN"/>
              </w:rPr>
              <w:t>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向</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支付合同总金额的50%</w:t>
            </w:r>
            <w:r>
              <w:rPr>
                <w:rFonts w:hint="eastAsia" w:ascii="宋体" w:hAnsi="宋体" w:eastAsia="宋体" w:cs="宋体"/>
                <w:color w:val="auto"/>
                <w:sz w:val="24"/>
                <w:szCs w:val="24"/>
                <w:highlight w:val="none"/>
              </w:rPr>
              <w:t>；</w:t>
            </w:r>
          </w:p>
          <w:p w14:paraId="0B83A206">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完成车辆上牌并经</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验收后，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向</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支付合同总金额的50%</w:t>
            </w:r>
            <w:r>
              <w:rPr>
                <w:rFonts w:hint="eastAsia" w:ascii="宋体" w:hAnsi="宋体" w:eastAsia="宋体" w:cs="宋体"/>
                <w:color w:val="auto"/>
                <w:sz w:val="24"/>
                <w:szCs w:val="24"/>
                <w:highlight w:val="none"/>
              </w:rPr>
              <w:t>；</w:t>
            </w:r>
          </w:p>
          <w:p w14:paraId="6EB19C26">
            <w:pPr>
              <w:keepNext w:val="0"/>
              <w:keepLines w:val="0"/>
              <w:pageBreakBefore w:val="0"/>
              <w:tabs>
                <w:tab w:val="left" w:pos="420"/>
              </w:tabs>
              <w:kinsoku/>
              <w:wordWrap/>
              <w:overflowPunct/>
              <w:topLinePunct w:val="0"/>
              <w:autoSpaceDE/>
              <w:autoSpaceDN/>
              <w:bidi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3.每次付款前，</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须提供对应金额的增值税普通发票。</w:t>
            </w:r>
          </w:p>
        </w:tc>
      </w:tr>
      <w:tr w14:paraId="5ADC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58F87EA4">
            <w:pPr>
              <w:keepNext w:val="0"/>
              <w:keepLines w:val="0"/>
              <w:pageBreakBefore w:val="0"/>
              <w:kinsoku/>
              <w:wordWrap/>
              <w:overflowPunct/>
              <w:topLinePunct w:val="0"/>
              <w:autoSpaceDE/>
              <w:autoSpaceDN/>
              <w:bidi w:val="0"/>
              <w:spacing w:line="460" w:lineRule="exact"/>
              <w:jc w:val="center"/>
              <w:rPr>
                <w:rFonts w:hint="eastAsia" w:ascii="宋体" w:hAnsi="宋体" w:eastAsia="宋体" w:cs="宋体"/>
                <w:b/>
                <w:bCs/>
                <w:color w:val="auto"/>
                <w:kern w:val="1"/>
                <w:sz w:val="24"/>
                <w:szCs w:val="24"/>
                <w:highlight w:val="none"/>
              </w:rPr>
            </w:pPr>
            <w:r>
              <w:rPr>
                <w:rFonts w:hint="eastAsia" w:ascii="宋体" w:hAnsi="宋体" w:eastAsia="宋体" w:cs="宋体"/>
                <w:b/>
                <w:bCs/>
                <w:color w:val="auto"/>
                <w:sz w:val="24"/>
                <w:szCs w:val="24"/>
                <w:highlight w:val="none"/>
              </w:rPr>
              <w:t>其他要求</w:t>
            </w:r>
          </w:p>
        </w:tc>
        <w:tc>
          <w:tcPr>
            <w:tcW w:w="7847" w:type="dxa"/>
            <w:gridSpan w:val="2"/>
            <w:vAlign w:val="center"/>
          </w:tcPr>
          <w:p w14:paraId="16E3DF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报价要求：报价包含</w:t>
            </w:r>
            <w:r>
              <w:rPr>
                <w:rFonts w:hint="eastAsia" w:ascii="宋体" w:hAnsi="宋体" w:cs="宋体"/>
                <w:color w:val="auto"/>
                <w:sz w:val="24"/>
                <w:szCs w:val="24"/>
                <w:highlight w:val="none"/>
                <w:lang w:val="en-US" w:eastAsia="zh-CN"/>
              </w:rPr>
              <w:t>车辆及改装、配送交货、</w:t>
            </w:r>
            <w:r>
              <w:rPr>
                <w:rFonts w:hint="eastAsia" w:ascii="宋体" w:hAnsi="宋体" w:cs="宋体"/>
                <w:color w:val="auto"/>
                <w:sz w:val="24"/>
                <w:szCs w:val="24"/>
                <w:highlight w:val="none"/>
                <w:lang w:eastAsia="zh-CN"/>
              </w:rPr>
              <w:t>培训、调试及验收的各种费用和质量保证期内服务、售后服务、人工费、税费及其他所有成本费用的总和。成交供应商必须自行考虑项目需要的其他设备和材料，合同履行过程中，采购人不再支付合同以外的其他费用。</w:t>
            </w:r>
          </w:p>
          <w:p w14:paraId="5D04B6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成交供应商承担货物交付验收前的运输、安装等作业工人人身、设备安全责任。验收前，如果设备丢失、因供应商自身原因及第三方原因导致损坏，成交供应商应自行负责并承担不能交付货物的责任。</w:t>
            </w:r>
          </w:p>
          <w:p w14:paraId="75ACF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本项目不接受进口产品（即通过中国海关报关验放进入中国境内且产自关境外的产品）参与竞争性谈判，如有此类产品参与竞争性谈判的按无效响应处理。</w:t>
            </w:r>
          </w:p>
        </w:tc>
      </w:tr>
      <w:tr w14:paraId="4AD9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07" w:type="dxa"/>
            <w:gridSpan w:val="3"/>
            <w:vAlign w:val="center"/>
          </w:tcPr>
          <w:p w14:paraId="010541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规范标准</w:t>
            </w:r>
          </w:p>
        </w:tc>
        <w:tc>
          <w:tcPr>
            <w:tcW w:w="7847" w:type="dxa"/>
            <w:gridSpan w:val="2"/>
            <w:vAlign w:val="center"/>
          </w:tcPr>
          <w:p w14:paraId="6A4EA5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采购标的需执行的国家标准、行业标准、地方标准或者其他标准、规范。</w:t>
            </w:r>
          </w:p>
        </w:tc>
      </w:tr>
    </w:tbl>
    <w:p w14:paraId="3E06C7F5">
      <w:pPr>
        <w:spacing w:line="428" w:lineRule="exact"/>
        <w:ind w:left="119"/>
        <w:rPr>
          <w:rFonts w:hint="eastAsia" w:ascii="宋体" w:hAnsi="宋体" w:cs="宋体"/>
          <w:color w:val="auto"/>
          <w:highlight w:val="none"/>
        </w:rPr>
        <w:sectPr>
          <w:footerReference r:id="rId7" w:type="default"/>
          <w:pgSz w:w="11906" w:h="16838"/>
          <w:pgMar w:top="1134" w:right="1134" w:bottom="1134" w:left="1134" w:header="720" w:footer="720" w:gutter="0"/>
          <w:pgNumType w:fmt="decimal" w:start="1"/>
          <w:cols w:space="720" w:num="1"/>
          <w:docGrid w:type="lines" w:linePitch="331" w:charSpace="0"/>
        </w:sectPr>
      </w:pPr>
      <w:r>
        <w:rPr>
          <w:rFonts w:hint="eastAsia" w:ascii="宋体" w:hAnsi="宋体" w:cs="宋体"/>
          <w:color w:val="auto"/>
          <w:highlight w:val="none"/>
        </w:rPr>
        <w:br w:type="page"/>
      </w:r>
    </w:p>
    <w:p w14:paraId="2C47B8F6">
      <w:pPr>
        <w:pStyle w:val="18"/>
        <w:spacing w:line="600" w:lineRule="exact"/>
        <w:jc w:val="both"/>
        <w:rPr>
          <w:rFonts w:hint="eastAsia"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附件</w:t>
      </w:r>
      <w:r>
        <w:rPr>
          <w:rFonts w:hint="eastAsia" w:ascii="微软雅黑" w:hAnsi="微软雅黑" w:eastAsia="微软雅黑" w:cs="微软雅黑"/>
          <w:color w:val="auto"/>
          <w:sz w:val="32"/>
          <w:szCs w:val="32"/>
          <w:highlight w:val="none"/>
          <w:lang w:val="en-US" w:eastAsia="zh-CN"/>
        </w:rPr>
        <w:t>1：</w:t>
      </w:r>
    </w:p>
    <w:p w14:paraId="21A81A43">
      <w:pPr>
        <w:pStyle w:val="18"/>
        <w:spacing w:line="600" w:lineRule="exact"/>
        <w:jc w:val="center"/>
        <w:rPr>
          <w:rFonts w:hint="eastAsia" w:ascii="微软雅黑" w:hAnsi="微软雅黑" w:eastAsia="微软雅黑" w:cs="微软雅黑"/>
          <w:color w:val="auto"/>
          <w:sz w:val="32"/>
          <w:szCs w:val="32"/>
          <w:highlight w:val="none"/>
          <w:lang w:eastAsia="zh-CN"/>
        </w:rPr>
      </w:pPr>
      <w:r>
        <w:rPr>
          <w:rFonts w:hint="eastAsia" w:ascii="微软雅黑" w:hAnsi="微软雅黑" w:eastAsia="微软雅黑" w:cs="微软雅黑"/>
          <w:color w:val="auto"/>
          <w:sz w:val="32"/>
          <w:szCs w:val="32"/>
          <w:highlight w:val="none"/>
          <w:lang w:eastAsia="zh-CN"/>
        </w:rPr>
        <w:t>服务承诺函</w:t>
      </w:r>
    </w:p>
    <w:p w14:paraId="2E23F304">
      <w:pPr>
        <w:widowControl/>
        <w:spacing w:line="560" w:lineRule="exact"/>
        <w:ind w:firstLine="640" w:firstLineChars="200"/>
        <w:outlineLvl w:val="0"/>
        <w:rPr>
          <w:rFonts w:ascii="仿宋" w:hAnsi="仿宋" w:eastAsia="仿宋" w:cs="仿宋"/>
          <w:color w:val="000000" w:themeColor="text1"/>
          <w:kern w:val="0"/>
          <w:sz w:val="32"/>
          <w:szCs w:val="32"/>
          <w14:textFill>
            <w14:solidFill>
              <w14:schemeClr w14:val="tx1"/>
            </w14:solidFill>
          </w14:textFill>
        </w:rPr>
      </w:pPr>
    </w:p>
    <w:p w14:paraId="391597C1">
      <w:pPr>
        <w:widowControl/>
        <w:spacing w:line="560" w:lineRule="exact"/>
        <w:ind w:firstLine="480" w:firstLineChars="200"/>
        <w:outlineLvl w:val="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我方参加</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项目名称                  </w:t>
      </w:r>
      <w:r>
        <w:rPr>
          <w:rFonts w:hint="eastAsia" w:ascii="宋体" w:hAnsi="宋体" w:eastAsia="宋体" w:cs="宋体"/>
          <w:color w:val="000000" w:themeColor="text1"/>
          <w:kern w:val="0"/>
          <w:sz w:val="24"/>
          <w:szCs w:val="24"/>
          <w14:textFill>
            <w14:solidFill>
              <w14:schemeClr w14:val="tx1"/>
            </w14:solidFill>
          </w14:textFill>
        </w:rPr>
        <w:t>，遵守《中华人民共和国政府采购法》《中华人民共和国招标投标法》等法律法规要求，承诺保障以下服务：</w:t>
      </w:r>
    </w:p>
    <w:p w14:paraId="493E16E0">
      <w:pPr>
        <w:widowControl/>
        <w:spacing w:line="560" w:lineRule="exact"/>
        <w:ind w:firstLine="480" w:firstLineChars="200"/>
        <w:outlineLvl w:val="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lang w:val="en-US" w:eastAsia="zh-CN"/>
          <w14:textFill>
            <w14:solidFill>
              <w14:schemeClr w14:val="tx1"/>
            </w14:solidFill>
          </w14:textFill>
        </w:rPr>
        <w:t>响应</w:t>
      </w:r>
      <w:r>
        <w:rPr>
          <w:rFonts w:hint="eastAsia" w:ascii="宋体" w:hAnsi="宋体" w:eastAsia="宋体" w:cs="宋体"/>
          <w:color w:val="000000" w:themeColor="text1"/>
          <w:kern w:val="0"/>
          <w:sz w:val="24"/>
          <w:szCs w:val="24"/>
          <w14:textFill>
            <w14:solidFill>
              <w14:schemeClr w14:val="tx1"/>
            </w14:solidFill>
          </w14:textFill>
        </w:rPr>
        <w:t>产品来源正规。</w:t>
      </w:r>
      <w:r>
        <w:rPr>
          <w:rFonts w:hint="eastAsia" w:ascii="宋体" w:hAnsi="宋体" w:cs="宋体"/>
          <w:color w:val="000000" w:themeColor="text1"/>
          <w:kern w:val="0"/>
          <w:sz w:val="24"/>
          <w:szCs w:val="24"/>
          <w:lang w:val="en-US" w:eastAsia="zh-CN"/>
          <w14:textFill>
            <w14:solidFill>
              <w14:schemeClr w14:val="tx1"/>
            </w14:solidFill>
          </w14:textFill>
        </w:rPr>
        <w:t>响应</w:t>
      </w:r>
      <w:r>
        <w:rPr>
          <w:rFonts w:hint="eastAsia" w:ascii="宋体" w:hAnsi="宋体" w:eastAsia="宋体" w:cs="宋体"/>
          <w:color w:val="000000" w:themeColor="text1"/>
          <w:kern w:val="0"/>
          <w:sz w:val="24"/>
          <w:szCs w:val="24"/>
          <w14:textFill>
            <w14:solidFill>
              <w14:schemeClr w14:val="tx1"/>
            </w14:solidFill>
          </w14:textFill>
        </w:rPr>
        <w:t>产品为厂家标准配置的整套全新产品，具备正规合法经销渠道，符合国家各项有关质量标准的合格产品；</w:t>
      </w:r>
    </w:p>
    <w:p w14:paraId="45A3BCB8">
      <w:pPr>
        <w:pStyle w:val="9"/>
        <w:spacing w:line="560" w:lineRule="exact"/>
        <w:ind w:firstLine="480" w:firstLineChars="200"/>
        <w:rPr>
          <w:rFonts w:hint="eastAsia" w:ascii="宋体" w:hAnsi="宋体" w:eastAsia="宋体" w:cs="宋体"/>
          <w:bCs/>
          <w:color w:val="000000"/>
          <w:sz w:val="24"/>
          <w:szCs w:val="24"/>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bCs/>
          <w:color w:val="000000"/>
          <w:sz w:val="24"/>
          <w:szCs w:val="24"/>
        </w:rPr>
        <w:t>车型公告手续完整。保证装备监测仪器及配套设施后的车辆办理工信部门车型备案，具备</w:t>
      </w:r>
      <w:r>
        <w:rPr>
          <w:rFonts w:hint="eastAsia" w:ascii="宋体" w:hAnsi="宋体" w:eastAsia="宋体" w:cs="宋体"/>
          <w:bCs/>
          <w:color w:val="000000"/>
          <w:sz w:val="24"/>
          <w:szCs w:val="24"/>
          <w:shd w:val="clear" w:color="auto" w:fill="FFFFFF"/>
        </w:rPr>
        <w:t>机动车整车出厂的合格证明，</w:t>
      </w:r>
      <w:r>
        <w:rPr>
          <w:rFonts w:hint="eastAsia" w:ascii="宋体" w:hAnsi="宋体" w:eastAsia="宋体" w:cs="宋体"/>
          <w:bCs/>
          <w:color w:val="000000"/>
          <w:sz w:val="24"/>
          <w:szCs w:val="24"/>
        </w:rPr>
        <w:t>能在工信部网站查询，确保符合车辆完整装备后的上牌条件；</w:t>
      </w:r>
    </w:p>
    <w:p w14:paraId="524FBA91">
      <w:pPr>
        <w:spacing w:line="56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3.提供车辆上牌服务。车辆完成监测仪器及配套设施装配后，</w:t>
      </w:r>
      <w:r>
        <w:rPr>
          <w:rFonts w:hint="eastAsia" w:ascii="宋体" w:hAnsi="宋体" w:eastAsia="宋体" w:cs="宋体"/>
          <w:bCs/>
          <w:color w:val="000000"/>
          <w:sz w:val="24"/>
          <w:szCs w:val="24"/>
          <w:lang w:eastAsia="zh-CN"/>
        </w:rPr>
        <w:t>我方</w:t>
      </w:r>
      <w:r>
        <w:rPr>
          <w:rFonts w:hint="eastAsia" w:ascii="宋体" w:hAnsi="宋体" w:eastAsia="宋体" w:cs="宋体"/>
          <w:bCs/>
          <w:color w:val="000000"/>
          <w:sz w:val="24"/>
          <w:szCs w:val="24"/>
        </w:rPr>
        <w:t>负责办理</w:t>
      </w:r>
      <w:r>
        <w:rPr>
          <w:rFonts w:hint="eastAsia" w:ascii="宋体" w:hAnsi="宋体" w:cs="宋体"/>
          <w:bCs/>
          <w:color w:val="000000"/>
          <w:sz w:val="24"/>
          <w:szCs w:val="24"/>
          <w:lang w:val="en-US" w:eastAsia="zh-CN"/>
        </w:rPr>
        <w:t>来宾</w:t>
      </w:r>
      <w:r>
        <w:rPr>
          <w:rFonts w:hint="eastAsia" w:ascii="宋体" w:hAnsi="宋体" w:eastAsia="宋体" w:cs="宋体"/>
          <w:bCs/>
          <w:color w:val="000000"/>
          <w:sz w:val="24"/>
          <w:szCs w:val="24"/>
        </w:rPr>
        <w:t>市机动车牌照，</w:t>
      </w:r>
      <w:r>
        <w:rPr>
          <w:rFonts w:hint="eastAsia" w:ascii="宋体" w:hAnsi="宋体" w:eastAsia="宋体" w:cs="宋体"/>
          <w:bCs/>
          <w:color w:val="000000"/>
          <w:sz w:val="24"/>
          <w:szCs w:val="24"/>
          <w:shd w:val="clear" w:color="auto" w:fill="FFFFFF"/>
        </w:rPr>
        <w:t>取得机动车登记证书和行驶证。办理</w:t>
      </w:r>
      <w:r>
        <w:rPr>
          <w:rFonts w:hint="eastAsia" w:ascii="宋体" w:hAnsi="宋体" w:eastAsia="宋体" w:cs="宋体"/>
          <w:bCs/>
          <w:color w:val="000000"/>
          <w:sz w:val="24"/>
          <w:szCs w:val="24"/>
        </w:rPr>
        <w:t>过程中产生的</w:t>
      </w:r>
      <w:r>
        <w:rPr>
          <w:rFonts w:hint="eastAsia" w:ascii="宋体" w:hAnsi="宋体" w:eastAsia="宋体" w:cs="宋体"/>
          <w:bCs/>
          <w:color w:val="000000"/>
          <w:sz w:val="24"/>
          <w:szCs w:val="24"/>
          <w:highlight w:val="none"/>
        </w:rPr>
        <w:t>购置税、车船税</w:t>
      </w:r>
      <w:r>
        <w:rPr>
          <w:rFonts w:hint="eastAsia" w:ascii="宋体" w:hAnsi="宋体" w:eastAsia="宋体" w:cs="宋体"/>
          <w:bCs/>
          <w:color w:val="000000"/>
          <w:sz w:val="24"/>
          <w:szCs w:val="24"/>
          <w:highlight w:val="none"/>
          <w:lang w:eastAsia="zh-CN"/>
        </w:rPr>
        <w:t>和上牌费用</w:t>
      </w:r>
      <w:r>
        <w:rPr>
          <w:rFonts w:hint="eastAsia" w:ascii="宋体" w:hAnsi="宋体" w:eastAsia="宋体" w:cs="宋体"/>
          <w:bCs/>
          <w:color w:val="000000"/>
          <w:sz w:val="24"/>
          <w:szCs w:val="24"/>
        </w:rPr>
        <w:t>由</w:t>
      </w:r>
      <w:r>
        <w:rPr>
          <w:rFonts w:hint="eastAsia" w:ascii="宋体" w:hAnsi="宋体" w:eastAsia="宋体" w:cs="宋体"/>
          <w:bCs/>
          <w:color w:val="000000"/>
          <w:sz w:val="24"/>
          <w:szCs w:val="24"/>
          <w:lang w:eastAsia="zh-CN"/>
        </w:rPr>
        <w:t>我方</w:t>
      </w:r>
      <w:r>
        <w:rPr>
          <w:rFonts w:hint="eastAsia" w:ascii="宋体" w:hAnsi="宋体" w:eastAsia="宋体" w:cs="宋体"/>
          <w:bCs/>
          <w:color w:val="000000"/>
          <w:sz w:val="24"/>
          <w:szCs w:val="24"/>
        </w:rPr>
        <w:t>承担，采购人不再额外支付费用；</w:t>
      </w:r>
    </w:p>
    <w:p w14:paraId="2C079842">
      <w:pPr>
        <w:snapToGrid w:val="0"/>
        <w:spacing w:line="56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4.送车服务。车辆完成监测仪器及配套设施装配后，整车配送至采购人指定地点，配送过程中产生的运输费、人工费、道路交通费等由</w:t>
      </w:r>
      <w:r>
        <w:rPr>
          <w:rFonts w:hint="eastAsia" w:ascii="宋体" w:hAnsi="宋体" w:eastAsia="宋体" w:cs="宋体"/>
          <w:bCs/>
          <w:color w:val="000000"/>
          <w:sz w:val="24"/>
          <w:szCs w:val="24"/>
          <w:lang w:eastAsia="zh-CN"/>
        </w:rPr>
        <w:t>我方</w:t>
      </w:r>
      <w:r>
        <w:rPr>
          <w:rFonts w:hint="eastAsia" w:ascii="宋体" w:hAnsi="宋体" w:eastAsia="宋体" w:cs="宋体"/>
          <w:bCs/>
          <w:color w:val="000000"/>
          <w:sz w:val="24"/>
          <w:szCs w:val="24"/>
        </w:rPr>
        <w:t>承担，采购人不再额外支付费用。</w:t>
      </w:r>
    </w:p>
    <w:p w14:paraId="361CFFDB">
      <w:pPr>
        <w:snapToGrid w:val="0"/>
        <w:spacing w:line="560" w:lineRule="exact"/>
        <w:ind w:firstLine="480" w:firstLineChars="20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5.质量保障服务。质保期不少于3年或6万公里行程，质保期内负责保修。</w:t>
      </w:r>
    </w:p>
    <w:p w14:paraId="2896CAF5">
      <w:pPr>
        <w:snapToGrid w:val="0"/>
        <w:spacing w:line="560" w:lineRule="exact"/>
        <w:ind w:firstLine="2640" w:firstLineChars="1100"/>
        <w:rPr>
          <w:rFonts w:hint="eastAsia" w:ascii="宋体" w:hAnsi="宋体" w:eastAsia="宋体" w:cs="宋体"/>
          <w:bCs/>
          <w:color w:val="000000"/>
          <w:sz w:val="24"/>
          <w:szCs w:val="24"/>
        </w:rPr>
      </w:pPr>
    </w:p>
    <w:p w14:paraId="713165CA">
      <w:pPr>
        <w:snapToGrid w:val="0"/>
        <w:spacing w:line="560" w:lineRule="exact"/>
        <w:ind w:firstLine="2640" w:firstLineChars="11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单位名称（盖章）：            </w:t>
      </w:r>
    </w:p>
    <w:p w14:paraId="72E2628D">
      <w:pPr>
        <w:snapToGrid w:val="0"/>
        <w:spacing w:line="56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年    月   日</w:t>
      </w:r>
    </w:p>
    <w:p w14:paraId="627622FC">
      <w:pPr>
        <w:snapToGrid w:val="0"/>
        <w:spacing w:line="600" w:lineRule="exact"/>
        <w:ind w:firstLine="480" w:firstLineChars="200"/>
        <w:rPr>
          <w:rFonts w:hint="eastAsia" w:ascii="宋体" w:hAnsi="宋体" w:eastAsia="宋体" w:cs="宋体"/>
          <w:bCs/>
          <w:color w:val="000000"/>
          <w:sz w:val="24"/>
          <w:szCs w:val="24"/>
        </w:rPr>
        <w:sectPr>
          <w:pgSz w:w="11906" w:h="16838"/>
          <w:pgMar w:top="1247" w:right="1247" w:bottom="1247" w:left="1247" w:header="851" w:footer="992" w:gutter="0"/>
          <w:pgNumType w:fmt="decimal"/>
          <w:cols w:space="425" w:num="1"/>
          <w:docGrid w:type="lines" w:linePitch="312" w:charSpace="0"/>
        </w:sectPr>
      </w:pPr>
    </w:p>
    <w:p w14:paraId="646BCD92">
      <w:pPr>
        <w:spacing w:line="428" w:lineRule="exact"/>
        <w:ind w:left="119"/>
        <w:rPr>
          <w:rFonts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2</w:t>
      </w:r>
      <w:r>
        <w:rPr>
          <w:rFonts w:hint="eastAsia" w:ascii="微软雅黑" w:hAnsi="微软雅黑" w:eastAsia="微软雅黑" w:cs="微软雅黑"/>
          <w:color w:val="auto"/>
          <w:sz w:val="32"/>
          <w:szCs w:val="32"/>
          <w:highlight w:val="none"/>
        </w:rPr>
        <w:t>：</w:t>
      </w:r>
    </w:p>
    <w:p w14:paraId="60325B13">
      <w:pPr>
        <w:spacing w:before="7"/>
        <w:rPr>
          <w:rFonts w:ascii="Arial Unicode MS" w:hAnsi="Arial Unicode MS" w:eastAsia="Arial Unicode MS" w:cs="Arial Unicode MS"/>
          <w:color w:val="auto"/>
          <w:sz w:val="17"/>
          <w:szCs w:val="17"/>
          <w:highlight w:val="none"/>
        </w:rPr>
      </w:pPr>
    </w:p>
    <w:tbl>
      <w:tblPr>
        <w:tblStyle w:val="27"/>
        <w:tblW w:w="9220" w:type="dxa"/>
        <w:tblInd w:w="93" w:type="dxa"/>
        <w:tblLayout w:type="autofit"/>
        <w:tblCellMar>
          <w:top w:w="0" w:type="dxa"/>
          <w:left w:w="108" w:type="dxa"/>
          <w:bottom w:w="0" w:type="dxa"/>
          <w:right w:w="108" w:type="dxa"/>
        </w:tblCellMar>
      </w:tblPr>
      <w:tblGrid>
        <w:gridCol w:w="589"/>
        <w:gridCol w:w="1296"/>
        <w:gridCol w:w="1776"/>
        <w:gridCol w:w="1776"/>
        <w:gridCol w:w="3783"/>
      </w:tblGrid>
      <w:tr w14:paraId="2B34B44E">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tcPr>
          <w:p w14:paraId="59265CC6">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7290162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0AC512AA">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依据的标准</w:t>
            </w:r>
          </w:p>
        </w:tc>
      </w:tr>
      <w:tr w14:paraId="03386A3D">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vAlign w:val="center"/>
          </w:tcPr>
          <w:p w14:paraId="307BF4D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3C574EF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A020101计算机设备</w:t>
            </w:r>
          </w:p>
        </w:tc>
        <w:tc>
          <w:tcPr>
            <w:tcW w:w="1320" w:type="dxa"/>
            <w:tcBorders>
              <w:top w:val="nil"/>
              <w:left w:val="nil"/>
              <w:bottom w:val="single" w:color="000000" w:sz="8" w:space="0"/>
              <w:right w:val="single" w:color="000000" w:sz="8" w:space="0"/>
            </w:tcBorders>
            <w:vAlign w:val="center"/>
          </w:tcPr>
          <w:p w14:paraId="02337AA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★A02010104台式计算机</w:t>
            </w:r>
          </w:p>
        </w:tc>
        <w:tc>
          <w:tcPr>
            <w:tcW w:w="1620" w:type="dxa"/>
            <w:tcBorders>
              <w:top w:val="nil"/>
              <w:left w:val="nil"/>
              <w:bottom w:val="single" w:color="000000" w:sz="8" w:space="0"/>
              <w:right w:val="single" w:color="000000" w:sz="8" w:space="0"/>
            </w:tcBorders>
            <w:vAlign w:val="center"/>
          </w:tcPr>
          <w:p w14:paraId="6789BB1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2D55C89D">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《微型计算机能效限定值及能效等级》（GB28380）</w:t>
            </w:r>
          </w:p>
        </w:tc>
      </w:tr>
      <w:tr w14:paraId="0307EC49">
        <w:tblPrEx>
          <w:tblCellMar>
            <w:top w:w="0" w:type="dxa"/>
            <w:left w:w="108" w:type="dxa"/>
            <w:bottom w:w="0" w:type="dxa"/>
            <w:right w:w="108" w:type="dxa"/>
          </w:tblCellMar>
        </w:tblPrEx>
        <w:trPr>
          <w:trHeight w:val="495"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49B61AB5">
            <w:pPr>
              <w:widowControl/>
              <w:jc w:val="left"/>
              <w:rPr>
                <w:rFonts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B9B7677">
            <w:pPr>
              <w:widowControl/>
              <w:jc w:val="left"/>
              <w:rPr>
                <w:rFonts w:ascii="宋体" w:hAnsi="宋体" w:cs="宋体"/>
                <w:color w:val="auto"/>
                <w:kern w:val="0"/>
                <w:sz w:val="24"/>
                <w:highlight w:val="none"/>
              </w:rPr>
            </w:pPr>
          </w:p>
        </w:tc>
        <w:tc>
          <w:tcPr>
            <w:tcW w:w="1320" w:type="dxa"/>
            <w:tcBorders>
              <w:top w:val="nil"/>
              <w:left w:val="nil"/>
              <w:bottom w:val="single" w:color="000000" w:sz="8" w:space="0"/>
              <w:right w:val="single" w:color="000000" w:sz="8" w:space="0"/>
            </w:tcBorders>
            <w:vAlign w:val="center"/>
          </w:tcPr>
          <w:p w14:paraId="77BF904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★A02010105便携式计算机</w:t>
            </w:r>
          </w:p>
        </w:tc>
        <w:tc>
          <w:tcPr>
            <w:tcW w:w="1620" w:type="dxa"/>
            <w:tcBorders>
              <w:top w:val="nil"/>
              <w:left w:val="nil"/>
              <w:bottom w:val="single" w:color="000000" w:sz="8" w:space="0"/>
              <w:right w:val="single" w:color="000000" w:sz="8" w:space="0"/>
            </w:tcBorders>
            <w:vAlign w:val="center"/>
          </w:tcPr>
          <w:p w14:paraId="5AA3CF8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4F46E1E9">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《微型计算机能效限定值及能效等级》（GB28380）</w:t>
            </w:r>
          </w:p>
        </w:tc>
      </w:tr>
      <w:tr w14:paraId="2A4CBF70">
        <w:tblPrEx>
          <w:tblCellMar>
            <w:top w:w="0" w:type="dxa"/>
            <w:left w:w="108" w:type="dxa"/>
            <w:bottom w:w="0" w:type="dxa"/>
            <w:right w:w="108" w:type="dxa"/>
          </w:tblCellMar>
        </w:tblPrEx>
        <w:trPr>
          <w:trHeight w:val="735"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331CF044">
            <w:pPr>
              <w:widowControl/>
              <w:jc w:val="left"/>
              <w:rPr>
                <w:rFonts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4442A4F">
            <w:pPr>
              <w:widowControl/>
              <w:jc w:val="left"/>
              <w:rPr>
                <w:rFonts w:ascii="宋体" w:hAnsi="宋体" w:cs="宋体"/>
                <w:color w:val="auto"/>
                <w:kern w:val="0"/>
                <w:sz w:val="24"/>
                <w:highlight w:val="none"/>
              </w:rPr>
            </w:pPr>
          </w:p>
        </w:tc>
        <w:tc>
          <w:tcPr>
            <w:tcW w:w="1320" w:type="dxa"/>
            <w:tcBorders>
              <w:top w:val="nil"/>
              <w:left w:val="nil"/>
              <w:bottom w:val="single" w:color="000000" w:sz="8" w:space="0"/>
              <w:right w:val="single" w:color="000000" w:sz="8" w:space="0"/>
            </w:tcBorders>
            <w:vAlign w:val="center"/>
          </w:tcPr>
          <w:p w14:paraId="38B0BAF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43C6771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1474A46F">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《微型计算机能效限定值及能效等级》（GB28380）</w:t>
            </w:r>
          </w:p>
        </w:tc>
      </w:tr>
      <w:tr w14:paraId="3DD18D67">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B6F3D2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5C342BD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6ECB6AC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A02010601打印设备</w:t>
            </w:r>
          </w:p>
        </w:tc>
        <w:tc>
          <w:tcPr>
            <w:tcW w:w="1620" w:type="dxa"/>
            <w:tcBorders>
              <w:top w:val="nil"/>
              <w:left w:val="nil"/>
              <w:bottom w:val="single" w:color="000000" w:sz="8" w:space="0"/>
              <w:right w:val="single" w:color="000000" w:sz="8" w:space="0"/>
            </w:tcBorders>
            <w:vAlign w:val="center"/>
          </w:tcPr>
          <w:p w14:paraId="210F867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A0201060101喷墨打印机</w:t>
            </w:r>
          </w:p>
        </w:tc>
        <w:tc>
          <w:tcPr>
            <w:tcW w:w="4540" w:type="dxa"/>
            <w:tcBorders>
              <w:top w:val="nil"/>
              <w:left w:val="nil"/>
              <w:bottom w:val="single" w:color="000000" w:sz="8" w:space="0"/>
              <w:right w:val="single" w:color="000000" w:sz="8" w:space="0"/>
            </w:tcBorders>
            <w:vAlign w:val="center"/>
          </w:tcPr>
          <w:p w14:paraId="629DFDEF">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《复印机、打印机和传真机能效限定值及能效等级》（GB21521）</w:t>
            </w:r>
          </w:p>
        </w:tc>
      </w:tr>
      <w:tr w14:paraId="1A202B4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06CEB017">
            <w:pPr>
              <w:widowControl/>
              <w:jc w:val="left"/>
              <w:rPr>
                <w:rFonts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B53E5E2">
            <w:pPr>
              <w:widowControl/>
              <w:jc w:val="left"/>
              <w:rPr>
                <w:rFonts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9C89CAA">
            <w:pPr>
              <w:widowControl/>
              <w:jc w:val="left"/>
              <w:rPr>
                <w:rFonts w:ascii="宋体" w:hAnsi="宋体" w:cs="宋体"/>
                <w:color w:val="auto"/>
                <w:kern w:val="0"/>
                <w:sz w:val="24"/>
                <w:highlight w:val="none"/>
              </w:rPr>
            </w:pPr>
          </w:p>
        </w:tc>
        <w:tc>
          <w:tcPr>
            <w:tcW w:w="1620" w:type="dxa"/>
            <w:tcBorders>
              <w:top w:val="nil"/>
              <w:left w:val="nil"/>
              <w:bottom w:val="single" w:color="000000" w:sz="8" w:space="0"/>
              <w:right w:val="single" w:color="000000" w:sz="8" w:space="0"/>
            </w:tcBorders>
            <w:vAlign w:val="center"/>
          </w:tcPr>
          <w:p w14:paraId="130D834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★A0201060102激光打印机</w:t>
            </w:r>
          </w:p>
        </w:tc>
        <w:tc>
          <w:tcPr>
            <w:tcW w:w="4540" w:type="dxa"/>
            <w:tcBorders>
              <w:top w:val="nil"/>
              <w:left w:val="nil"/>
              <w:bottom w:val="single" w:color="000000" w:sz="8" w:space="0"/>
              <w:right w:val="single" w:color="000000" w:sz="8" w:space="0"/>
            </w:tcBorders>
            <w:vAlign w:val="center"/>
          </w:tcPr>
          <w:p w14:paraId="4189E1C0">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《复印机、打印机和传真机能效限定值及能效等级》（GB21521）</w:t>
            </w:r>
          </w:p>
        </w:tc>
      </w:tr>
      <w:tr w14:paraId="6767373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1D618665">
            <w:pPr>
              <w:widowControl/>
              <w:jc w:val="left"/>
              <w:rPr>
                <w:rFonts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2E4E4E8">
            <w:pPr>
              <w:widowControl/>
              <w:jc w:val="left"/>
              <w:rPr>
                <w:rFonts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A7AFCD6">
            <w:pPr>
              <w:widowControl/>
              <w:jc w:val="left"/>
              <w:rPr>
                <w:rFonts w:ascii="宋体" w:hAnsi="宋体" w:cs="宋体"/>
                <w:color w:val="auto"/>
                <w:kern w:val="0"/>
                <w:sz w:val="24"/>
                <w:highlight w:val="none"/>
              </w:rPr>
            </w:pPr>
          </w:p>
        </w:tc>
        <w:tc>
          <w:tcPr>
            <w:tcW w:w="1620" w:type="dxa"/>
            <w:tcBorders>
              <w:top w:val="nil"/>
              <w:left w:val="nil"/>
              <w:bottom w:val="single" w:color="000000" w:sz="8" w:space="0"/>
              <w:right w:val="single" w:color="000000" w:sz="8" w:space="0"/>
            </w:tcBorders>
            <w:vAlign w:val="center"/>
          </w:tcPr>
          <w:p w14:paraId="6AD8AE1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★A0201060104针式打印机</w:t>
            </w:r>
          </w:p>
        </w:tc>
        <w:tc>
          <w:tcPr>
            <w:tcW w:w="4540" w:type="dxa"/>
            <w:tcBorders>
              <w:top w:val="nil"/>
              <w:left w:val="nil"/>
              <w:bottom w:val="single" w:color="000000" w:sz="8" w:space="0"/>
              <w:right w:val="single" w:color="000000" w:sz="8" w:space="0"/>
            </w:tcBorders>
            <w:vAlign w:val="center"/>
          </w:tcPr>
          <w:p w14:paraId="677A4FD1">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《复印机、打印机和传真机能效限定值及能效等级》（GB21521）</w:t>
            </w:r>
          </w:p>
        </w:tc>
      </w:tr>
      <w:tr w14:paraId="25C4ACA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vAlign w:val="center"/>
          </w:tcPr>
          <w:p w14:paraId="511E874D">
            <w:pPr>
              <w:widowControl/>
              <w:jc w:val="left"/>
              <w:rPr>
                <w:rFonts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C857625">
            <w:pPr>
              <w:widowControl/>
              <w:jc w:val="left"/>
              <w:rPr>
                <w:rFonts w:ascii="宋体" w:hAnsi="宋体" w:cs="宋体"/>
                <w:color w:val="auto"/>
                <w:kern w:val="0"/>
                <w:sz w:val="24"/>
                <w:highlight w:val="none"/>
              </w:rPr>
            </w:pPr>
          </w:p>
        </w:tc>
        <w:tc>
          <w:tcPr>
            <w:tcW w:w="1320" w:type="dxa"/>
            <w:tcBorders>
              <w:top w:val="nil"/>
              <w:left w:val="nil"/>
              <w:bottom w:val="single" w:color="000000" w:sz="8" w:space="0"/>
              <w:right w:val="single" w:color="000000" w:sz="8" w:space="0"/>
            </w:tcBorders>
            <w:vAlign w:val="center"/>
          </w:tcPr>
          <w:p w14:paraId="200E05C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A02010604显示设备</w:t>
            </w:r>
          </w:p>
        </w:tc>
        <w:tc>
          <w:tcPr>
            <w:tcW w:w="1620" w:type="dxa"/>
            <w:tcBorders>
              <w:top w:val="nil"/>
              <w:left w:val="nil"/>
              <w:bottom w:val="single" w:color="000000" w:sz="8" w:space="0"/>
              <w:right w:val="single" w:color="000000" w:sz="8" w:space="0"/>
            </w:tcBorders>
            <w:vAlign w:val="center"/>
          </w:tcPr>
          <w:p w14:paraId="7009115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★A0201060401液晶显示器</w:t>
            </w:r>
          </w:p>
        </w:tc>
        <w:tc>
          <w:tcPr>
            <w:tcW w:w="4540" w:type="dxa"/>
            <w:tcBorders>
              <w:top w:val="nil"/>
              <w:left w:val="nil"/>
              <w:bottom w:val="single" w:color="000000" w:sz="8" w:space="0"/>
              <w:right w:val="single" w:color="000000" w:sz="8" w:space="0"/>
            </w:tcBorders>
            <w:vAlign w:val="center"/>
          </w:tcPr>
          <w:p w14:paraId="6F294D98">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《计算机显示器能效限定值及能效等级》（GB21520）</w:t>
            </w:r>
          </w:p>
        </w:tc>
      </w:tr>
      <w:tr w14:paraId="4452995D">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vAlign w:val="center"/>
          </w:tcPr>
          <w:p w14:paraId="6F4576F3">
            <w:pPr>
              <w:widowControl/>
              <w:jc w:val="left"/>
              <w:rPr>
                <w:rFonts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281CD00">
            <w:pPr>
              <w:widowControl/>
              <w:jc w:val="left"/>
              <w:rPr>
                <w:rFonts w:ascii="宋体" w:hAnsi="宋体" w:cs="宋体"/>
                <w:color w:val="auto"/>
                <w:kern w:val="0"/>
                <w:sz w:val="24"/>
                <w:highlight w:val="none"/>
              </w:rPr>
            </w:pPr>
          </w:p>
        </w:tc>
        <w:tc>
          <w:tcPr>
            <w:tcW w:w="1320" w:type="dxa"/>
            <w:tcBorders>
              <w:top w:val="nil"/>
              <w:left w:val="nil"/>
              <w:bottom w:val="single" w:color="000000" w:sz="8" w:space="0"/>
              <w:right w:val="single" w:color="000000" w:sz="8" w:space="0"/>
            </w:tcBorders>
            <w:vAlign w:val="center"/>
          </w:tcPr>
          <w:p w14:paraId="2A026A0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05FD427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A0201060901扫描仪</w:t>
            </w:r>
          </w:p>
        </w:tc>
        <w:tc>
          <w:tcPr>
            <w:tcW w:w="4540" w:type="dxa"/>
            <w:tcBorders>
              <w:top w:val="nil"/>
              <w:left w:val="nil"/>
              <w:bottom w:val="single" w:color="000000" w:sz="8" w:space="0"/>
              <w:right w:val="single" w:color="000000" w:sz="8" w:space="0"/>
            </w:tcBorders>
            <w:vAlign w:val="center"/>
          </w:tcPr>
          <w:p w14:paraId="6E251EEF">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参照《复印机、打印机和传真机能效限定值及能效等级》（GB21521中打印速度为15页/分的针式打印机相关要求中打印速度为15页/分的针式打印机相关要求</w:t>
            </w:r>
          </w:p>
        </w:tc>
      </w:tr>
      <w:tr w14:paraId="20D5EE4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658085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080" w:type="dxa"/>
            <w:tcBorders>
              <w:top w:val="nil"/>
              <w:left w:val="nil"/>
              <w:bottom w:val="single" w:color="000000" w:sz="8" w:space="0"/>
              <w:right w:val="single" w:color="000000" w:sz="8" w:space="0"/>
            </w:tcBorders>
            <w:vAlign w:val="center"/>
          </w:tcPr>
          <w:p w14:paraId="53872AD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A020202投影仪</w:t>
            </w:r>
          </w:p>
        </w:tc>
        <w:tc>
          <w:tcPr>
            <w:tcW w:w="1320" w:type="dxa"/>
            <w:tcBorders>
              <w:top w:val="nil"/>
              <w:left w:val="nil"/>
              <w:bottom w:val="single" w:color="000000" w:sz="8" w:space="0"/>
              <w:right w:val="single" w:color="000000" w:sz="8" w:space="0"/>
            </w:tcBorders>
            <w:vAlign w:val="center"/>
          </w:tcPr>
          <w:p w14:paraId="62AFC6C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tcBorders>
              <w:top w:val="nil"/>
              <w:left w:val="nil"/>
              <w:bottom w:val="single" w:color="000000" w:sz="8" w:space="0"/>
              <w:right w:val="single" w:color="000000" w:sz="8" w:space="0"/>
            </w:tcBorders>
            <w:vAlign w:val="center"/>
          </w:tcPr>
          <w:p w14:paraId="4347D94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26F004E2">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《投影机能效限定值及能效等级》（GB32028）</w:t>
            </w:r>
          </w:p>
        </w:tc>
      </w:tr>
      <w:tr w14:paraId="5E55C60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3C95FB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080" w:type="dxa"/>
            <w:tcBorders>
              <w:top w:val="nil"/>
              <w:left w:val="nil"/>
              <w:bottom w:val="single" w:color="000000" w:sz="8" w:space="0"/>
              <w:right w:val="single" w:color="000000" w:sz="8" w:space="0"/>
            </w:tcBorders>
            <w:vAlign w:val="center"/>
          </w:tcPr>
          <w:p w14:paraId="6344D6C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A020204多功能一体机</w:t>
            </w:r>
          </w:p>
        </w:tc>
        <w:tc>
          <w:tcPr>
            <w:tcW w:w="1320" w:type="dxa"/>
            <w:tcBorders>
              <w:top w:val="nil"/>
              <w:left w:val="nil"/>
              <w:bottom w:val="single" w:color="000000" w:sz="8" w:space="0"/>
              <w:right w:val="single" w:color="000000" w:sz="8" w:space="0"/>
            </w:tcBorders>
            <w:vAlign w:val="center"/>
          </w:tcPr>
          <w:p w14:paraId="264F4C1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tcBorders>
              <w:top w:val="nil"/>
              <w:left w:val="nil"/>
              <w:bottom w:val="single" w:color="000000" w:sz="8" w:space="0"/>
              <w:right w:val="single" w:color="000000" w:sz="8" w:space="0"/>
            </w:tcBorders>
            <w:vAlign w:val="center"/>
          </w:tcPr>
          <w:p w14:paraId="0ABF574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57E1ED8C">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《复印机、打印机和传真机能效限定值及能效等级》（GB21521）</w:t>
            </w:r>
          </w:p>
        </w:tc>
      </w:tr>
      <w:tr w14:paraId="5D9EB4E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auto" w:sz="4" w:space="0"/>
              <w:right w:val="single" w:color="000000" w:sz="8" w:space="0"/>
            </w:tcBorders>
            <w:vAlign w:val="center"/>
          </w:tcPr>
          <w:p w14:paraId="1A46F2B6">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080" w:type="dxa"/>
            <w:tcBorders>
              <w:top w:val="nil"/>
              <w:left w:val="nil"/>
              <w:bottom w:val="single" w:color="auto" w:sz="4" w:space="0"/>
              <w:right w:val="single" w:color="000000" w:sz="8" w:space="0"/>
            </w:tcBorders>
            <w:vAlign w:val="center"/>
          </w:tcPr>
          <w:p w14:paraId="2EEC5F0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A020519泵</w:t>
            </w:r>
          </w:p>
        </w:tc>
        <w:tc>
          <w:tcPr>
            <w:tcW w:w="1320" w:type="dxa"/>
            <w:tcBorders>
              <w:top w:val="nil"/>
              <w:left w:val="nil"/>
              <w:bottom w:val="single" w:color="auto" w:sz="4" w:space="0"/>
              <w:right w:val="single" w:color="000000" w:sz="8" w:space="0"/>
            </w:tcBorders>
            <w:vAlign w:val="center"/>
          </w:tcPr>
          <w:p w14:paraId="1A7A7D5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A02051901离心泵</w:t>
            </w:r>
          </w:p>
        </w:tc>
        <w:tc>
          <w:tcPr>
            <w:tcW w:w="1620" w:type="dxa"/>
            <w:tcBorders>
              <w:top w:val="nil"/>
              <w:left w:val="nil"/>
              <w:bottom w:val="single" w:color="auto" w:sz="4" w:space="0"/>
              <w:right w:val="single" w:color="000000" w:sz="8" w:space="0"/>
            </w:tcBorders>
            <w:vAlign w:val="center"/>
          </w:tcPr>
          <w:p w14:paraId="617BFE8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auto" w:sz="4" w:space="0"/>
              <w:right w:val="single" w:color="000000" w:sz="8" w:space="0"/>
            </w:tcBorders>
            <w:vAlign w:val="center"/>
          </w:tcPr>
          <w:p w14:paraId="3567DC6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《清水离心泵能效限定值及节能评价值》（GB19762）</w:t>
            </w:r>
          </w:p>
        </w:tc>
      </w:tr>
      <w:tr w14:paraId="7B63B8B9">
        <w:tblPrEx>
          <w:tblCellMar>
            <w:top w:w="0" w:type="dxa"/>
            <w:left w:w="108" w:type="dxa"/>
            <w:bottom w:w="0" w:type="dxa"/>
            <w:right w:w="108" w:type="dxa"/>
          </w:tblCellMar>
        </w:tblPrEx>
        <w:trPr>
          <w:trHeight w:val="735" w:hRule="atLeast"/>
        </w:trPr>
        <w:tc>
          <w:tcPr>
            <w:tcW w:w="660" w:type="dxa"/>
            <w:vMerge w:val="restart"/>
            <w:tcBorders>
              <w:top w:val="single" w:color="auto" w:sz="4" w:space="0"/>
              <w:left w:val="single" w:color="auto" w:sz="4" w:space="0"/>
              <w:bottom w:val="single" w:color="auto" w:sz="4" w:space="0"/>
              <w:right w:val="single" w:color="auto" w:sz="4" w:space="0"/>
            </w:tcBorders>
            <w:vAlign w:val="center"/>
          </w:tcPr>
          <w:p w14:paraId="6AAD003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7E552D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A020523制冷空调设备</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31C3440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★A02052301制冷压缩机</w:t>
            </w:r>
          </w:p>
        </w:tc>
        <w:tc>
          <w:tcPr>
            <w:tcW w:w="1620" w:type="dxa"/>
            <w:tcBorders>
              <w:top w:val="single" w:color="auto" w:sz="4" w:space="0"/>
              <w:left w:val="single" w:color="auto" w:sz="4" w:space="0"/>
              <w:bottom w:val="single" w:color="auto" w:sz="4" w:space="0"/>
              <w:right w:val="single" w:color="auto" w:sz="4" w:space="0"/>
            </w:tcBorders>
            <w:vAlign w:val="center"/>
          </w:tcPr>
          <w:p w14:paraId="09BBF30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冷水机组</w:t>
            </w:r>
          </w:p>
        </w:tc>
        <w:tc>
          <w:tcPr>
            <w:tcW w:w="4540" w:type="dxa"/>
            <w:tcBorders>
              <w:top w:val="single" w:color="auto" w:sz="4" w:space="0"/>
              <w:left w:val="single" w:color="auto" w:sz="4" w:space="0"/>
              <w:bottom w:val="single" w:color="auto" w:sz="4" w:space="0"/>
              <w:right w:val="single" w:color="auto" w:sz="4" w:space="0"/>
            </w:tcBorders>
            <w:vAlign w:val="center"/>
          </w:tcPr>
          <w:p w14:paraId="7E819C70">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《冷水机组能效限定值及能效等级》（GB19577），《低环境温度空气源热泵（冷水）机组能效限定值及能效等级》（GB37480）</w:t>
            </w:r>
          </w:p>
        </w:tc>
      </w:tr>
      <w:tr w14:paraId="6224A180">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499B1A">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309B990">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BBF837A">
            <w:pPr>
              <w:widowControl/>
              <w:jc w:val="left"/>
              <w:rPr>
                <w:rFonts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517D552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水源热泵机组</w:t>
            </w:r>
          </w:p>
        </w:tc>
        <w:tc>
          <w:tcPr>
            <w:tcW w:w="4540" w:type="dxa"/>
            <w:tcBorders>
              <w:top w:val="single" w:color="auto" w:sz="4" w:space="0"/>
              <w:left w:val="single" w:color="auto" w:sz="4" w:space="0"/>
              <w:bottom w:val="single" w:color="auto" w:sz="4" w:space="0"/>
              <w:right w:val="single" w:color="auto" w:sz="4" w:space="0"/>
            </w:tcBorders>
            <w:vAlign w:val="center"/>
          </w:tcPr>
          <w:p w14:paraId="71688C8B">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《水（地）源热泵机组能效限定值及能效等级》（GB30721）</w:t>
            </w:r>
          </w:p>
        </w:tc>
      </w:tr>
      <w:tr w14:paraId="71F87A53">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D969BAF">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5D5D33">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6A5F5BA">
            <w:pPr>
              <w:widowControl/>
              <w:jc w:val="left"/>
              <w:rPr>
                <w:rFonts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798BE19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溴化锂吸收式冷水机组</w:t>
            </w:r>
          </w:p>
        </w:tc>
        <w:tc>
          <w:tcPr>
            <w:tcW w:w="4540" w:type="dxa"/>
            <w:tcBorders>
              <w:top w:val="single" w:color="auto" w:sz="4" w:space="0"/>
              <w:left w:val="single" w:color="auto" w:sz="4" w:space="0"/>
              <w:bottom w:val="single" w:color="auto" w:sz="4" w:space="0"/>
              <w:right w:val="single" w:color="auto" w:sz="4" w:space="0"/>
            </w:tcBorders>
            <w:vAlign w:val="center"/>
          </w:tcPr>
          <w:p w14:paraId="084D073E">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《溴化锂吸收式冷水机组能效限定值及能效等级》（GB29540）</w:t>
            </w:r>
          </w:p>
        </w:tc>
      </w:tr>
      <w:tr w14:paraId="66800B56">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F6EB51C">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DC21C9">
            <w:pPr>
              <w:widowControl/>
              <w:jc w:val="left"/>
              <w:rPr>
                <w:rFonts w:ascii="宋体" w:hAnsi="宋体" w:cs="宋体"/>
                <w:color w:val="auto"/>
                <w:kern w:val="0"/>
                <w:sz w:val="24"/>
                <w:highlight w:val="none"/>
              </w:rPr>
            </w:pP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751B6556">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★A02052305空调机组</w:t>
            </w:r>
          </w:p>
        </w:tc>
        <w:tc>
          <w:tcPr>
            <w:tcW w:w="1620" w:type="dxa"/>
            <w:tcBorders>
              <w:top w:val="single" w:color="auto" w:sz="4" w:space="0"/>
              <w:left w:val="single" w:color="auto" w:sz="4" w:space="0"/>
              <w:bottom w:val="single" w:color="auto" w:sz="4" w:space="0"/>
              <w:right w:val="single" w:color="auto" w:sz="4" w:space="0"/>
            </w:tcBorders>
            <w:vAlign w:val="center"/>
          </w:tcPr>
          <w:p w14:paraId="39ADFF6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多联式空调（热泵）机组(制冷量&gt;14000W)</w:t>
            </w:r>
          </w:p>
        </w:tc>
        <w:tc>
          <w:tcPr>
            <w:tcW w:w="4540" w:type="dxa"/>
            <w:tcBorders>
              <w:top w:val="single" w:color="auto" w:sz="4" w:space="0"/>
              <w:left w:val="single" w:color="auto" w:sz="4" w:space="0"/>
              <w:bottom w:val="single" w:color="auto" w:sz="4" w:space="0"/>
              <w:right w:val="single" w:color="auto" w:sz="4" w:space="0"/>
            </w:tcBorders>
            <w:vAlign w:val="center"/>
          </w:tcPr>
          <w:p w14:paraId="5C9C803C">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《多联式空调（热泵）机组能效限定值及能源效率等级》（GB21454）</w:t>
            </w:r>
          </w:p>
        </w:tc>
      </w:tr>
      <w:tr w14:paraId="2509479C">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834FA01">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5E6202D">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58766FB">
            <w:pPr>
              <w:widowControl/>
              <w:jc w:val="left"/>
              <w:rPr>
                <w:rFonts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3C98E55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单元式空气调节机(制冷量&gt;14000W</w:t>
            </w:r>
          </w:p>
        </w:tc>
        <w:tc>
          <w:tcPr>
            <w:tcW w:w="4540" w:type="dxa"/>
            <w:tcBorders>
              <w:top w:val="single" w:color="auto" w:sz="4" w:space="0"/>
              <w:left w:val="single" w:color="auto" w:sz="4" w:space="0"/>
              <w:bottom w:val="single" w:color="auto" w:sz="4" w:space="0"/>
              <w:right w:val="single" w:color="auto" w:sz="4" w:space="0"/>
            </w:tcBorders>
            <w:vAlign w:val="center"/>
          </w:tcPr>
          <w:p w14:paraId="263CE89E">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《单元式空气调节机能效限定值及能效等级》（GB19576）《风管送风式空调机组能效限定值及能效等级》（GB37479）</w:t>
            </w:r>
          </w:p>
        </w:tc>
      </w:tr>
      <w:tr w14:paraId="6D017C28">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000000" w:sz="8" w:space="0"/>
              <w:right w:val="single" w:color="000000" w:sz="8" w:space="0"/>
            </w:tcBorders>
            <w:vAlign w:val="center"/>
          </w:tcPr>
          <w:p w14:paraId="0180FF4E">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000000" w:sz="8" w:space="0"/>
              <w:bottom w:val="single" w:color="000000" w:sz="8" w:space="0"/>
              <w:right w:val="single" w:color="000000" w:sz="8" w:space="0"/>
            </w:tcBorders>
            <w:vAlign w:val="center"/>
          </w:tcPr>
          <w:p w14:paraId="33DB9BAC">
            <w:pPr>
              <w:widowControl/>
              <w:jc w:val="left"/>
              <w:rPr>
                <w:rFonts w:ascii="宋体" w:hAnsi="宋体" w:cs="宋体"/>
                <w:color w:val="auto"/>
                <w:kern w:val="0"/>
                <w:sz w:val="24"/>
                <w:highlight w:val="none"/>
              </w:rPr>
            </w:pPr>
          </w:p>
        </w:tc>
        <w:tc>
          <w:tcPr>
            <w:tcW w:w="1320" w:type="dxa"/>
            <w:tcBorders>
              <w:top w:val="single" w:color="auto" w:sz="4" w:space="0"/>
              <w:left w:val="nil"/>
              <w:bottom w:val="single" w:color="000000" w:sz="8" w:space="0"/>
              <w:right w:val="single" w:color="000000" w:sz="8" w:space="0"/>
            </w:tcBorders>
            <w:vAlign w:val="center"/>
          </w:tcPr>
          <w:p w14:paraId="679A604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★A02052309专用制冷、空调设备</w:t>
            </w:r>
          </w:p>
        </w:tc>
        <w:tc>
          <w:tcPr>
            <w:tcW w:w="1620" w:type="dxa"/>
            <w:tcBorders>
              <w:top w:val="single" w:color="auto" w:sz="4" w:space="0"/>
              <w:left w:val="nil"/>
              <w:bottom w:val="single" w:color="000000" w:sz="8" w:space="0"/>
              <w:right w:val="single" w:color="000000" w:sz="8" w:space="0"/>
            </w:tcBorders>
            <w:vAlign w:val="center"/>
          </w:tcPr>
          <w:p w14:paraId="2AAF7C1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机房空调</w:t>
            </w:r>
          </w:p>
        </w:tc>
        <w:tc>
          <w:tcPr>
            <w:tcW w:w="4540" w:type="dxa"/>
            <w:tcBorders>
              <w:top w:val="single" w:color="auto" w:sz="4" w:space="0"/>
              <w:left w:val="nil"/>
              <w:bottom w:val="single" w:color="000000" w:sz="8" w:space="0"/>
              <w:right w:val="single" w:color="000000" w:sz="8" w:space="0"/>
            </w:tcBorders>
            <w:vAlign w:val="center"/>
          </w:tcPr>
          <w:p w14:paraId="63F4B43D">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《单元式空气调节机能效限定值及能效等级》（GB19576）</w:t>
            </w:r>
          </w:p>
        </w:tc>
      </w:tr>
      <w:tr w14:paraId="488E4D85">
        <w:tblPrEx>
          <w:tblCellMar>
            <w:top w:w="0" w:type="dxa"/>
            <w:left w:w="108" w:type="dxa"/>
            <w:bottom w:w="0" w:type="dxa"/>
            <w:right w:w="108" w:type="dxa"/>
          </w:tblCellMar>
        </w:tblPrEx>
        <w:trPr>
          <w:trHeight w:val="735" w:hRule="atLeast"/>
        </w:trPr>
        <w:tc>
          <w:tcPr>
            <w:tcW w:w="0" w:type="auto"/>
            <w:vMerge w:val="continue"/>
            <w:tcBorders>
              <w:top w:val="nil"/>
              <w:left w:val="single" w:color="auto" w:sz="4" w:space="0"/>
              <w:bottom w:val="single" w:color="000000" w:sz="8" w:space="0"/>
              <w:right w:val="single" w:color="000000" w:sz="8" w:space="0"/>
            </w:tcBorders>
            <w:vAlign w:val="center"/>
          </w:tcPr>
          <w:p w14:paraId="048D6D7F">
            <w:pPr>
              <w:widowControl/>
              <w:jc w:val="left"/>
              <w:rPr>
                <w:rFonts w:ascii="宋体" w:hAnsi="宋体" w:cs="宋体"/>
                <w:color w:val="auto"/>
                <w:kern w:val="0"/>
                <w:sz w:val="24"/>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2BF0DA8">
            <w:pPr>
              <w:widowControl/>
              <w:jc w:val="left"/>
              <w:rPr>
                <w:rFonts w:ascii="宋体" w:hAnsi="宋体" w:cs="宋体"/>
                <w:color w:val="auto"/>
                <w:kern w:val="0"/>
                <w:sz w:val="24"/>
                <w:highlight w:val="none"/>
              </w:rPr>
            </w:pPr>
          </w:p>
        </w:tc>
        <w:tc>
          <w:tcPr>
            <w:tcW w:w="1320" w:type="dxa"/>
            <w:tcBorders>
              <w:top w:val="nil"/>
              <w:left w:val="nil"/>
              <w:bottom w:val="single" w:color="000000" w:sz="8" w:space="0"/>
              <w:right w:val="single" w:color="000000" w:sz="8" w:space="0"/>
            </w:tcBorders>
            <w:vAlign w:val="center"/>
          </w:tcPr>
          <w:p w14:paraId="2690DAC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70FCEAD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冷却塔</w:t>
            </w:r>
          </w:p>
        </w:tc>
        <w:tc>
          <w:tcPr>
            <w:tcW w:w="4540" w:type="dxa"/>
            <w:tcBorders>
              <w:top w:val="nil"/>
              <w:left w:val="nil"/>
              <w:bottom w:val="single" w:color="000000" w:sz="8" w:space="0"/>
              <w:right w:val="single" w:color="000000" w:sz="8" w:space="0"/>
            </w:tcBorders>
            <w:vAlign w:val="center"/>
          </w:tcPr>
          <w:p w14:paraId="728C14A3">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《机械通风冷却塔第1部分：中小型开式冷却塔》（GB/T7190.1）；《机械通风冷却塔第2部分：大型开式冷却塔》（GB/T7190.2）</w:t>
            </w:r>
          </w:p>
        </w:tc>
      </w:tr>
      <w:tr w14:paraId="17DDD39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E531D0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080" w:type="dxa"/>
            <w:tcBorders>
              <w:top w:val="nil"/>
              <w:left w:val="nil"/>
              <w:bottom w:val="single" w:color="000000" w:sz="8" w:space="0"/>
              <w:right w:val="single" w:color="000000" w:sz="8" w:space="0"/>
            </w:tcBorders>
            <w:vAlign w:val="center"/>
          </w:tcPr>
          <w:p w14:paraId="7187F1F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A020601电机</w:t>
            </w:r>
          </w:p>
        </w:tc>
        <w:tc>
          <w:tcPr>
            <w:tcW w:w="1320" w:type="dxa"/>
            <w:tcBorders>
              <w:top w:val="nil"/>
              <w:left w:val="nil"/>
              <w:bottom w:val="single" w:color="000000" w:sz="8" w:space="0"/>
              <w:right w:val="single" w:color="000000" w:sz="8" w:space="0"/>
            </w:tcBorders>
            <w:vAlign w:val="center"/>
          </w:tcPr>
          <w:p w14:paraId="2ACD83C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tcBorders>
              <w:top w:val="nil"/>
              <w:left w:val="nil"/>
              <w:bottom w:val="single" w:color="000000" w:sz="8" w:space="0"/>
              <w:right w:val="single" w:color="000000" w:sz="8" w:space="0"/>
            </w:tcBorders>
            <w:vAlign w:val="center"/>
          </w:tcPr>
          <w:p w14:paraId="278510B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302B0D31">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《中小型三相异步电动机能效限定值及能效等级》（GB18613）</w:t>
            </w:r>
          </w:p>
        </w:tc>
      </w:tr>
      <w:tr w14:paraId="66DEB36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685502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1080" w:type="dxa"/>
            <w:tcBorders>
              <w:top w:val="nil"/>
              <w:left w:val="nil"/>
              <w:bottom w:val="single" w:color="000000" w:sz="8" w:space="0"/>
              <w:right w:val="single" w:color="000000" w:sz="8" w:space="0"/>
            </w:tcBorders>
            <w:vAlign w:val="center"/>
          </w:tcPr>
          <w:p w14:paraId="3E2A0F7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A020602变压器</w:t>
            </w:r>
          </w:p>
        </w:tc>
        <w:tc>
          <w:tcPr>
            <w:tcW w:w="1320" w:type="dxa"/>
            <w:tcBorders>
              <w:top w:val="nil"/>
              <w:left w:val="nil"/>
              <w:bottom w:val="single" w:color="000000" w:sz="8" w:space="0"/>
              <w:right w:val="single" w:color="000000" w:sz="8" w:space="0"/>
            </w:tcBorders>
            <w:vAlign w:val="center"/>
          </w:tcPr>
          <w:p w14:paraId="17B5155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配电变压器</w:t>
            </w:r>
          </w:p>
        </w:tc>
        <w:tc>
          <w:tcPr>
            <w:tcW w:w="1620" w:type="dxa"/>
            <w:tcBorders>
              <w:top w:val="nil"/>
              <w:left w:val="nil"/>
              <w:bottom w:val="single" w:color="000000" w:sz="8" w:space="0"/>
              <w:right w:val="single" w:color="000000" w:sz="8" w:space="0"/>
            </w:tcBorders>
            <w:vAlign w:val="center"/>
          </w:tcPr>
          <w:p w14:paraId="7BAEF49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42ECA037">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《三相配电变压器能效限定值及能效等级》（GB20052）</w:t>
            </w:r>
          </w:p>
        </w:tc>
      </w:tr>
      <w:tr w14:paraId="4F2F96D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auto" w:sz="4" w:space="0"/>
              <w:right w:val="single" w:color="000000" w:sz="8" w:space="0"/>
            </w:tcBorders>
            <w:vAlign w:val="center"/>
          </w:tcPr>
          <w:p w14:paraId="06769A1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1080" w:type="dxa"/>
            <w:tcBorders>
              <w:top w:val="nil"/>
              <w:left w:val="nil"/>
              <w:bottom w:val="single" w:color="auto" w:sz="4" w:space="0"/>
              <w:right w:val="single" w:color="000000" w:sz="8" w:space="0"/>
            </w:tcBorders>
            <w:vAlign w:val="center"/>
          </w:tcPr>
          <w:p w14:paraId="31964FB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★A020609镇流器</w:t>
            </w:r>
          </w:p>
        </w:tc>
        <w:tc>
          <w:tcPr>
            <w:tcW w:w="1320" w:type="dxa"/>
            <w:tcBorders>
              <w:top w:val="nil"/>
              <w:left w:val="nil"/>
              <w:bottom w:val="single" w:color="auto" w:sz="4" w:space="0"/>
              <w:right w:val="single" w:color="000000" w:sz="8" w:space="0"/>
            </w:tcBorders>
            <w:vAlign w:val="center"/>
          </w:tcPr>
          <w:p w14:paraId="55BDCB9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管型荧光灯镇流器</w:t>
            </w:r>
          </w:p>
        </w:tc>
        <w:tc>
          <w:tcPr>
            <w:tcW w:w="1620" w:type="dxa"/>
            <w:tcBorders>
              <w:top w:val="nil"/>
              <w:left w:val="nil"/>
              <w:bottom w:val="single" w:color="auto" w:sz="4" w:space="0"/>
              <w:right w:val="single" w:color="000000" w:sz="8" w:space="0"/>
            </w:tcBorders>
            <w:vAlign w:val="center"/>
          </w:tcPr>
          <w:p w14:paraId="615377C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auto" w:sz="4" w:space="0"/>
              <w:right w:val="single" w:color="000000" w:sz="8" w:space="0"/>
            </w:tcBorders>
            <w:vAlign w:val="center"/>
          </w:tcPr>
          <w:p w14:paraId="24E2BC62">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《管形荧光灯镇流器能效限定值及能效等级》（GB17896）</w:t>
            </w:r>
          </w:p>
        </w:tc>
      </w:tr>
      <w:tr w14:paraId="58C92148">
        <w:tblPrEx>
          <w:tblCellMar>
            <w:top w:w="0" w:type="dxa"/>
            <w:left w:w="108" w:type="dxa"/>
            <w:bottom w:w="0" w:type="dxa"/>
            <w:right w:w="108" w:type="dxa"/>
          </w:tblCellMar>
        </w:tblPrEx>
        <w:trPr>
          <w:trHeight w:val="495" w:hRule="atLeast"/>
        </w:trPr>
        <w:tc>
          <w:tcPr>
            <w:tcW w:w="660" w:type="dxa"/>
            <w:vMerge w:val="restart"/>
            <w:tcBorders>
              <w:top w:val="single" w:color="auto" w:sz="4" w:space="0"/>
              <w:left w:val="single" w:color="auto" w:sz="4" w:space="0"/>
              <w:bottom w:val="single" w:color="auto" w:sz="4" w:space="0"/>
              <w:right w:val="single" w:color="auto" w:sz="4" w:space="0"/>
            </w:tcBorders>
            <w:vAlign w:val="center"/>
          </w:tcPr>
          <w:p w14:paraId="0644449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62F34A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A020618生活用电器</w:t>
            </w:r>
          </w:p>
        </w:tc>
        <w:tc>
          <w:tcPr>
            <w:tcW w:w="1320" w:type="dxa"/>
            <w:tcBorders>
              <w:top w:val="single" w:color="auto" w:sz="4" w:space="0"/>
              <w:left w:val="single" w:color="auto" w:sz="4" w:space="0"/>
              <w:bottom w:val="single" w:color="auto" w:sz="4" w:space="0"/>
              <w:right w:val="single" w:color="auto" w:sz="4" w:space="0"/>
            </w:tcBorders>
            <w:vAlign w:val="center"/>
          </w:tcPr>
          <w:p w14:paraId="2A1EC9D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A0206180101电冰箱</w:t>
            </w:r>
          </w:p>
        </w:tc>
        <w:tc>
          <w:tcPr>
            <w:tcW w:w="1620" w:type="dxa"/>
            <w:tcBorders>
              <w:top w:val="single" w:color="auto" w:sz="4" w:space="0"/>
              <w:left w:val="single" w:color="auto" w:sz="4" w:space="0"/>
              <w:bottom w:val="single" w:color="auto" w:sz="4" w:space="0"/>
              <w:right w:val="single" w:color="auto" w:sz="4" w:space="0"/>
            </w:tcBorders>
            <w:vAlign w:val="center"/>
          </w:tcPr>
          <w:p w14:paraId="084AB90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single" w:color="auto" w:sz="4" w:space="0"/>
              <w:bottom w:val="single" w:color="auto" w:sz="4" w:space="0"/>
              <w:right w:val="single" w:color="auto" w:sz="4" w:space="0"/>
            </w:tcBorders>
            <w:vAlign w:val="center"/>
          </w:tcPr>
          <w:p w14:paraId="0853AF9E">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《家用电冰箱耗电量限定值及能效等级》（GB 12021.2）</w:t>
            </w:r>
          </w:p>
        </w:tc>
      </w:tr>
      <w:tr w14:paraId="4484FF3A">
        <w:tblPrEx>
          <w:tblCellMar>
            <w:top w:w="0" w:type="dxa"/>
            <w:left w:w="108" w:type="dxa"/>
            <w:bottom w:w="0" w:type="dxa"/>
            <w:right w:w="108" w:type="dxa"/>
          </w:tblCellMar>
        </w:tblPrEx>
        <w:trPr>
          <w:trHeight w:val="97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542700C">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2E1C570">
            <w:pPr>
              <w:widowControl/>
              <w:jc w:val="left"/>
              <w:rPr>
                <w:rFonts w:ascii="宋体" w:hAnsi="宋体" w:cs="宋体"/>
                <w:color w:val="auto"/>
                <w:kern w:val="0"/>
                <w:sz w:val="24"/>
                <w:highlight w:val="none"/>
              </w:rPr>
            </w:pP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1EF52A4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★A0206180203空调机</w:t>
            </w:r>
          </w:p>
        </w:tc>
        <w:tc>
          <w:tcPr>
            <w:tcW w:w="1620" w:type="dxa"/>
            <w:tcBorders>
              <w:top w:val="single" w:color="auto" w:sz="4" w:space="0"/>
              <w:left w:val="single" w:color="auto" w:sz="4" w:space="0"/>
              <w:bottom w:val="single" w:color="auto" w:sz="4" w:space="0"/>
              <w:right w:val="single" w:color="auto" w:sz="4" w:space="0"/>
            </w:tcBorders>
            <w:vAlign w:val="center"/>
          </w:tcPr>
          <w:p w14:paraId="61EAE94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房间空气调节器</w:t>
            </w:r>
          </w:p>
        </w:tc>
        <w:tc>
          <w:tcPr>
            <w:tcW w:w="4540" w:type="dxa"/>
            <w:tcBorders>
              <w:top w:val="single" w:color="auto" w:sz="4" w:space="0"/>
              <w:left w:val="single" w:color="auto" w:sz="4" w:space="0"/>
              <w:bottom w:val="single" w:color="auto" w:sz="4" w:space="0"/>
              <w:right w:val="single" w:color="auto" w:sz="4" w:space="0"/>
            </w:tcBorders>
            <w:vAlign w:val="center"/>
          </w:tcPr>
          <w:p w14:paraId="05C48656">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《转速可控型房间空气调节器能效限定值及能效等级》（GB21455-2013），待2019年修订发布后，按《房间空气调节器能效限定值及能效等级》（GB21455-2019实施。</w:t>
            </w:r>
          </w:p>
        </w:tc>
      </w:tr>
      <w:tr w14:paraId="4B55348D">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6D93F45">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8EA9E66">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5A4DD66">
            <w:pPr>
              <w:widowControl/>
              <w:jc w:val="left"/>
              <w:rPr>
                <w:rFonts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09A365B6">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多联式空调（热泵）机组（制冷量≤ 14000W）</w:t>
            </w:r>
          </w:p>
        </w:tc>
        <w:tc>
          <w:tcPr>
            <w:tcW w:w="4540" w:type="dxa"/>
            <w:tcBorders>
              <w:top w:val="single" w:color="auto" w:sz="4" w:space="0"/>
              <w:left w:val="single" w:color="auto" w:sz="4" w:space="0"/>
              <w:bottom w:val="single" w:color="auto" w:sz="4" w:space="0"/>
              <w:right w:val="single" w:color="auto" w:sz="4" w:space="0"/>
            </w:tcBorders>
            <w:vAlign w:val="center"/>
          </w:tcPr>
          <w:p w14:paraId="41E0881F">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《多联式空调（热泵）机组能效限定值及能源效率等级》（GB21454）</w:t>
            </w:r>
          </w:p>
        </w:tc>
      </w:tr>
      <w:tr w14:paraId="7E994820">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63138E7">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B1FC2EE">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73574A3">
            <w:pPr>
              <w:widowControl/>
              <w:jc w:val="left"/>
              <w:rPr>
                <w:rFonts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7808CE3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单元式空气调节机(制冷量≤14000W)</w:t>
            </w:r>
          </w:p>
        </w:tc>
        <w:tc>
          <w:tcPr>
            <w:tcW w:w="4540" w:type="dxa"/>
            <w:tcBorders>
              <w:top w:val="single" w:color="auto" w:sz="4" w:space="0"/>
              <w:left w:val="single" w:color="auto" w:sz="4" w:space="0"/>
              <w:bottom w:val="single" w:color="auto" w:sz="4" w:space="0"/>
              <w:right w:val="single" w:color="auto" w:sz="4" w:space="0"/>
            </w:tcBorders>
            <w:vAlign w:val="center"/>
          </w:tcPr>
          <w:p w14:paraId="72BE6FC8">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《单元式空气调节机能效限定值及能源效率等级》（GB19576）《风管送风式空调机组能效限定值及能效等级》（GB37479）</w:t>
            </w:r>
          </w:p>
        </w:tc>
      </w:tr>
      <w:tr w14:paraId="796EA03C">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B14D160">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F7E0DF0">
            <w:pPr>
              <w:widowControl/>
              <w:jc w:val="left"/>
              <w:rPr>
                <w:rFonts w:ascii="宋体" w:hAnsi="宋体" w:cs="宋体"/>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5DD784B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A0206180301洗衣机</w:t>
            </w:r>
          </w:p>
        </w:tc>
        <w:tc>
          <w:tcPr>
            <w:tcW w:w="1620" w:type="dxa"/>
            <w:tcBorders>
              <w:top w:val="single" w:color="auto" w:sz="4" w:space="0"/>
              <w:left w:val="single" w:color="auto" w:sz="4" w:space="0"/>
              <w:bottom w:val="single" w:color="auto" w:sz="4" w:space="0"/>
              <w:right w:val="single" w:color="auto" w:sz="4" w:space="0"/>
            </w:tcBorders>
            <w:vAlign w:val="center"/>
          </w:tcPr>
          <w:p w14:paraId="32730BA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single" w:color="auto" w:sz="4" w:space="0"/>
              <w:bottom w:val="single" w:color="auto" w:sz="4" w:space="0"/>
              <w:right w:val="single" w:color="auto" w:sz="4" w:space="0"/>
            </w:tcBorders>
            <w:vAlign w:val="center"/>
          </w:tcPr>
          <w:p w14:paraId="29893B68">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《电动洗衣机能效水效限定值及等级》（GB12021.4）</w:t>
            </w:r>
          </w:p>
        </w:tc>
      </w:tr>
      <w:tr w14:paraId="0DBFB904">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1BC7D22">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9A83D6F">
            <w:pPr>
              <w:widowControl/>
              <w:jc w:val="left"/>
              <w:rPr>
                <w:rFonts w:ascii="宋体" w:hAnsi="宋体" w:cs="宋体"/>
                <w:color w:val="auto"/>
                <w:kern w:val="0"/>
                <w:sz w:val="24"/>
                <w:highlight w:val="none"/>
              </w:rPr>
            </w:pPr>
          </w:p>
        </w:tc>
        <w:tc>
          <w:tcPr>
            <w:tcW w:w="1320" w:type="dxa"/>
            <w:vMerge w:val="restart"/>
            <w:tcBorders>
              <w:top w:val="single" w:color="auto" w:sz="4" w:space="0"/>
              <w:left w:val="single" w:color="auto" w:sz="4" w:space="0"/>
              <w:bottom w:val="single" w:color="auto" w:sz="4" w:space="0"/>
              <w:right w:val="single" w:color="auto" w:sz="4" w:space="0"/>
            </w:tcBorders>
            <w:vAlign w:val="center"/>
          </w:tcPr>
          <w:p w14:paraId="1E8E29B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A02061808热水器</w:t>
            </w:r>
          </w:p>
        </w:tc>
        <w:tc>
          <w:tcPr>
            <w:tcW w:w="1620" w:type="dxa"/>
            <w:tcBorders>
              <w:top w:val="single" w:color="auto" w:sz="4" w:space="0"/>
              <w:left w:val="single" w:color="auto" w:sz="4" w:space="0"/>
              <w:bottom w:val="single" w:color="auto" w:sz="4" w:space="0"/>
              <w:right w:val="single" w:color="auto" w:sz="4" w:space="0"/>
            </w:tcBorders>
            <w:vAlign w:val="center"/>
          </w:tcPr>
          <w:p w14:paraId="1D4C627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★电热水器</w:t>
            </w:r>
          </w:p>
        </w:tc>
        <w:tc>
          <w:tcPr>
            <w:tcW w:w="4540" w:type="dxa"/>
            <w:tcBorders>
              <w:top w:val="single" w:color="auto" w:sz="4" w:space="0"/>
              <w:left w:val="single" w:color="auto" w:sz="4" w:space="0"/>
              <w:bottom w:val="single" w:color="auto" w:sz="4" w:space="0"/>
              <w:right w:val="single" w:color="auto" w:sz="4" w:space="0"/>
            </w:tcBorders>
            <w:vAlign w:val="center"/>
          </w:tcPr>
          <w:p w14:paraId="6CCFB4EC">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《储水式电热水器能效限定值及能效等级》（GB21519）</w:t>
            </w:r>
          </w:p>
        </w:tc>
      </w:tr>
      <w:tr w14:paraId="5A397B86">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EAE964">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4E49D70">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FBE1838">
            <w:pPr>
              <w:widowControl/>
              <w:jc w:val="left"/>
              <w:rPr>
                <w:rFonts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3432BC0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燃气热水器</w:t>
            </w:r>
          </w:p>
        </w:tc>
        <w:tc>
          <w:tcPr>
            <w:tcW w:w="4540" w:type="dxa"/>
            <w:tcBorders>
              <w:top w:val="single" w:color="auto" w:sz="4" w:space="0"/>
              <w:left w:val="single" w:color="auto" w:sz="4" w:space="0"/>
              <w:bottom w:val="single" w:color="auto" w:sz="4" w:space="0"/>
              <w:right w:val="single" w:color="auto" w:sz="4" w:space="0"/>
            </w:tcBorders>
            <w:vAlign w:val="center"/>
          </w:tcPr>
          <w:p w14:paraId="32A0864D">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《家用燃气快速热水器和燃气采暖热水炉能效限定值及能效等级》（GB20665）</w:t>
            </w:r>
          </w:p>
        </w:tc>
      </w:tr>
      <w:tr w14:paraId="47360519">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8B00EF7">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C544BA1">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C93082">
            <w:pPr>
              <w:widowControl/>
              <w:jc w:val="left"/>
              <w:rPr>
                <w:rFonts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CA9703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热泵热水器</w:t>
            </w:r>
          </w:p>
        </w:tc>
        <w:tc>
          <w:tcPr>
            <w:tcW w:w="4540" w:type="dxa"/>
            <w:tcBorders>
              <w:top w:val="single" w:color="auto" w:sz="4" w:space="0"/>
              <w:left w:val="single" w:color="auto" w:sz="4" w:space="0"/>
              <w:bottom w:val="single" w:color="auto" w:sz="4" w:space="0"/>
              <w:right w:val="single" w:color="auto" w:sz="4" w:space="0"/>
            </w:tcBorders>
            <w:vAlign w:val="center"/>
          </w:tcPr>
          <w:p w14:paraId="54E92E80">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《热泵热水机（器）能效限定值及能效等级》（GB29541）</w:t>
            </w:r>
          </w:p>
        </w:tc>
      </w:tr>
      <w:tr w14:paraId="19965706">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3CE929">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423B17">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549D5FB">
            <w:pPr>
              <w:widowControl/>
              <w:jc w:val="left"/>
              <w:rPr>
                <w:rFonts w:ascii="宋体" w:hAnsi="宋体" w:cs="宋体"/>
                <w:color w:val="auto"/>
                <w:kern w:val="0"/>
                <w:sz w:val="24"/>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6D09D37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太阳能热水系统</w:t>
            </w:r>
          </w:p>
        </w:tc>
        <w:tc>
          <w:tcPr>
            <w:tcW w:w="4540" w:type="dxa"/>
            <w:tcBorders>
              <w:top w:val="single" w:color="auto" w:sz="4" w:space="0"/>
              <w:left w:val="single" w:color="auto" w:sz="4" w:space="0"/>
              <w:bottom w:val="single" w:color="auto" w:sz="4" w:space="0"/>
              <w:right w:val="single" w:color="auto" w:sz="4" w:space="0"/>
            </w:tcBorders>
            <w:vAlign w:val="center"/>
          </w:tcPr>
          <w:p w14:paraId="1552026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《家用太阳能热水系统能效限定值及能效等级》（GB26969）</w:t>
            </w:r>
          </w:p>
        </w:tc>
      </w:tr>
      <w:tr w14:paraId="081FD793">
        <w:tblPrEx>
          <w:tblCellMar>
            <w:top w:w="0" w:type="dxa"/>
            <w:left w:w="108" w:type="dxa"/>
            <w:bottom w:w="0" w:type="dxa"/>
            <w:right w:w="108" w:type="dxa"/>
          </w:tblCellMar>
        </w:tblPrEx>
        <w:trPr>
          <w:trHeight w:val="495" w:hRule="atLeast"/>
        </w:trPr>
        <w:tc>
          <w:tcPr>
            <w:tcW w:w="660" w:type="dxa"/>
            <w:vMerge w:val="restart"/>
            <w:tcBorders>
              <w:top w:val="single" w:color="auto" w:sz="4" w:space="0"/>
              <w:left w:val="single" w:color="auto" w:sz="4" w:space="0"/>
              <w:bottom w:val="single" w:color="auto" w:sz="4" w:space="0"/>
              <w:right w:val="single" w:color="auto" w:sz="4" w:space="0"/>
            </w:tcBorders>
            <w:vAlign w:val="center"/>
          </w:tcPr>
          <w:p w14:paraId="308A6ED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BECE90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A020619照明设备</w:t>
            </w:r>
          </w:p>
        </w:tc>
        <w:tc>
          <w:tcPr>
            <w:tcW w:w="1320" w:type="dxa"/>
            <w:tcBorders>
              <w:top w:val="single" w:color="auto" w:sz="4" w:space="0"/>
              <w:left w:val="single" w:color="auto" w:sz="4" w:space="0"/>
              <w:bottom w:val="single" w:color="auto" w:sz="4" w:space="0"/>
              <w:right w:val="single" w:color="auto" w:sz="4" w:space="0"/>
            </w:tcBorders>
            <w:vAlign w:val="center"/>
          </w:tcPr>
          <w:p w14:paraId="40F8642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★普通照明用双端荧光灯</w:t>
            </w:r>
          </w:p>
        </w:tc>
        <w:tc>
          <w:tcPr>
            <w:tcW w:w="1620" w:type="dxa"/>
            <w:tcBorders>
              <w:top w:val="single" w:color="auto" w:sz="4" w:space="0"/>
              <w:left w:val="single" w:color="auto" w:sz="4" w:space="0"/>
              <w:bottom w:val="single" w:color="auto" w:sz="4" w:space="0"/>
              <w:right w:val="single" w:color="auto" w:sz="4" w:space="0"/>
            </w:tcBorders>
            <w:vAlign w:val="center"/>
          </w:tcPr>
          <w:p w14:paraId="53D0C0F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single" w:color="auto" w:sz="4" w:space="0"/>
              <w:bottom w:val="single" w:color="auto" w:sz="4" w:space="0"/>
              <w:right w:val="single" w:color="auto" w:sz="4" w:space="0"/>
            </w:tcBorders>
            <w:vAlign w:val="center"/>
          </w:tcPr>
          <w:p w14:paraId="3B1CE41B">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《普通照明用双端荧光灯能效限定值及能效等级》（GB19043）</w:t>
            </w:r>
          </w:p>
        </w:tc>
      </w:tr>
      <w:tr w14:paraId="3FD7567A">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D94BF83">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3CA61F4">
            <w:pPr>
              <w:widowControl/>
              <w:jc w:val="left"/>
              <w:rPr>
                <w:rFonts w:ascii="宋体" w:hAnsi="宋体" w:cs="宋体"/>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3E535E8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LED道路/隧道照明产品</w:t>
            </w:r>
          </w:p>
        </w:tc>
        <w:tc>
          <w:tcPr>
            <w:tcW w:w="1620" w:type="dxa"/>
            <w:tcBorders>
              <w:top w:val="single" w:color="auto" w:sz="4" w:space="0"/>
              <w:left w:val="single" w:color="auto" w:sz="4" w:space="0"/>
              <w:bottom w:val="single" w:color="auto" w:sz="4" w:space="0"/>
              <w:right w:val="single" w:color="auto" w:sz="4" w:space="0"/>
            </w:tcBorders>
            <w:vAlign w:val="center"/>
          </w:tcPr>
          <w:p w14:paraId="288DF88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single" w:color="auto" w:sz="4" w:space="0"/>
              <w:bottom w:val="single" w:color="auto" w:sz="4" w:space="0"/>
              <w:right w:val="single" w:color="auto" w:sz="4" w:space="0"/>
            </w:tcBorders>
            <w:vAlign w:val="center"/>
          </w:tcPr>
          <w:p w14:paraId="440EC57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《道路和隧道照明用LED灯具能效限定值及能效等级》（GB37478）</w:t>
            </w:r>
          </w:p>
        </w:tc>
      </w:tr>
      <w:tr w14:paraId="565F9944">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C70B2CB">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294D66C">
            <w:pPr>
              <w:widowControl/>
              <w:jc w:val="left"/>
              <w:rPr>
                <w:rFonts w:ascii="宋体" w:hAnsi="宋体" w:cs="宋体"/>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29A6A6C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LED筒灯</w:t>
            </w:r>
          </w:p>
        </w:tc>
        <w:tc>
          <w:tcPr>
            <w:tcW w:w="1620" w:type="dxa"/>
            <w:tcBorders>
              <w:top w:val="single" w:color="auto" w:sz="4" w:space="0"/>
              <w:left w:val="single" w:color="auto" w:sz="4" w:space="0"/>
              <w:bottom w:val="single" w:color="auto" w:sz="4" w:space="0"/>
              <w:right w:val="single" w:color="auto" w:sz="4" w:space="0"/>
            </w:tcBorders>
            <w:vAlign w:val="center"/>
          </w:tcPr>
          <w:p w14:paraId="67355E5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single" w:color="auto" w:sz="4" w:space="0"/>
              <w:bottom w:val="single" w:color="auto" w:sz="4" w:space="0"/>
              <w:right w:val="single" w:color="auto" w:sz="4" w:space="0"/>
            </w:tcBorders>
            <w:vAlign w:val="center"/>
          </w:tcPr>
          <w:p w14:paraId="101F03AD">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《室内照明用LED产品能效限定值及能效等级》（GB30255）</w:t>
            </w:r>
          </w:p>
        </w:tc>
      </w:tr>
      <w:tr w14:paraId="642059C2">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7ED35B">
            <w:pPr>
              <w:widowControl/>
              <w:jc w:val="left"/>
              <w:rPr>
                <w:rFonts w:ascii="宋体" w:hAnsi="宋体" w:cs="宋体"/>
                <w:color w:val="auto"/>
                <w:kern w:val="0"/>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73ED2F">
            <w:pPr>
              <w:widowControl/>
              <w:jc w:val="left"/>
              <w:rPr>
                <w:rFonts w:ascii="宋体" w:hAnsi="宋体" w:cs="宋体"/>
                <w:color w:val="auto"/>
                <w:kern w:val="0"/>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1BDE10E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普通照明用非定向自镇流LED灯</w:t>
            </w:r>
          </w:p>
        </w:tc>
        <w:tc>
          <w:tcPr>
            <w:tcW w:w="1620" w:type="dxa"/>
            <w:tcBorders>
              <w:top w:val="single" w:color="auto" w:sz="4" w:space="0"/>
              <w:left w:val="single" w:color="auto" w:sz="4" w:space="0"/>
              <w:bottom w:val="single" w:color="auto" w:sz="4" w:space="0"/>
              <w:right w:val="single" w:color="auto" w:sz="4" w:space="0"/>
            </w:tcBorders>
            <w:vAlign w:val="center"/>
          </w:tcPr>
          <w:p w14:paraId="57CB3D2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single" w:color="auto" w:sz="4" w:space="0"/>
              <w:bottom w:val="single" w:color="auto" w:sz="4" w:space="0"/>
              <w:right w:val="single" w:color="auto" w:sz="4" w:space="0"/>
            </w:tcBorders>
            <w:vAlign w:val="center"/>
          </w:tcPr>
          <w:p w14:paraId="347FF692">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《室内照明用LED产品能效限定值及能效等级》（GB30255）</w:t>
            </w:r>
          </w:p>
        </w:tc>
      </w:tr>
      <w:tr w14:paraId="230205CE">
        <w:tblPrEx>
          <w:tblCellMar>
            <w:top w:w="0" w:type="dxa"/>
            <w:left w:w="108" w:type="dxa"/>
            <w:bottom w:w="0" w:type="dxa"/>
            <w:right w:w="108" w:type="dxa"/>
          </w:tblCellMar>
        </w:tblPrEx>
        <w:trPr>
          <w:trHeight w:val="735" w:hRule="atLeast"/>
        </w:trPr>
        <w:tc>
          <w:tcPr>
            <w:tcW w:w="660" w:type="dxa"/>
            <w:tcBorders>
              <w:top w:val="single" w:color="auto" w:sz="4" w:space="0"/>
              <w:left w:val="single" w:color="auto" w:sz="4" w:space="0"/>
              <w:bottom w:val="single" w:color="auto" w:sz="4" w:space="0"/>
              <w:right w:val="single" w:color="auto" w:sz="4" w:space="0"/>
            </w:tcBorders>
            <w:vAlign w:val="center"/>
          </w:tcPr>
          <w:p w14:paraId="775BA95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1080" w:type="dxa"/>
            <w:tcBorders>
              <w:top w:val="single" w:color="auto" w:sz="4" w:space="0"/>
              <w:left w:val="single" w:color="auto" w:sz="4" w:space="0"/>
              <w:bottom w:val="single" w:color="auto" w:sz="4" w:space="0"/>
              <w:right w:val="single" w:color="auto" w:sz="4" w:space="0"/>
            </w:tcBorders>
            <w:vAlign w:val="center"/>
          </w:tcPr>
          <w:p w14:paraId="753560C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★A020910电视设备</w:t>
            </w:r>
          </w:p>
        </w:tc>
        <w:tc>
          <w:tcPr>
            <w:tcW w:w="1320" w:type="dxa"/>
            <w:tcBorders>
              <w:top w:val="single" w:color="auto" w:sz="4" w:space="0"/>
              <w:left w:val="single" w:color="auto" w:sz="4" w:space="0"/>
              <w:bottom w:val="single" w:color="auto" w:sz="4" w:space="0"/>
              <w:right w:val="single" w:color="auto" w:sz="4" w:space="0"/>
            </w:tcBorders>
            <w:vAlign w:val="center"/>
          </w:tcPr>
          <w:p w14:paraId="2B00853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A02091001普通电视设备（电视机）</w:t>
            </w:r>
          </w:p>
        </w:tc>
        <w:tc>
          <w:tcPr>
            <w:tcW w:w="1620" w:type="dxa"/>
            <w:tcBorders>
              <w:top w:val="single" w:color="auto" w:sz="4" w:space="0"/>
              <w:left w:val="single" w:color="auto" w:sz="4" w:space="0"/>
              <w:bottom w:val="single" w:color="auto" w:sz="4" w:space="0"/>
              <w:right w:val="single" w:color="auto" w:sz="4" w:space="0"/>
            </w:tcBorders>
            <w:vAlign w:val="center"/>
          </w:tcPr>
          <w:p w14:paraId="2CF5572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single" w:color="auto" w:sz="4" w:space="0"/>
              <w:bottom w:val="single" w:color="auto" w:sz="4" w:space="0"/>
              <w:right w:val="single" w:color="auto" w:sz="4" w:space="0"/>
            </w:tcBorders>
            <w:vAlign w:val="center"/>
          </w:tcPr>
          <w:p w14:paraId="7D6B481F">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《平板电视能效限定值及能效等级》（GB24850）</w:t>
            </w:r>
          </w:p>
        </w:tc>
      </w:tr>
      <w:tr w14:paraId="4DB0C920">
        <w:tblPrEx>
          <w:tblCellMar>
            <w:top w:w="0" w:type="dxa"/>
            <w:left w:w="108" w:type="dxa"/>
            <w:bottom w:w="0" w:type="dxa"/>
            <w:right w:w="108" w:type="dxa"/>
          </w:tblCellMar>
        </w:tblPrEx>
        <w:trPr>
          <w:trHeight w:val="975" w:hRule="atLeast"/>
        </w:trPr>
        <w:tc>
          <w:tcPr>
            <w:tcW w:w="660" w:type="dxa"/>
            <w:tcBorders>
              <w:top w:val="single" w:color="auto" w:sz="4" w:space="0"/>
              <w:left w:val="single" w:color="auto" w:sz="4" w:space="0"/>
              <w:bottom w:val="single" w:color="auto" w:sz="4" w:space="0"/>
              <w:right w:val="single" w:color="auto" w:sz="4" w:space="0"/>
            </w:tcBorders>
            <w:vAlign w:val="center"/>
          </w:tcPr>
          <w:p w14:paraId="7A2EBBC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13</w:t>
            </w:r>
          </w:p>
        </w:tc>
        <w:tc>
          <w:tcPr>
            <w:tcW w:w="1080" w:type="dxa"/>
            <w:tcBorders>
              <w:top w:val="single" w:color="auto" w:sz="4" w:space="0"/>
              <w:left w:val="single" w:color="auto" w:sz="4" w:space="0"/>
              <w:bottom w:val="single" w:color="auto" w:sz="4" w:space="0"/>
              <w:right w:val="single" w:color="auto" w:sz="4" w:space="0"/>
            </w:tcBorders>
            <w:vAlign w:val="center"/>
          </w:tcPr>
          <w:p w14:paraId="6E449EA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★A020911视频设备</w:t>
            </w:r>
          </w:p>
        </w:tc>
        <w:tc>
          <w:tcPr>
            <w:tcW w:w="1320" w:type="dxa"/>
            <w:tcBorders>
              <w:top w:val="single" w:color="auto" w:sz="4" w:space="0"/>
              <w:left w:val="single" w:color="auto" w:sz="4" w:space="0"/>
              <w:bottom w:val="single" w:color="auto" w:sz="4" w:space="0"/>
              <w:right w:val="single" w:color="auto" w:sz="4" w:space="0"/>
            </w:tcBorders>
            <w:vAlign w:val="center"/>
          </w:tcPr>
          <w:p w14:paraId="750A21F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A02091107视频监控设备</w:t>
            </w:r>
          </w:p>
        </w:tc>
        <w:tc>
          <w:tcPr>
            <w:tcW w:w="1620" w:type="dxa"/>
            <w:tcBorders>
              <w:top w:val="single" w:color="auto" w:sz="4" w:space="0"/>
              <w:left w:val="single" w:color="auto" w:sz="4" w:space="0"/>
              <w:bottom w:val="single" w:color="auto" w:sz="4" w:space="0"/>
              <w:right w:val="single" w:color="auto" w:sz="4" w:space="0"/>
            </w:tcBorders>
            <w:vAlign w:val="center"/>
          </w:tcPr>
          <w:p w14:paraId="2242664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监视器</w:t>
            </w:r>
          </w:p>
        </w:tc>
        <w:tc>
          <w:tcPr>
            <w:tcW w:w="4540" w:type="dxa"/>
            <w:tcBorders>
              <w:top w:val="single" w:color="auto" w:sz="4" w:space="0"/>
              <w:left w:val="single" w:color="auto" w:sz="4" w:space="0"/>
              <w:bottom w:val="single" w:color="auto" w:sz="4" w:space="0"/>
              <w:right w:val="single" w:color="auto" w:sz="4" w:space="0"/>
            </w:tcBorders>
            <w:vAlign w:val="center"/>
          </w:tcPr>
          <w:p w14:paraId="78B1A396">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以射频信号为主要信号输入的监视器应符合《平板电视能效限定值及能效等级》（GB24850），以数字信号为主要信号输入的监视器应符合《计算机显示器能效限定值及能效等级》（GB21520）</w:t>
            </w:r>
          </w:p>
        </w:tc>
      </w:tr>
      <w:tr w14:paraId="2E3A284C">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8" w:space="0"/>
              <w:bottom w:val="single" w:color="auto" w:sz="8" w:space="0"/>
              <w:right w:val="single" w:color="auto" w:sz="8" w:space="0"/>
            </w:tcBorders>
            <w:vAlign w:val="center"/>
          </w:tcPr>
          <w:p w14:paraId="03730A0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14</w:t>
            </w:r>
          </w:p>
        </w:tc>
        <w:tc>
          <w:tcPr>
            <w:tcW w:w="1080" w:type="dxa"/>
            <w:tcBorders>
              <w:top w:val="single" w:color="auto" w:sz="4" w:space="0"/>
              <w:left w:val="nil"/>
              <w:bottom w:val="single" w:color="auto" w:sz="8" w:space="0"/>
              <w:right w:val="single" w:color="auto" w:sz="8" w:space="0"/>
            </w:tcBorders>
            <w:vAlign w:val="center"/>
          </w:tcPr>
          <w:p w14:paraId="7D2655E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A031210饮食炊事机械</w:t>
            </w:r>
          </w:p>
        </w:tc>
        <w:tc>
          <w:tcPr>
            <w:tcW w:w="1320" w:type="dxa"/>
            <w:tcBorders>
              <w:top w:val="single" w:color="auto" w:sz="4" w:space="0"/>
              <w:left w:val="nil"/>
              <w:bottom w:val="single" w:color="auto" w:sz="8" w:space="0"/>
              <w:right w:val="single" w:color="auto" w:sz="8" w:space="0"/>
            </w:tcBorders>
            <w:vAlign w:val="center"/>
          </w:tcPr>
          <w:p w14:paraId="6FA0374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商用燃气灶具</w:t>
            </w:r>
          </w:p>
        </w:tc>
        <w:tc>
          <w:tcPr>
            <w:tcW w:w="1620" w:type="dxa"/>
            <w:tcBorders>
              <w:top w:val="single" w:color="auto" w:sz="4" w:space="0"/>
              <w:left w:val="nil"/>
              <w:bottom w:val="single" w:color="auto" w:sz="8" w:space="0"/>
              <w:right w:val="single" w:color="auto" w:sz="8" w:space="0"/>
            </w:tcBorders>
            <w:vAlign w:val="center"/>
          </w:tcPr>
          <w:p w14:paraId="2284F93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single" w:color="auto" w:sz="4" w:space="0"/>
              <w:left w:val="nil"/>
              <w:bottom w:val="single" w:color="auto" w:sz="8" w:space="0"/>
              <w:right w:val="single" w:color="auto" w:sz="8" w:space="0"/>
            </w:tcBorders>
            <w:vAlign w:val="center"/>
          </w:tcPr>
          <w:p w14:paraId="58BD9BB7">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《商用燃气灶具能效限定值及能效等级》（GB30531）</w:t>
            </w:r>
          </w:p>
        </w:tc>
      </w:tr>
      <w:tr w14:paraId="283C1FC3">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vAlign w:val="center"/>
          </w:tcPr>
          <w:p w14:paraId="03DD30F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15</w:t>
            </w:r>
          </w:p>
        </w:tc>
        <w:tc>
          <w:tcPr>
            <w:tcW w:w="1080" w:type="dxa"/>
            <w:vMerge w:val="restart"/>
            <w:tcBorders>
              <w:top w:val="nil"/>
              <w:left w:val="single" w:color="auto" w:sz="8" w:space="0"/>
              <w:bottom w:val="single" w:color="000000" w:sz="8" w:space="0"/>
              <w:right w:val="single" w:color="auto" w:sz="8" w:space="0"/>
            </w:tcBorders>
            <w:vAlign w:val="center"/>
          </w:tcPr>
          <w:p w14:paraId="5EAC4D9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★A060805便器</w:t>
            </w:r>
          </w:p>
        </w:tc>
        <w:tc>
          <w:tcPr>
            <w:tcW w:w="1320" w:type="dxa"/>
            <w:tcBorders>
              <w:top w:val="nil"/>
              <w:left w:val="nil"/>
              <w:bottom w:val="single" w:color="auto" w:sz="8" w:space="0"/>
              <w:right w:val="single" w:color="auto" w:sz="8" w:space="0"/>
            </w:tcBorders>
            <w:vAlign w:val="center"/>
          </w:tcPr>
          <w:p w14:paraId="139F616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坐便器</w:t>
            </w:r>
          </w:p>
        </w:tc>
        <w:tc>
          <w:tcPr>
            <w:tcW w:w="1620" w:type="dxa"/>
            <w:tcBorders>
              <w:top w:val="nil"/>
              <w:left w:val="nil"/>
              <w:bottom w:val="single" w:color="auto" w:sz="8" w:space="0"/>
              <w:right w:val="single" w:color="auto" w:sz="8" w:space="0"/>
            </w:tcBorders>
            <w:vAlign w:val="center"/>
          </w:tcPr>
          <w:p w14:paraId="779E1E5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auto" w:sz="8" w:space="0"/>
              <w:right w:val="single" w:color="auto" w:sz="8" w:space="0"/>
            </w:tcBorders>
            <w:vAlign w:val="center"/>
          </w:tcPr>
          <w:p w14:paraId="6BCDAF0E">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《坐便器水效限定值及水效等级》（GB25502）</w:t>
            </w:r>
          </w:p>
        </w:tc>
      </w:tr>
      <w:tr w14:paraId="6C1E0FF7">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5DA7EA27">
            <w:pPr>
              <w:widowControl/>
              <w:jc w:val="left"/>
              <w:rPr>
                <w:rFonts w:ascii="宋体" w:hAnsi="宋体" w:cs="宋体"/>
                <w:color w:val="auto"/>
                <w:kern w:val="0"/>
                <w:sz w:val="24"/>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6077AC84">
            <w:pPr>
              <w:widowControl/>
              <w:jc w:val="left"/>
              <w:rPr>
                <w:rFonts w:ascii="宋体" w:hAnsi="宋体" w:cs="宋体"/>
                <w:color w:val="auto"/>
                <w:kern w:val="0"/>
                <w:sz w:val="24"/>
                <w:highlight w:val="none"/>
              </w:rPr>
            </w:pPr>
          </w:p>
        </w:tc>
        <w:tc>
          <w:tcPr>
            <w:tcW w:w="1320" w:type="dxa"/>
            <w:tcBorders>
              <w:top w:val="nil"/>
              <w:left w:val="nil"/>
              <w:bottom w:val="single" w:color="auto" w:sz="8" w:space="0"/>
              <w:right w:val="single" w:color="auto" w:sz="8" w:space="0"/>
            </w:tcBorders>
            <w:vAlign w:val="center"/>
          </w:tcPr>
          <w:p w14:paraId="7CAB131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蹲便器</w:t>
            </w:r>
          </w:p>
        </w:tc>
        <w:tc>
          <w:tcPr>
            <w:tcW w:w="1620" w:type="dxa"/>
            <w:tcBorders>
              <w:top w:val="nil"/>
              <w:left w:val="nil"/>
              <w:bottom w:val="single" w:color="auto" w:sz="8" w:space="0"/>
              <w:right w:val="single" w:color="auto" w:sz="8" w:space="0"/>
            </w:tcBorders>
            <w:vAlign w:val="center"/>
          </w:tcPr>
          <w:p w14:paraId="082BB27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auto" w:sz="8" w:space="0"/>
              <w:right w:val="single" w:color="auto" w:sz="8" w:space="0"/>
            </w:tcBorders>
            <w:vAlign w:val="center"/>
          </w:tcPr>
          <w:p w14:paraId="354E8EB1">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《蹲便器用水效率限定值及用水效率等级》（GB30717）</w:t>
            </w:r>
          </w:p>
        </w:tc>
      </w:tr>
      <w:tr w14:paraId="6151BF69">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vAlign w:val="center"/>
          </w:tcPr>
          <w:p w14:paraId="329AAE6F">
            <w:pPr>
              <w:widowControl/>
              <w:jc w:val="left"/>
              <w:rPr>
                <w:rFonts w:ascii="宋体" w:hAnsi="宋体" w:cs="宋体"/>
                <w:color w:val="auto"/>
                <w:kern w:val="0"/>
                <w:sz w:val="24"/>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20333023">
            <w:pPr>
              <w:widowControl/>
              <w:jc w:val="left"/>
              <w:rPr>
                <w:rFonts w:ascii="宋体" w:hAnsi="宋体" w:cs="宋体"/>
                <w:color w:val="auto"/>
                <w:kern w:val="0"/>
                <w:sz w:val="24"/>
                <w:highlight w:val="none"/>
              </w:rPr>
            </w:pPr>
          </w:p>
        </w:tc>
        <w:tc>
          <w:tcPr>
            <w:tcW w:w="1320" w:type="dxa"/>
            <w:tcBorders>
              <w:top w:val="nil"/>
              <w:left w:val="nil"/>
              <w:bottom w:val="single" w:color="auto" w:sz="8" w:space="0"/>
              <w:right w:val="single" w:color="auto" w:sz="8" w:space="0"/>
            </w:tcBorders>
            <w:vAlign w:val="center"/>
          </w:tcPr>
          <w:p w14:paraId="661A9DC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小便器</w:t>
            </w:r>
          </w:p>
        </w:tc>
        <w:tc>
          <w:tcPr>
            <w:tcW w:w="1620" w:type="dxa"/>
            <w:tcBorders>
              <w:top w:val="nil"/>
              <w:left w:val="nil"/>
              <w:bottom w:val="single" w:color="auto" w:sz="8" w:space="0"/>
              <w:right w:val="single" w:color="auto" w:sz="8" w:space="0"/>
            </w:tcBorders>
            <w:vAlign w:val="center"/>
          </w:tcPr>
          <w:p w14:paraId="4A45CD5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auto" w:sz="8" w:space="0"/>
              <w:right w:val="single" w:color="auto" w:sz="8" w:space="0"/>
            </w:tcBorders>
            <w:vAlign w:val="center"/>
          </w:tcPr>
          <w:p w14:paraId="458C872B">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《小便器用水效率限定值及用水效率等级》（GB28377）</w:t>
            </w:r>
          </w:p>
        </w:tc>
      </w:tr>
      <w:tr w14:paraId="7451B4A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BA494B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16</w:t>
            </w:r>
          </w:p>
        </w:tc>
        <w:tc>
          <w:tcPr>
            <w:tcW w:w="1080" w:type="dxa"/>
            <w:tcBorders>
              <w:top w:val="nil"/>
              <w:left w:val="nil"/>
              <w:bottom w:val="single" w:color="000000" w:sz="8" w:space="0"/>
              <w:right w:val="single" w:color="000000" w:sz="8" w:space="0"/>
            </w:tcBorders>
            <w:vAlign w:val="center"/>
          </w:tcPr>
          <w:p w14:paraId="25032EF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★A060806水嘴</w:t>
            </w:r>
          </w:p>
        </w:tc>
        <w:tc>
          <w:tcPr>
            <w:tcW w:w="1320" w:type="dxa"/>
            <w:tcBorders>
              <w:top w:val="nil"/>
              <w:left w:val="nil"/>
              <w:bottom w:val="single" w:color="000000" w:sz="8" w:space="0"/>
              <w:right w:val="single" w:color="000000" w:sz="8" w:space="0"/>
            </w:tcBorders>
            <w:vAlign w:val="center"/>
          </w:tcPr>
          <w:p w14:paraId="519D565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tcBorders>
              <w:top w:val="nil"/>
              <w:left w:val="nil"/>
              <w:bottom w:val="single" w:color="000000" w:sz="8" w:space="0"/>
              <w:right w:val="single" w:color="000000" w:sz="8" w:space="0"/>
            </w:tcBorders>
            <w:vAlign w:val="center"/>
          </w:tcPr>
          <w:p w14:paraId="48F0C2D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29E06797">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《水嘴用水效率限定值及用水效率等级》（GB 25501）</w:t>
            </w:r>
          </w:p>
        </w:tc>
      </w:tr>
      <w:tr w14:paraId="0C2F225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59ADFF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17</w:t>
            </w:r>
          </w:p>
        </w:tc>
        <w:tc>
          <w:tcPr>
            <w:tcW w:w="1080" w:type="dxa"/>
            <w:tcBorders>
              <w:top w:val="nil"/>
              <w:left w:val="nil"/>
              <w:bottom w:val="single" w:color="000000" w:sz="8" w:space="0"/>
              <w:right w:val="single" w:color="000000" w:sz="8" w:space="0"/>
            </w:tcBorders>
            <w:vAlign w:val="center"/>
          </w:tcPr>
          <w:p w14:paraId="32A8C11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A060807便器冲洗阀</w:t>
            </w:r>
          </w:p>
        </w:tc>
        <w:tc>
          <w:tcPr>
            <w:tcW w:w="1320" w:type="dxa"/>
            <w:tcBorders>
              <w:top w:val="nil"/>
              <w:left w:val="nil"/>
              <w:bottom w:val="single" w:color="000000" w:sz="8" w:space="0"/>
              <w:right w:val="single" w:color="000000" w:sz="8" w:space="0"/>
            </w:tcBorders>
            <w:vAlign w:val="center"/>
          </w:tcPr>
          <w:p w14:paraId="4FF6F1F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tcBorders>
              <w:top w:val="nil"/>
              <w:left w:val="nil"/>
              <w:bottom w:val="single" w:color="000000" w:sz="8" w:space="0"/>
              <w:right w:val="single" w:color="000000" w:sz="8" w:space="0"/>
            </w:tcBorders>
            <w:vAlign w:val="center"/>
          </w:tcPr>
          <w:p w14:paraId="38F5BFE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3154FB2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《便器冲洗阀用水效率限定值及用水效率等级》（GB28379）</w:t>
            </w:r>
          </w:p>
        </w:tc>
      </w:tr>
      <w:tr w14:paraId="1E828DC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E7ECF8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18</w:t>
            </w:r>
          </w:p>
        </w:tc>
        <w:tc>
          <w:tcPr>
            <w:tcW w:w="1080" w:type="dxa"/>
            <w:tcBorders>
              <w:top w:val="nil"/>
              <w:left w:val="nil"/>
              <w:bottom w:val="single" w:color="000000" w:sz="8" w:space="0"/>
              <w:right w:val="single" w:color="000000" w:sz="8" w:space="0"/>
            </w:tcBorders>
            <w:vAlign w:val="center"/>
          </w:tcPr>
          <w:p w14:paraId="02F140C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A060810淋浴器</w:t>
            </w:r>
          </w:p>
        </w:tc>
        <w:tc>
          <w:tcPr>
            <w:tcW w:w="1320" w:type="dxa"/>
            <w:tcBorders>
              <w:top w:val="nil"/>
              <w:left w:val="nil"/>
              <w:bottom w:val="single" w:color="000000" w:sz="8" w:space="0"/>
              <w:right w:val="single" w:color="000000" w:sz="8" w:space="0"/>
            </w:tcBorders>
            <w:vAlign w:val="center"/>
          </w:tcPr>
          <w:p w14:paraId="3E9B7CA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1620" w:type="dxa"/>
            <w:tcBorders>
              <w:top w:val="nil"/>
              <w:left w:val="nil"/>
              <w:bottom w:val="single" w:color="000000" w:sz="8" w:space="0"/>
              <w:right w:val="single" w:color="000000" w:sz="8" w:space="0"/>
            </w:tcBorders>
            <w:vAlign w:val="center"/>
          </w:tcPr>
          <w:p w14:paraId="10390DF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4540" w:type="dxa"/>
            <w:tcBorders>
              <w:top w:val="nil"/>
              <w:left w:val="nil"/>
              <w:bottom w:val="single" w:color="000000" w:sz="8" w:space="0"/>
              <w:right w:val="single" w:color="000000" w:sz="8" w:space="0"/>
            </w:tcBorders>
            <w:vAlign w:val="center"/>
          </w:tcPr>
          <w:p w14:paraId="5F20BD8C">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《淋浴器用水效率限定值及用水效率等级》（GB28378）</w:t>
            </w:r>
          </w:p>
        </w:tc>
      </w:tr>
    </w:tbl>
    <w:p w14:paraId="70FEBF61">
      <w:pPr>
        <w:widowControl/>
        <w:rPr>
          <w:rFonts w:ascii="宋体" w:hAnsi="宋体" w:cs="宋体"/>
          <w:color w:val="auto"/>
          <w:sz w:val="24"/>
          <w:highlight w:val="none"/>
        </w:rPr>
      </w:pPr>
    </w:p>
    <w:p w14:paraId="387D8414">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楷体" w:hAnsi="楷体" w:eastAsia="楷体" w:cs="宋体"/>
          <w:b/>
          <w:color w:val="auto"/>
          <w:spacing w:val="-3"/>
          <w:highlight w:val="none"/>
        </w:rPr>
      </w:pPr>
      <w:r>
        <w:rPr>
          <w:rFonts w:hint="eastAsia" w:ascii="楷体" w:hAnsi="楷体" w:eastAsia="楷体" w:cs="宋体"/>
          <w:b/>
          <w:color w:val="auto"/>
          <w:spacing w:val="-3"/>
          <w:highlight w:val="none"/>
        </w:rPr>
        <w:t>注：</w:t>
      </w:r>
    </w:p>
    <w:p w14:paraId="24C578F2">
      <w:pPr>
        <w:pStyle w:val="11"/>
        <w:keepNext w:val="0"/>
        <w:keepLines w:val="0"/>
        <w:pageBreakBefore w:val="0"/>
        <w:widowControl w:val="0"/>
        <w:kinsoku/>
        <w:wordWrap/>
        <w:overflowPunct/>
        <w:topLinePunct w:val="0"/>
        <w:autoSpaceDE/>
        <w:autoSpaceDN/>
        <w:bidi w:val="0"/>
        <w:adjustRightInd/>
        <w:snapToGrid/>
        <w:spacing w:after="0" w:line="360" w:lineRule="auto"/>
        <w:ind w:firstLine="408" w:firstLineChars="200"/>
        <w:textAlignment w:val="auto"/>
        <w:rPr>
          <w:rFonts w:ascii="楷体" w:hAnsi="楷体" w:eastAsia="楷体" w:cs="宋体"/>
          <w:color w:val="auto"/>
          <w:highlight w:val="none"/>
        </w:rPr>
      </w:pPr>
      <w:r>
        <w:rPr>
          <w:rFonts w:hint="eastAsia" w:ascii="楷体" w:hAnsi="楷体" w:eastAsia="楷体" w:cs="宋体"/>
          <w:color w:val="auto"/>
          <w:spacing w:val="-3"/>
          <w:highlight w:val="none"/>
        </w:rPr>
        <w:t>1.节能产品认证应依据相关国家标准的最新版本，依据国家标准中二级能效（水效）</w:t>
      </w:r>
      <w:r>
        <w:rPr>
          <w:rFonts w:hint="eastAsia" w:ascii="楷体" w:hAnsi="楷体" w:eastAsia="楷体" w:cs="宋体"/>
          <w:color w:val="auto"/>
          <w:highlight w:val="none"/>
        </w:rPr>
        <w:t>指标。</w:t>
      </w:r>
    </w:p>
    <w:p w14:paraId="093D25E8">
      <w:pPr>
        <w:pStyle w:val="11"/>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楷体" w:hAnsi="楷体" w:eastAsia="楷体" w:cs="宋体"/>
          <w:b/>
          <w:bCs/>
          <w:color w:val="auto"/>
          <w:highlight w:val="none"/>
        </w:rPr>
      </w:pPr>
      <w:r>
        <w:rPr>
          <w:rFonts w:hint="eastAsia" w:ascii="楷体" w:hAnsi="楷体" w:eastAsia="楷体" w:cs="宋体"/>
          <w:color w:val="auto"/>
          <w:highlight w:val="none"/>
        </w:rPr>
        <w:t>2</w:t>
      </w:r>
      <w:r>
        <w:rPr>
          <w:rFonts w:hint="eastAsia" w:ascii="楷体" w:hAnsi="楷体" w:eastAsia="楷体" w:cs="宋体"/>
          <w:b/>
          <w:bCs/>
          <w:color w:val="auto"/>
          <w:highlight w:val="none"/>
        </w:rPr>
        <w:t>.以“★”标注的为政府强制采购产品。</w:t>
      </w:r>
    </w:p>
    <w:p w14:paraId="24BFABA9">
      <w:pPr>
        <w:widowControl/>
        <w:jc w:val="left"/>
        <w:rPr>
          <w:rFonts w:ascii="宋体" w:hAnsi="宋体" w:cs="宋体"/>
          <w:color w:val="auto"/>
          <w:sz w:val="24"/>
          <w:highlight w:val="none"/>
        </w:rPr>
        <w:sectPr>
          <w:pgSz w:w="11906" w:h="16838"/>
          <w:pgMar w:top="1134" w:right="1134" w:bottom="1134" w:left="1134" w:header="720" w:footer="720" w:gutter="0"/>
          <w:pgNumType w:fmt="decimal"/>
          <w:cols w:space="720" w:num="1"/>
          <w:docGrid w:type="lines" w:linePitch="331" w:charSpace="0"/>
        </w:sectPr>
      </w:pPr>
    </w:p>
    <w:p w14:paraId="224A72B2">
      <w:pPr>
        <w:pStyle w:val="3"/>
        <w:bidi w:val="0"/>
        <w:jc w:val="center"/>
        <w:rPr>
          <w:color w:val="auto"/>
          <w:highlight w:val="none"/>
        </w:rPr>
      </w:pPr>
      <w:bookmarkStart w:id="24" w:name="_Toc24303"/>
      <w:r>
        <w:rPr>
          <w:rFonts w:hint="eastAsia"/>
          <w:color w:val="auto"/>
          <w:highlight w:val="none"/>
        </w:rPr>
        <w:t xml:space="preserve">第四章  </w:t>
      </w:r>
      <w:bookmarkStart w:id="25" w:name="_Hlk68601507"/>
      <w:r>
        <w:rPr>
          <w:rFonts w:hint="eastAsia"/>
          <w:color w:val="auto"/>
          <w:highlight w:val="none"/>
        </w:rPr>
        <w:t>评审程序和评定成交的标准</w:t>
      </w:r>
      <w:bookmarkEnd w:id="24"/>
      <w:bookmarkEnd w:id="25"/>
    </w:p>
    <w:p w14:paraId="6BB796BA">
      <w:pPr>
        <w:spacing w:line="360" w:lineRule="auto"/>
        <w:jc w:val="center"/>
        <w:rPr>
          <w:rFonts w:ascii="宋体" w:hAnsi="宋体" w:cs="宋体"/>
          <w:b/>
          <w:color w:val="auto"/>
          <w:sz w:val="32"/>
          <w:szCs w:val="32"/>
          <w:highlight w:val="none"/>
        </w:rPr>
      </w:pPr>
    </w:p>
    <w:p w14:paraId="229F6ED6">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w:t>
      </w:r>
    </w:p>
    <w:p w14:paraId="426A01DB">
      <w:pPr>
        <w:spacing w:line="360" w:lineRule="auto"/>
        <w:ind w:firstLine="482" w:firstLineChars="200"/>
        <w:rPr>
          <w:rFonts w:ascii="宋体" w:hAnsi="宋体" w:cs="宋体"/>
          <w:b/>
          <w:bCs/>
          <w:color w:val="auto"/>
          <w:sz w:val="24"/>
          <w:highlight w:val="none"/>
        </w:rPr>
      </w:pPr>
    </w:p>
    <w:p w14:paraId="6DF018A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1.确认谈判文件</w:t>
      </w:r>
    </w:p>
    <w:p w14:paraId="7EA332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由谈判小组确认谈判文件。</w:t>
      </w:r>
    </w:p>
    <w:p w14:paraId="7C4573C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723EEDC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2.1响应文件开启后，谈判小组依法对供应商的资格证明文件进行审查。</w:t>
      </w:r>
    </w:p>
    <w:p w14:paraId="73D442E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 xml:space="preserve">） </w:t>
      </w:r>
    </w:p>
    <w:p w14:paraId="65326A7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（2）信用查询截止时点：资格审查结束前</w:t>
      </w:r>
    </w:p>
    <w:p w14:paraId="60F243D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（3）查询记录和证据留存方式：将查询网站中的查询记录截图并作为评审资料保存。</w:t>
      </w:r>
    </w:p>
    <w:p w14:paraId="0B5A7C2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（4）信用信息使用规则：信用信息使用规则：根据财政部《关于在政府采购活动中查询及使用信用记录有关问题的通知》（财库〔2016〕125号）的规定，对在“信用中国”网站(www.creditchina.gov.cn)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12B2F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2.2资格审查标准为本谈判文件中载明对供应商资格要求的条件。本项目资格审查采用合格制，凡符合谈判文件规定的供应商资格要求的供应商均通过资格审查。</w:t>
      </w:r>
    </w:p>
    <w:p w14:paraId="68EC3C9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供应商有下列情形之一的，资格审查不通过，其响应文件按无效响应处理：</w:t>
      </w:r>
    </w:p>
    <w:p w14:paraId="604020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（1）不具备谈判文件中规定的资格要求的；</w:t>
      </w:r>
    </w:p>
    <w:p w14:paraId="55D7775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（2）响应文件中的资格证明文件缺少任一项“供应商须知前附表”资格证明文件规定的“必须提供”的文件资料的；</w:t>
      </w:r>
    </w:p>
    <w:p w14:paraId="052824C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（3）响应文件中的资格证明文件出现任一项不符合“供应商须知前附表”资格证明文件规定的“必须提供”的文件资料要求或者无效的；</w:t>
      </w:r>
    </w:p>
    <w:p w14:paraId="46EFE6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547DFC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2.4通过资格审查的合格供应商不足3家（本章3.7条规定除外）的，不得进入符合性审查环节，应当重新开展采购活动。</w:t>
      </w:r>
    </w:p>
    <w:p w14:paraId="78C2D6F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79DCA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3.1由谈判小组对资格审查的合格的供应商的响应文件进行</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报价、商务、技术等实质性要求符合性审查，以确定其是否满足谈判文件的实质性要求。</w:t>
      </w:r>
    </w:p>
    <w:p w14:paraId="67B057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8EBD52">
      <w:pPr>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3.3谈判小组要求供应商澄清、说明或者更正响应文件应当以</w:t>
      </w:r>
      <w:r>
        <w:rPr>
          <w:rFonts w:hint="eastAsia" w:ascii="宋体" w:hAnsi="宋体" w:cs="宋体"/>
          <w:color w:val="auto"/>
          <w:sz w:val="24"/>
          <w:highlight w:val="none"/>
          <w:lang w:eastAsia="zh-CN"/>
        </w:rPr>
        <w:t>书面</w:t>
      </w:r>
      <w:r>
        <w:rPr>
          <w:rFonts w:hint="eastAsia" w:ascii="宋体" w:hAnsi="宋体" w:cs="宋体"/>
          <w:color w:val="auto"/>
          <w:sz w:val="24"/>
          <w:highlight w:val="none"/>
        </w:rPr>
        <w:t>澄清函形式作出。供应商的澄清、说明或者更正应当以</w:t>
      </w:r>
      <w:r>
        <w:rPr>
          <w:rFonts w:hint="eastAsia" w:ascii="宋体" w:hAnsi="宋体" w:cs="宋体"/>
          <w:color w:val="auto"/>
          <w:sz w:val="24"/>
          <w:highlight w:val="none"/>
          <w:lang w:eastAsia="zh-CN"/>
        </w:rPr>
        <w:t>书面</w:t>
      </w:r>
      <w:r>
        <w:rPr>
          <w:rFonts w:hint="eastAsia" w:ascii="宋体" w:hAnsi="宋体" w:cs="宋体"/>
          <w:color w:val="auto"/>
          <w:sz w:val="24"/>
          <w:highlight w:val="none"/>
        </w:rPr>
        <w:t>回函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者其委托代理人签字或者加盖供应商公章。</w:t>
      </w:r>
    </w:p>
    <w:p w14:paraId="1031259B">
      <w:pPr>
        <w:spacing w:line="360" w:lineRule="auto"/>
        <w:ind w:firstLine="456" w:firstLineChars="200"/>
        <w:rPr>
          <w:rFonts w:ascii="宋体" w:hAnsi="宋体" w:cs="宋体"/>
          <w:color w:val="auto"/>
          <w:sz w:val="24"/>
          <w:highlight w:val="none"/>
        </w:rPr>
      </w:pPr>
      <w:r>
        <w:rPr>
          <w:rFonts w:hint="eastAsia" w:ascii="宋体" w:hAnsi="宋体" w:cs="宋体"/>
          <w:color w:val="auto"/>
          <w:spacing w:val="-6"/>
          <w:sz w:val="24"/>
          <w:highlight w:val="none"/>
        </w:rPr>
        <w:t>3.4</w:t>
      </w:r>
      <w:r>
        <w:rPr>
          <w:rFonts w:hint="eastAsia" w:ascii="宋体" w:hAnsi="宋体" w:cs="宋体"/>
          <w:color w:val="auto"/>
          <w:sz w:val="24"/>
          <w:highlight w:val="none"/>
        </w:rPr>
        <w:t xml:space="preserve">首次响应文件报价出现前后不一致的，按照下列规定修正： </w:t>
      </w:r>
    </w:p>
    <w:p w14:paraId="0705E0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7D6D5A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6867C3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782D61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1244C2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4647CA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3.5商务技术报价评审</w:t>
      </w:r>
    </w:p>
    <w:p w14:paraId="2DE413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在评审时，如发现下列情形之一的，将被视为响应文件无效响应处理：</w:t>
      </w:r>
    </w:p>
    <w:p w14:paraId="6190B9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（1）商务技术评审</w:t>
      </w:r>
    </w:p>
    <w:p w14:paraId="5C8CC9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1）响应文件未按谈判文件要求签署、盖章的；</w:t>
      </w:r>
    </w:p>
    <w:p w14:paraId="7C4E94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2）委托代理人未能出具有效身份证或者出具的身份证与授权委托书中的信息不符的； </w:t>
      </w:r>
    </w:p>
    <w:p w14:paraId="314BDF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3）提交的谈判保证金无效的或者未按照谈判文件的规定提交谈判保证金；</w:t>
      </w:r>
    </w:p>
    <w:p w14:paraId="60D22B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4）响应文件中的报价商务技术文件出现任一项不符合“供应商须知前附表”中“必须提供”或者“委托时必须提供”文件资料要求的规定或者提供的报价商务技术文件无效。</w:t>
      </w:r>
    </w:p>
    <w:p w14:paraId="715D5E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5）商务条款中标“▲”的条款发生负偏离或者允许负偏离的条款数超过“供应商须知前附表”规定项数的；</w:t>
      </w:r>
    </w:p>
    <w:p w14:paraId="1E56E2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6）未对</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有效期作出响应或者响应文件承诺的</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有效期不满足谈判文件要求；</w:t>
      </w:r>
    </w:p>
    <w:p w14:paraId="36C13B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7）响应文件的实质性内容未使用中文表述、使用计量单位不符合谈判文件要求的；</w:t>
      </w:r>
    </w:p>
    <w:p w14:paraId="7D9D7A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8）响应文件中的文件资料因填写不齐全或者内容虚假或者出现其他情形而导致被谈判小组认定无效的；</w:t>
      </w:r>
    </w:p>
    <w:p w14:paraId="01AE2C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9）响应文件含有采购人不能接受的附加条件的；</w:t>
      </w:r>
    </w:p>
    <w:p w14:paraId="3E3D92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10）属于“供应商须知正文”第7.</w:t>
      </w:r>
      <w:r>
        <w:rPr>
          <w:rFonts w:ascii="宋体" w:hAnsi="宋体" w:cs="宋体"/>
          <w:color w:val="auto"/>
          <w:sz w:val="24"/>
          <w:highlight w:val="none"/>
        </w:rPr>
        <w:t>4</w:t>
      </w:r>
      <w:r>
        <w:rPr>
          <w:rFonts w:hint="eastAsia" w:ascii="宋体" w:hAnsi="宋体" w:cs="宋体"/>
          <w:color w:val="auto"/>
          <w:sz w:val="24"/>
          <w:highlight w:val="none"/>
        </w:rPr>
        <w:t>条的情形的；</w:t>
      </w:r>
    </w:p>
    <w:p w14:paraId="6EE015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11）技术要求中标“▲”的条款发生负偏离或允许负偏离的条款数超过“供应商须知前附表”规定项数的；</w:t>
      </w:r>
    </w:p>
    <w:p w14:paraId="5BD4CD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12）虚假响应，或者出现其他情形而导致被谈判小组认定无效的；</w:t>
      </w:r>
    </w:p>
    <w:p w14:paraId="64AD06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w:t>
      </w:r>
      <w:bookmarkStart w:id="26" w:name="_Hlk71704147"/>
      <w:r>
        <w:rPr>
          <w:rFonts w:hint="eastAsia" w:ascii="宋体" w:hAnsi="宋体" w:cs="宋体"/>
          <w:color w:val="auto"/>
          <w:sz w:val="24"/>
          <w:highlight w:val="none"/>
        </w:rPr>
        <w:t>谈判文件未载明允许提供备选（替代）响应方案或明确不允许提供备选（替代）响应方案时，供应商提供了备选（替代）响应方案的；</w:t>
      </w:r>
      <w:bookmarkEnd w:id="26"/>
    </w:p>
    <w:p w14:paraId="204EDE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14）响应文件标注的项目名称或者项目编号与谈判文件标注的项目名称或者项目编号不一致的；</w:t>
      </w:r>
    </w:p>
    <w:p w14:paraId="67EF33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w:t>
      </w:r>
      <w:r>
        <w:rPr>
          <w:rFonts w:hint="eastAsia" w:ascii="宋体" w:hAnsi="宋体" w:cs="宋体"/>
          <w:b/>
          <w:color w:val="auto"/>
          <w:sz w:val="24"/>
          <w:highlight w:val="none"/>
        </w:rPr>
        <w:t>谈判文件明确不允许分包，响应文件拟分包的；</w:t>
      </w:r>
    </w:p>
    <w:p w14:paraId="7F05CE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16）未响应谈判文件实质性要求；</w:t>
      </w:r>
    </w:p>
    <w:p w14:paraId="27403E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17）法律、法规和谈判文件规定的其他无效情形。</w:t>
      </w:r>
    </w:p>
    <w:p w14:paraId="2FC267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（2）报价评审</w:t>
      </w:r>
    </w:p>
    <w:p w14:paraId="1E3A12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1）响应文件未提供“供应商须知前附表” 报价商务技术文件中规定的“</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报价表”的；</w:t>
      </w:r>
    </w:p>
    <w:p w14:paraId="7ED619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2）未采用人民币报价或者未按照谈判文件标明的币种报价的；</w:t>
      </w:r>
    </w:p>
    <w:p w14:paraId="5E1A36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3）供应商未就所参与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分标进行报价或者存在漏项报价的；供应商未就所参与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分标的单项内容作唯一报价的；供应商未就所参与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分标的全部内容作完整唯一总价报价的；供应商响应文件中存在有选择、有条件报价的（谈判文件允许有备选方案或者其他约定的除外）；</w:t>
      </w:r>
    </w:p>
    <w:p w14:paraId="119DF8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报价（包含首次报价、最后报价）超过所参与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分标规定的采购预算金额或者最高限价的；</w:t>
      </w:r>
    </w:p>
    <w:p w14:paraId="3FD655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报价（包含首次报价、最后报价）超过分项采购预算金额或者最高限价的，其响应文件将作无效处理；</w:t>
      </w:r>
    </w:p>
    <w:p w14:paraId="045BDDB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）修正后的报价，供应商不确认的；或者经供应商确认修正后的最后报价超过所参与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分标规定的采购预算金额或者最高限价（如本项目公布了最高限价）；</w:t>
      </w:r>
    </w:p>
    <w:p w14:paraId="78C56DD5">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）响应文件响应的标的数量及单位与竞争性谈判采购文件要求实质性不一致的。</w:t>
      </w:r>
    </w:p>
    <w:p w14:paraId="7D4825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谈判小组对响应文件进行评审，未实质性响应谈判文件的响应文件按无效响应处理。谈判小组应当将资格和符合性不通过的情况告知有关供应商。谈判小组从符合谈判文件规定的相应资格条件的供应商名单中确定不少于3家的供应商参加谈判。</w:t>
      </w:r>
    </w:p>
    <w:p w14:paraId="48D027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竞争性谈判方式采购的货物、服务项目，竞争性谈判过程中提交响应文件或者经评审实质性响应文件要求的供应商只有两家时，采购人、采购代理机构按照《政府采购非招标采购方式管理办法》（财政部74号令）第四条经本级财政部门批准后可以与该两家供应商进行竞争性谈判采购，采购人、采购代理机构应当根据</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文件中的采购需求编制谈判文件，成立谈判小组，由谈判小组对谈判文件进行确认。</w:t>
      </w:r>
    </w:p>
    <w:p w14:paraId="046823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3.8通过符合性审查的合格供应商不足3家的，不得进入谈判环节，应当重新开展采购活动。</w:t>
      </w:r>
    </w:p>
    <w:p w14:paraId="66BBB91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4.谈判程序</w:t>
      </w:r>
    </w:p>
    <w:p w14:paraId="66BE542C">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4.1谈判小组按照“供应商须知前附表”第26条确定的</w:t>
      </w:r>
      <w:r>
        <w:rPr>
          <w:rFonts w:hint="eastAsia" w:ascii="宋体" w:hAnsi="宋体" w:cs="宋体"/>
          <w:color w:val="auto"/>
          <w:sz w:val="24"/>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3F16E8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20F561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4.3对谈判文件作出的实质性变动是谈判文件的有效组成部分，谈判小组应当及时以</w:t>
      </w:r>
      <w:r>
        <w:rPr>
          <w:rFonts w:hint="eastAsia" w:ascii="宋体" w:hAnsi="宋体" w:cs="宋体"/>
          <w:color w:val="auto"/>
          <w:sz w:val="24"/>
          <w:highlight w:val="none"/>
          <w:lang w:eastAsia="zh-CN"/>
        </w:rPr>
        <w:t>书面</w:t>
      </w:r>
      <w:r>
        <w:rPr>
          <w:rFonts w:hint="eastAsia" w:ascii="宋体" w:hAnsi="宋体" w:cs="宋体"/>
          <w:color w:val="auto"/>
          <w:sz w:val="24"/>
          <w:highlight w:val="none"/>
        </w:rPr>
        <w:t>谈判记录形式同时通知所有参加谈判的供应商。</w:t>
      </w:r>
    </w:p>
    <w:p w14:paraId="63B551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4.4供应商必须按照谈判文件的变动情况和谈判小组的要求以</w:t>
      </w:r>
      <w:r>
        <w:rPr>
          <w:rFonts w:hint="eastAsia" w:ascii="宋体" w:hAnsi="宋体" w:cs="宋体"/>
          <w:color w:val="auto"/>
          <w:sz w:val="24"/>
          <w:highlight w:val="none"/>
          <w:lang w:eastAsia="zh-CN"/>
        </w:rPr>
        <w:t>书面</w:t>
      </w:r>
      <w:r>
        <w:rPr>
          <w:rFonts w:hint="eastAsia" w:ascii="宋体" w:hAnsi="宋体" w:cs="宋体"/>
          <w:color w:val="auto"/>
          <w:sz w:val="24"/>
          <w:highlight w:val="none"/>
        </w:rPr>
        <w:t>回函的形式重新提交响应文件，并由其法定代表人或者委托代理人签字或者加盖供应商公章。由委托代理人签字的，</w:t>
      </w:r>
      <w:r>
        <w:rPr>
          <w:rFonts w:hint="eastAsia" w:ascii="宋体" w:hAnsi="宋体" w:cs="宋体"/>
          <w:bCs/>
          <w:color w:val="auto"/>
          <w:sz w:val="24"/>
          <w:highlight w:val="none"/>
        </w:rPr>
        <w:t>若委托代理人不是响应文件中授权的委托代理人时，必须同时出示有效的授权委托书原件</w:t>
      </w:r>
      <w:r>
        <w:rPr>
          <w:rFonts w:hint="eastAsia" w:ascii="宋体" w:hAnsi="宋体" w:cs="宋体"/>
          <w:color w:val="auto"/>
          <w:sz w:val="24"/>
          <w:highlight w:val="none"/>
        </w:rPr>
        <w:t>。供应商为自然人的，必须由本人签字并附身份证明。参加谈判的供应商未在规定时间内以</w:t>
      </w:r>
      <w:r>
        <w:rPr>
          <w:rFonts w:hint="eastAsia" w:ascii="宋体" w:hAnsi="宋体" w:cs="宋体"/>
          <w:color w:val="auto"/>
          <w:sz w:val="24"/>
          <w:highlight w:val="none"/>
          <w:lang w:eastAsia="zh-CN"/>
        </w:rPr>
        <w:t>书面</w:t>
      </w:r>
      <w:r>
        <w:rPr>
          <w:rFonts w:hint="eastAsia" w:ascii="宋体" w:hAnsi="宋体" w:cs="宋体"/>
          <w:color w:val="auto"/>
          <w:sz w:val="24"/>
          <w:highlight w:val="none"/>
        </w:rPr>
        <w:t>回函的形式重新提交响应文件的，视同退出谈判，其响应文件按无效响应处理。</w:t>
      </w:r>
    </w:p>
    <w:p w14:paraId="4421DB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4.5谈判中，谈判的任何一方不得透露与谈判有关的其他供应商的技术资料、价格和其他信息。</w:t>
      </w:r>
    </w:p>
    <w:p w14:paraId="2D3F368B">
      <w:pPr>
        <w:tabs>
          <w:tab w:val="left" w:pos="28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4.6对谈判过程提交的响应文件进行有效性、完整性和响应程度审查，通过审查的合格供应商不足3家的，采购人或者采购代理机构应当重新开展采购活动。</w:t>
      </w:r>
    </w:p>
    <w:p w14:paraId="48E5779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5.最后报价</w:t>
      </w:r>
    </w:p>
    <w:p w14:paraId="5CE9F4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5.1谈判文件能够详细列明采购标的的技术、服务要求的，谈判结束后，谈判小组应当要求所有继续参加谈判的供应商在规定时间内以</w:t>
      </w:r>
      <w:r>
        <w:rPr>
          <w:rFonts w:hint="eastAsia" w:ascii="宋体" w:hAnsi="宋体" w:cs="宋体"/>
          <w:color w:val="auto"/>
          <w:sz w:val="24"/>
          <w:highlight w:val="none"/>
          <w:lang w:eastAsia="zh-CN"/>
        </w:rPr>
        <w:t>书面</w:t>
      </w:r>
      <w:r>
        <w:rPr>
          <w:rFonts w:hint="eastAsia" w:ascii="宋体" w:hAnsi="宋体" w:cs="宋体"/>
          <w:color w:val="auto"/>
          <w:sz w:val="24"/>
          <w:highlight w:val="none"/>
        </w:rPr>
        <w:t>文件形式提交最后报价，提交最后报价的供应商不得少于3家，除本章第3.7条外，否则必须重新采购。</w:t>
      </w:r>
    </w:p>
    <w:p w14:paraId="1C745B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以</w:t>
      </w:r>
      <w:r>
        <w:rPr>
          <w:rFonts w:hint="eastAsia" w:ascii="宋体" w:hAnsi="宋体" w:cs="宋体"/>
          <w:color w:val="auto"/>
          <w:sz w:val="24"/>
          <w:highlight w:val="none"/>
          <w:lang w:eastAsia="zh-CN"/>
        </w:rPr>
        <w:t>书面</w:t>
      </w:r>
      <w:r>
        <w:rPr>
          <w:rFonts w:hint="eastAsia" w:ascii="宋体" w:hAnsi="宋体" w:cs="宋体"/>
          <w:color w:val="auto"/>
          <w:sz w:val="24"/>
          <w:highlight w:val="none"/>
        </w:rPr>
        <w:t>文件形式提交最后报价。</w:t>
      </w:r>
    </w:p>
    <w:p w14:paraId="08C575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5.3最后报价是供应商响应文件的有效组成部分。</w:t>
      </w:r>
    </w:p>
    <w:p w14:paraId="6A19AA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5.4已经提交响应文件的供应商，在提交最后报价之前，可以根据谈判情况退出谈判。采购人、采购代理机构将退还退出谈判的供应商的保证金。</w:t>
      </w:r>
    </w:p>
    <w:p w14:paraId="76BA35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5.5供应商未在规定时间内提交最后报价的，视为退出谈判，其响应文件按无效响应处理。</w:t>
      </w:r>
    </w:p>
    <w:p w14:paraId="4C89D9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5.6谈判小组收齐某一分标最后报价后或达到规定时间后统一开启，谈判小组对最后报价进行有效性、完整性和响应程度的审查。</w:t>
      </w:r>
    </w:p>
    <w:p w14:paraId="34E40B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5.7响应文件首次及最后报价出现前后不一致的，按照本章第3.4条的规定修正。 </w:t>
      </w:r>
    </w:p>
    <w:p w14:paraId="47EC24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5.8经供应商确认修正后的最后报价作为评审及签订合同的依据。</w:t>
      </w:r>
    </w:p>
    <w:p w14:paraId="487C45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5.9供应商出现最后报价按无效响应处理或者响应文件按无效响应处理时，谈判小组应当告知有关供应商。</w:t>
      </w:r>
    </w:p>
    <w:p w14:paraId="6C4432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5.10最后报价结束后，谈判小组不得再与供应商进行任何形式的商谈。</w:t>
      </w:r>
    </w:p>
    <w:p w14:paraId="5453376F">
      <w:pPr>
        <w:spacing w:line="360" w:lineRule="auto"/>
        <w:jc w:val="center"/>
        <w:rPr>
          <w:rFonts w:ascii="宋体" w:hAnsi="宋体" w:cs="宋体"/>
          <w:b/>
          <w:color w:val="auto"/>
          <w:sz w:val="24"/>
          <w:highlight w:val="none"/>
        </w:rPr>
      </w:pPr>
    </w:p>
    <w:p w14:paraId="0A4ADDF7">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二、评定成交的标准</w:t>
      </w:r>
    </w:p>
    <w:p w14:paraId="4085B3D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7.成交候选人推荐原则</w:t>
      </w:r>
    </w:p>
    <w:p w14:paraId="5FBF5C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谈判小组应当从质量和服务均能满足谈判文件实质性响应要求的供应商中，按照评标价由低到高的顺序提出3名以上成交候选人（评标价相同时，按照最后报价由低到高顺序依次推荐；最后报价相同时，由谈判小组按“供应商须知前附表”第26条规定的顺序推荐）,并编写评审报告。</w:t>
      </w:r>
    </w:p>
    <w:p w14:paraId="6F033060">
      <w:pPr>
        <w:pStyle w:val="3"/>
        <w:spacing w:before="0" w:after="0" w:line="360" w:lineRule="auto"/>
        <w:jc w:val="center"/>
        <w:rPr>
          <w:rFonts w:ascii="宋体" w:hAnsi="宋体" w:cs="宋体"/>
          <w:color w:val="auto"/>
          <w:highlight w:val="none"/>
        </w:rPr>
      </w:pPr>
      <w:r>
        <w:rPr>
          <w:rFonts w:hint="eastAsia" w:ascii="宋体" w:hAnsi="宋体" w:cs="宋体"/>
          <w:color w:val="auto"/>
          <w:sz w:val="24"/>
          <w:szCs w:val="24"/>
          <w:highlight w:val="none"/>
        </w:rPr>
        <w:br w:type="page"/>
      </w:r>
    </w:p>
    <w:p w14:paraId="302B2FC4">
      <w:pPr>
        <w:rPr>
          <w:rFonts w:ascii="宋体" w:hAnsi="宋体" w:cs="宋体"/>
          <w:color w:val="auto"/>
          <w:highlight w:val="none"/>
        </w:rPr>
      </w:pPr>
    </w:p>
    <w:p w14:paraId="7841CC61">
      <w:pPr>
        <w:pStyle w:val="3"/>
        <w:bidi w:val="0"/>
        <w:jc w:val="center"/>
        <w:rPr>
          <w:color w:val="auto"/>
          <w:highlight w:val="none"/>
        </w:rPr>
      </w:pPr>
      <w:bookmarkStart w:id="27" w:name="_Toc847"/>
      <w:r>
        <w:rPr>
          <w:rFonts w:hint="eastAsia"/>
          <w:color w:val="auto"/>
          <w:highlight w:val="none"/>
        </w:rPr>
        <w:t>第五章 响应文件格式</w:t>
      </w:r>
      <w:bookmarkEnd w:id="27"/>
    </w:p>
    <w:p w14:paraId="4C162C8B">
      <w:pPr>
        <w:spacing w:line="240" w:lineRule="atLeast"/>
        <w:rPr>
          <w:rFonts w:ascii="宋体" w:hAnsi="宋体" w:cs="宋体"/>
          <w:b/>
          <w:color w:val="auto"/>
          <w:sz w:val="32"/>
          <w:szCs w:val="32"/>
          <w:highlight w:val="none"/>
        </w:rPr>
      </w:pPr>
    </w:p>
    <w:p w14:paraId="35BDC869">
      <w:pPr>
        <w:spacing w:line="240" w:lineRule="atLeast"/>
        <w:rPr>
          <w:rFonts w:ascii="宋体" w:hAnsi="宋体" w:cs="宋体"/>
          <w:b/>
          <w:color w:val="auto"/>
          <w:sz w:val="32"/>
          <w:szCs w:val="32"/>
          <w:highlight w:val="none"/>
        </w:rPr>
      </w:pPr>
    </w:p>
    <w:p w14:paraId="0D840CF6">
      <w:pPr>
        <w:spacing w:line="360" w:lineRule="auto"/>
        <w:rPr>
          <w:rFonts w:ascii="宋体" w:hAnsi="宋体" w:cs="宋体"/>
          <w:b/>
          <w:color w:val="auto"/>
          <w:sz w:val="32"/>
          <w:szCs w:val="32"/>
          <w:highlight w:val="none"/>
        </w:rPr>
      </w:pPr>
      <w:bookmarkStart w:id="28" w:name="_Toc71366060"/>
      <w:bookmarkStart w:id="29" w:name="_Toc71365382"/>
      <w:r>
        <w:rPr>
          <w:rFonts w:hint="eastAsia" w:ascii="宋体" w:hAnsi="宋体" w:cs="宋体"/>
          <w:b/>
          <w:color w:val="auto"/>
          <w:sz w:val="32"/>
          <w:szCs w:val="32"/>
          <w:highlight w:val="none"/>
        </w:rPr>
        <w:t>一、资格证明文件格式</w:t>
      </w:r>
      <w:bookmarkEnd w:id="28"/>
      <w:bookmarkEnd w:id="29"/>
    </w:p>
    <w:p w14:paraId="011BB7A1">
      <w:pPr>
        <w:snapToGrid w:val="0"/>
        <w:spacing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37EC2F79">
      <w:pPr>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069F6C93">
      <w:pPr>
        <w:snapToGrid w:val="0"/>
        <w:spacing w:line="360" w:lineRule="auto"/>
        <w:jc w:val="center"/>
        <w:rPr>
          <w:rFonts w:ascii="宋体" w:hAnsi="宋体" w:cs="宋体"/>
          <w:bCs/>
          <w:color w:val="auto"/>
          <w:sz w:val="44"/>
          <w:szCs w:val="44"/>
          <w:highlight w:val="none"/>
        </w:rPr>
      </w:pPr>
    </w:p>
    <w:p w14:paraId="2D579441">
      <w:pPr>
        <w:snapToGrid w:val="0"/>
        <w:spacing w:line="360" w:lineRule="auto"/>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50342F95">
      <w:pPr>
        <w:snapToGrid w:val="0"/>
        <w:spacing w:line="360" w:lineRule="auto"/>
        <w:rPr>
          <w:rFonts w:ascii="宋体" w:hAnsi="宋体" w:cs="宋体"/>
          <w:color w:val="auto"/>
          <w:sz w:val="24"/>
          <w:szCs w:val="20"/>
          <w:highlight w:val="none"/>
        </w:rPr>
      </w:pPr>
    </w:p>
    <w:p w14:paraId="24B4CCFA">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  格  证  明  文  件</w:t>
      </w:r>
    </w:p>
    <w:p w14:paraId="638CFA49">
      <w:pPr>
        <w:snapToGrid w:val="0"/>
        <w:spacing w:line="360" w:lineRule="auto"/>
        <w:rPr>
          <w:rFonts w:ascii="宋体" w:hAnsi="宋体" w:cs="宋体"/>
          <w:bCs/>
          <w:color w:val="auto"/>
          <w:sz w:val="24"/>
          <w:szCs w:val="20"/>
          <w:highlight w:val="none"/>
        </w:rPr>
      </w:pPr>
    </w:p>
    <w:p w14:paraId="14E3819D">
      <w:pPr>
        <w:snapToGrid w:val="0"/>
        <w:spacing w:line="360" w:lineRule="auto"/>
        <w:rPr>
          <w:rFonts w:ascii="宋体" w:hAnsi="宋体" w:cs="宋体"/>
          <w:bCs/>
          <w:color w:val="auto"/>
          <w:sz w:val="24"/>
          <w:szCs w:val="20"/>
          <w:highlight w:val="none"/>
        </w:rPr>
      </w:pPr>
    </w:p>
    <w:p w14:paraId="4781307E">
      <w:pPr>
        <w:snapToGrid w:val="0"/>
        <w:spacing w:line="360" w:lineRule="auto"/>
        <w:ind w:firstLine="2739" w:firstLineChars="856"/>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0970D4E">
      <w:pPr>
        <w:snapToGrid w:val="0"/>
        <w:spacing w:line="360" w:lineRule="auto"/>
        <w:ind w:firstLine="2739" w:firstLineChars="856"/>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项目编号： </w:t>
      </w:r>
    </w:p>
    <w:p w14:paraId="23CFA89C">
      <w:pPr>
        <w:snapToGrid w:val="0"/>
        <w:spacing w:line="360" w:lineRule="auto"/>
        <w:ind w:firstLine="2739" w:firstLineChars="856"/>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w:t>
      </w:r>
    </w:p>
    <w:p w14:paraId="6F6EBBFA">
      <w:pPr>
        <w:pStyle w:val="7"/>
        <w:snapToGrid w:val="0"/>
        <w:spacing w:line="360" w:lineRule="auto"/>
        <w:ind w:firstLine="2739" w:firstLineChars="856"/>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9A39AB9">
      <w:pPr>
        <w:pStyle w:val="7"/>
        <w:snapToGrid w:val="0"/>
        <w:spacing w:line="360" w:lineRule="auto"/>
        <w:ind w:firstLine="0"/>
        <w:rPr>
          <w:rFonts w:ascii="宋体" w:hAnsi="宋体" w:cs="宋体"/>
          <w:bCs/>
          <w:color w:val="auto"/>
          <w:sz w:val="32"/>
          <w:szCs w:val="32"/>
          <w:highlight w:val="none"/>
        </w:rPr>
      </w:pPr>
    </w:p>
    <w:p w14:paraId="06E7EB9A">
      <w:pPr>
        <w:pStyle w:val="7"/>
        <w:snapToGrid w:val="0"/>
        <w:spacing w:line="360" w:lineRule="auto"/>
        <w:ind w:firstLine="1280" w:firstLineChars="400"/>
        <w:rPr>
          <w:rFonts w:ascii="宋体" w:hAnsi="宋体" w:cs="宋体"/>
          <w:bCs/>
          <w:color w:val="auto"/>
          <w:sz w:val="32"/>
          <w:szCs w:val="32"/>
          <w:highlight w:val="none"/>
        </w:rPr>
      </w:pPr>
    </w:p>
    <w:p w14:paraId="763AEE33">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5111773">
      <w:pPr>
        <w:snapToGrid w:val="0"/>
        <w:spacing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7010820A">
      <w:pPr>
        <w:snapToGrid w:val="0"/>
        <w:spacing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19E42331">
      <w:pPr>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00C15774">
      <w:pPr>
        <w:spacing w:line="360" w:lineRule="auto"/>
        <w:rPr>
          <w:rFonts w:ascii="宋体" w:hAnsi="宋体" w:cs="宋体"/>
          <w:color w:val="auto"/>
          <w:szCs w:val="21"/>
          <w:highlight w:val="none"/>
        </w:rPr>
      </w:pPr>
    </w:p>
    <w:p w14:paraId="5B2284AB">
      <w:pPr>
        <w:spacing w:line="360" w:lineRule="auto"/>
        <w:rPr>
          <w:rFonts w:ascii="宋体" w:hAnsi="宋体" w:cs="宋体"/>
          <w:color w:val="auto"/>
          <w:szCs w:val="21"/>
          <w:highlight w:val="none"/>
        </w:rPr>
      </w:pPr>
    </w:p>
    <w:p w14:paraId="25ACC7C2">
      <w:pPr>
        <w:spacing w:line="360" w:lineRule="auto"/>
        <w:rPr>
          <w:rFonts w:ascii="宋体" w:hAnsi="宋体" w:cs="宋体"/>
          <w:color w:val="auto"/>
          <w:szCs w:val="21"/>
          <w:highlight w:val="none"/>
        </w:rPr>
      </w:pPr>
    </w:p>
    <w:p w14:paraId="54F80688">
      <w:pPr>
        <w:spacing w:line="360" w:lineRule="auto"/>
        <w:rPr>
          <w:rFonts w:ascii="宋体" w:hAnsi="宋体" w:cs="宋体"/>
          <w:color w:val="auto"/>
          <w:szCs w:val="21"/>
          <w:highlight w:val="none"/>
        </w:rPr>
      </w:pPr>
    </w:p>
    <w:p w14:paraId="088B8311">
      <w:pPr>
        <w:spacing w:line="360" w:lineRule="auto"/>
        <w:rPr>
          <w:rFonts w:ascii="宋体" w:hAnsi="宋体" w:cs="宋体"/>
          <w:color w:val="auto"/>
          <w:szCs w:val="21"/>
          <w:highlight w:val="none"/>
        </w:rPr>
      </w:pPr>
    </w:p>
    <w:p w14:paraId="21515A36">
      <w:pPr>
        <w:spacing w:line="360" w:lineRule="auto"/>
        <w:rPr>
          <w:rFonts w:ascii="宋体" w:hAnsi="宋体" w:cs="宋体"/>
          <w:color w:val="auto"/>
          <w:szCs w:val="21"/>
          <w:highlight w:val="none"/>
        </w:rPr>
      </w:pPr>
    </w:p>
    <w:p w14:paraId="6D01CD66">
      <w:pPr>
        <w:spacing w:line="360" w:lineRule="auto"/>
        <w:rPr>
          <w:rFonts w:ascii="宋体" w:hAnsi="宋体" w:cs="宋体"/>
          <w:color w:val="auto"/>
          <w:szCs w:val="21"/>
          <w:highlight w:val="none"/>
        </w:rPr>
      </w:pPr>
    </w:p>
    <w:p w14:paraId="2AD62311">
      <w:pPr>
        <w:spacing w:line="360" w:lineRule="auto"/>
        <w:rPr>
          <w:rFonts w:ascii="宋体" w:hAnsi="宋体" w:cs="宋体"/>
          <w:color w:val="auto"/>
          <w:szCs w:val="21"/>
          <w:highlight w:val="none"/>
        </w:rPr>
      </w:pPr>
    </w:p>
    <w:p w14:paraId="57D4BE03">
      <w:pPr>
        <w:spacing w:line="360" w:lineRule="auto"/>
        <w:rPr>
          <w:rFonts w:ascii="宋体" w:hAnsi="宋体" w:cs="宋体"/>
          <w:color w:val="auto"/>
          <w:szCs w:val="21"/>
          <w:highlight w:val="none"/>
        </w:rPr>
      </w:pPr>
    </w:p>
    <w:p w14:paraId="2C7EE68F">
      <w:pPr>
        <w:spacing w:line="360" w:lineRule="auto"/>
        <w:rPr>
          <w:rFonts w:ascii="宋体" w:hAnsi="宋体" w:cs="宋体"/>
          <w:color w:val="auto"/>
          <w:szCs w:val="21"/>
          <w:highlight w:val="none"/>
        </w:rPr>
      </w:pPr>
    </w:p>
    <w:p w14:paraId="63451150">
      <w:pPr>
        <w:spacing w:line="360" w:lineRule="auto"/>
        <w:rPr>
          <w:rFonts w:ascii="宋体" w:hAnsi="宋体" w:cs="宋体"/>
          <w:color w:val="auto"/>
          <w:szCs w:val="21"/>
          <w:highlight w:val="none"/>
        </w:rPr>
      </w:pPr>
    </w:p>
    <w:p w14:paraId="11AD0D8A">
      <w:pPr>
        <w:spacing w:line="360" w:lineRule="auto"/>
        <w:rPr>
          <w:rFonts w:ascii="宋体" w:hAnsi="宋体" w:cs="宋体"/>
          <w:color w:val="auto"/>
          <w:szCs w:val="21"/>
          <w:highlight w:val="none"/>
        </w:rPr>
      </w:pPr>
    </w:p>
    <w:p w14:paraId="04EB1D51">
      <w:pPr>
        <w:spacing w:line="360" w:lineRule="auto"/>
        <w:rPr>
          <w:rFonts w:ascii="宋体" w:hAnsi="宋体" w:cs="宋体"/>
          <w:color w:val="auto"/>
          <w:szCs w:val="21"/>
          <w:highlight w:val="none"/>
        </w:rPr>
      </w:pPr>
    </w:p>
    <w:p w14:paraId="530EDCAF">
      <w:pPr>
        <w:spacing w:line="360" w:lineRule="auto"/>
        <w:rPr>
          <w:rFonts w:ascii="宋体" w:hAnsi="宋体" w:cs="宋体"/>
          <w:color w:val="auto"/>
          <w:szCs w:val="21"/>
          <w:highlight w:val="none"/>
        </w:rPr>
      </w:pPr>
    </w:p>
    <w:p w14:paraId="1D549A1F">
      <w:pPr>
        <w:spacing w:line="360" w:lineRule="auto"/>
        <w:rPr>
          <w:rFonts w:ascii="宋体" w:hAnsi="宋体" w:cs="宋体"/>
          <w:color w:val="auto"/>
          <w:szCs w:val="21"/>
          <w:highlight w:val="none"/>
        </w:rPr>
      </w:pPr>
    </w:p>
    <w:p w14:paraId="4ECD0898">
      <w:pPr>
        <w:spacing w:line="360" w:lineRule="auto"/>
        <w:jc w:val="left"/>
        <w:rPr>
          <w:rFonts w:ascii="宋体" w:hAnsi="宋体" w:cs="宋体"/>
          <w:color w:val="auto"/>
          <w:szCs w:val="21"/>
          <w:highlight w:val="none"/>
        </w:rPr>
      </w:pPr>
    </w:p>
    <w:p w14:paraId="7A8BE322">
      <w:pPr>
        <w:snapToGrid w:val="0"/>
        <w:spacing w:line="360" w:lineRule="auto"/>
        <w:jc w:val="center"/>
        <w:rPr>
          <w:rFonts w:hint="eastAsia" w:ascii="宋体" w:hAnsi="宋体" w:cs="宋体"/>
          <w:b/>
          <w:color w:val="auto"/>
          <w:sz w:val="32"/>
          <w:szCs w:val="32"/>
          <w:highlight w:val="none"/>
        </w:rPr>
        <w:sectPr>
          <w:footerReference r:id="rId8" w:type="first"/>
          <w:pgSz w:w="11905" w:h="16838"/>
          <w:pgMar w:top="1417" w:right="1417" w:bottom="1417" w:left="1417" w:header="850" w:footer="992" w:gutter="0"/>
          <w:pgNumType w:fmt="decimal"/>
          <w:cols w:space="720" w:num="1"/>
          <w:titlePg/>
          <w:docGrid w:type="lines" w:linePitch="318" w:charSpace="0"/>
        </w:sectPr>
      </w:pPr>
      <w:r>
        <w:rPr>
          <w:rFonts w:hint="eastAsia" w:ascii="宋体" w:hAnsi="宋体" w:cs="宋体"/>
          <w:b/>
          <w:color w:val="auto"/>
          <w:sz w:val="32"/>
          <w:szCs w:val="32"/>
          <w:highlight w:val="none"/>
        </w:rPr>
        <w:br w:type="page"/>
      </w:r>
    </w:p>
    <w:p w14:paraId="34EA32E5">
      <w:pPr>
        <w:autoSpaceDE w:val="0"/>
        <w:autoSpaceDN w:val="0"/>
        <w:spacing w:line="300" w:lineRule="auto"/>
        <w:jc w:val="center"/>
        <w:rPr>
          <w:rFonts w:hint="eastAsia" w:ascii="宋体" w:hAnsi="宋体" w:cs="宋体"/>
          <w:color w:val="auto"/>
          <w:szCs w:val="21"/>
        </w:rPr>
      </w:pPr>
    </w:p>
    <w:p w14:paraId="6DC6E1CF">
      <w:pPr>
        <w:autoSpaceDE w:val="0"/>
        <w:autoSpaceDN w:val="0"/>
        <w:spacing w:line="300" w:lineRule="auto"/>
        <w:jc w:val="center"/>
        <w:rPr>
          <w:rFonts w:hint="eastAsia" w:ascii="宋体" w:hAnsi="宋体" w:cs="宋体"/>
          <w:b/>
          <w:bCs/>
          <w:color w:val="auto"/>
          <w:sz w:val="32"/>
          <w:szCs w:val="32"/>
        </w:rPr>
      </w:pPr>
      <w:r>
        <w:rPr>
          <w:rFonts w:hint="eastAsia" w:ascii="宋体" w:hAnsi="宋体" w:cs="宋体"/>
          <w:b/>
          <w:bCs/>
          <w:color w:val="auto"/>
          <w:sz w:val="32"/>
          <w:szCs w:val="32"/>
        </w:rPr>
        <w:t>近三年在经营活动中没有重大违法记录的书面声明</w:t>
      </w:r>
    </w:p>
    <w:p w14:paraId="60BDA74D">
      <w:pPr>
        <w:pStyle w:val="81"/>
        <w:spacing w:before="0" w:beforeAutospacing="0" w:after="0" w:afterAutospacing="0" w:line="400" w:lineRule="exact"/>
        <w:rPr>
          <w:rFonts w:hint="eastAsia"/>
          <w:color w:val="auto"/>
        </w:rPr>
      </w:pPr>
    </w:p>
    <w:p w14:paraId="525A6156">
      <w:pPr>
        <w:pStyle w:val="81"/>
        <w:spacing w:before="0" w:beforeAutospacing="0" w:after="0" w:afterAutospacing="0" w:line="400" w:lineRule="exact"/>
        <w:rPr>
          <w:rFonts w:hint="eastAsia"/>
          <w:color w:val="auto"/>
        </w:rPr>
      </w:pPr>
      <w:r>
        <w:rPr>
          <w:rFonts w:hint="eastAsia"/>
          <w:color w:val="auto"/>
        </w:rPr>
        <w:t>致：</w:t>
      </w:r>
      <w:r>
        <w:rPr>
          <w:rFonts w:hint="eastAsia"/>
          <w:color w:val="auto"/>
          <w:u w:val="single"/>
        </w:rPr>
        <w:t>（采购人）</w:t>
      </w:r>
    </w:p>
    <w:p w14:paraId="5FCA9FB3">
      <w:pPr>
        <w:pStyle w:val="81"/>
        <w:spacing w:before="0" w:beforeAutospacing="0" w:after="0" w:afterAutospacing="0" w:line="400" w:lineRule="exact"/>
        <w:ind w:firstLine="480" w:firstLineChars="200"/>
        <w:rPr>
          <w:rFonts w:hint="eastAsia"/>
          <w:color w:val="auto"/>
        </w:rPr>
      </w:pPr>
      <w:r>
        <w:rPr>
          <w:rFonts w:hint="eastAsia"/>
          <w:color w:val="auto"/>
        </w:rPr>
        <w:t> </w:t>
      </w:r>
    </w:p>
    <w:p w14:paraId="42370D1E">
      <w:pPr>
        <w:pStyle w:val="81"/>
        <w:shd w:val="clear" w:color="auto" w:fill="FFFFFF"/>
        <w:spacing w:before="0" w:beforeAutospacing="0" w:after="0" w:afterAutospacing="0" w:line="500" w:lineRule="exact"/>
        <w:ind w:firstLine="480" w:firstLineChars="200"/>
        <w:rPr>
          <w:rFonts w:hint="eastAsia"/>
          <w:color w:val="auto"/>
        </w:rPr>
      </w:pPr>
      <w:r>
        <w:rPr>
          <w:rFonts w:hint="eastAsia"/>
          <w:color w:val="auto"/>
        </w:rPr>
        <w:t>本公司</w:t>
      </w:r>
      <w:r>
        <w:rPr>
          <w:rFonts w:hint="eastAsia"/>
          <w:color w:val="auto"/>
          <w:u w:val="single"/>
        </w:rPr>
        <w:t>（公司名称）</w:t>
      </w:r>
      <w:r>
        <w:rPr>
          <w:rFonts w:hint="eastAsia"/>
          <w:color w:val="auto"/>
        </w:rPr>
        <w:t>参加</w:t>
      </w:r>
      <w:r>
        <w:rPr>
          <w:rFonts w:hint="eastAsia"/>
          <w:color w:val="auto"/>
          <w:u w:val="single"/>
        </w:rPr>
        <w:t>（项目名称）（项目编号）</w:t>
      </w:r>
      <w:r>
        <w:rPr>
          <w:rFonts w:hint="eastAsia"/>
          <w:color w:val="auto"/>
        </w:rPr>
        <w:t>的磋商活动，现承诺我公司在参加本项目采购活动前三年内，在经营活动中没有重大违法记录。</w:t>
      </w:r>
    </w:p>
    <w:p w14:paraId="169D51B4">
      <w:pPr>
        <w:pStyle w:val="81"/>
        <w:shd w:val="clear" w:color="auto" w:fill="FFFFFF"/>
        <w:spacing w:before="0" w:beforeAutospacing="0" w:after="0" w:afterAutospacing="0" w:line="400" w:lineRule="exact"/>
        <w:ind w:firstLine="480" w:firstLineChars="200"/>
        <w:rPr>
          <w:rFonts w:hint="eastAsia"/>
          <w:color w:val="auto"/>
        </w:rPr>
      </w:pPr>
      <w:r>
        <w:rPr>
          <w:rFonts w:hint="eastAsia"/>
          <w:color w:val="auto"/>
        </w:rPr>
        <w:t> </w:t>
      </w:r>
    </w:p>
    <w:p w14:paraId="216643A4">
      <w:pPr>
        <w:pStyle w:val="81"/>
        <w:shd w:val="clear" w:color="auto" w:fill="FFFFFF"/>
        <w:spacing w:before="0" w:beforeAutospacing="0" w:after="0" w:afterAutospacing="0" w:line="400" w:lineRule="exact"/>
        <w:ind w:firstLine="480" w:firstLineChars="200"/>
        <w:rPr>
          <w:rFonts w:hint="eastAsia"/>
          <w:color w:val="auto"/>
        </w:rPr>
      </w:pPr>
      <w:r>
        <w:rPr>
          <w:rFonts w:hint="eastAsia"/>
          <w:color w:val="auto"/>
        </w:rPr>
        <w:t>如违反以上承诺，本公司愿承担一切法律责任。</w:t>
      </w:r>
    </w:p>
    <w:p w14:paraId="7B1EB0B5">
      <w:pPr>
        <w:pStyle w:val="81"/>
        <w:shd w:val="clear" w:color="auto" w:fill="FFFFFF"/>
        <w:spacing w:before="0" w:beforeAutospacing="0" w:after="0" w:afterAutospacing="0" w:line="400" w:lineRule="exact"/>
        <w:ind w:firstLine="480" w:firstLineChars="200"/>
        <w:rPr>
          <w:rFonts w:hint="eastAsia"/>
          <w:color w:val="auto"/>
        </w:rPr>
      </w:pPr>
      <w:r>
        <w:rPr>
          <w:rFonts w:hint="eastAsia"/>
          <w:color w:val="auto"/>
        </w:rPr>
        <w:t> </w:t>
      </w:r>
    </w:p>
    <w:p w14:paraId="69506F25">
      <w:pPr>
        <w:pStyle w:val="81"/>
        <w:shd w:val="clear" w:color="auto" w:fill="FFFFFF"/>
        <w:spacing w:before="0" w:beforeAutospacing="0" w:after="0" w:afterAutospacing="0" w:line="400" w:lineRule="exact"/>
        <w:ind w:firstLine="480" w:firstLineChars="200"/>
        <w:rPr>
          <w:rFonts w:hint="eastAsia"/>
          <w:color w:val="auto"/>
        </w:rPr>
      </w:pPr>
      <w:r>
        <w:rPr>
          <w:rFonts w:hint="eastAsia"/>
          <w:color w:val="auto"/>
        </w:rPr>
        <w:t> </w:t>
      </w:r>
    </w:p>
    <w:p w14:paraId="049B93B7">
      <w:pPr>
        <w:pStyle w:val="81"/>
        <w:shd w:val="clear" w:color="auto" w:fill="FFFFFF"/>
        <w:spacing w:before="0" w:beforeAutospacing="0" w:after="0" w:afterAutospacing="0" w:line="400" w:lineRule="exact"/>
        <w:ind w:firstLine="480" w:firstLineChars="200"/>
        <w:rPr>
          <w:rFonts w:hint="eastAsia"/>
          <w:color w:val="auto"/>
        </w:rPr>
      </w:pPr>
    </w:p>
    <w:p w14:paraId="2D5D9F42">
      <w:pPr>
        <w:pStyle w:val="81"/>
        <w:shd w:val="clear" w:color="auto" w:fill="FFFFFF"/>
        <w:spacing w:before="0" w:beforeAutospacing="0" w:after="0" w:afterAutospacing="0" w:line="400" w:lineRule="exact"/>
        <w:ind w:firstLine="480" w:firstLineChars="200"/>
        <w:rPr>
          <w:rFonts w:hint="eastAsia"/>
          <w:color w:val="auto"/>
        </w:rPr>
      </w:pPr>
    </w:p>
    <w:p w14:paraId="547EC321">
      <w:pPr>
        <w:pStyle w:val="81"/>
        <w:shd w:val="clear" w:color="auto" w:fill="FFFFFF"/>
        <w:spacing w:before="0" w:beforeAutospacing="0" w:after="0" w:afterAutospacing="0" w:line="400" w:lineRule="exact"/>
        <w:ind w:firstLine="480" w:firstLineChars="200"/>
        <w:rPr>
          <w:rFonts w:hint="eastAsia"/>
          <w:color w:val="auto"/>
        </w:rPr>
      </w:pPr>
    </w:p>
    <w:p w14:paraId="13B94C39">
      <w:pPr>
        <w:pStyle w:val="81"/>
        <w:shd w:val="clear" w:color="auto" w:fill="FFFFFF"/>
        <w:spacing w:before="0" w:beforeAutospacing="0" w:after="0" w:afterAutospacing="0" w:line="400" w:lineRule="exact"/>
        <w:ind w:firstLine="480" w:firstLineChars="200"/>
        <w:rPr>
          <w:rFonts w:hint="eastAsia"/>
          <w:color w:val="auto"/>
        </w:rPr>
      </w:pPr>
    </w:p>
    <w:p w14:paraId="5CB74C7C">
      <w:pPr>
        <w:pStyle w:val="81"/>
        <w:shd w:val="clear" w:color="auto" w:fill="FFFFFF"/>
        <w:wordWrap w:val="0"/>
        <w:spacing w:before="0" w:beforeAutospacing="0" w:after="0" w:afterAutospacing="0" w:line="400" w:lineRule="exact"/>
        <w:ind w:firstLine="480" w:firstLineChars="200"/>
        <w:jc w:val="right"/>
        <w:rPr>
          <w:rFonts w:hint="eastAsia"/>
          <w:color w:val="auto"/>
        </w:rPr>
      </w:pPr>
      <w:r>
        <w:rPr>
          <w:rFonts w:hint="eastAsia"/>
          <w:color w:val="auto"/>
        </w:rPr>
        <w:t>供应商（公章）：</w:t>
      </w:r>
    </w:p>
    <w:p w14:paraId="379CA740">
      <w:pPr>
        <w:pStyle w:val="81"/>
        <w:shd w:val="clear" w:color="auto" w:fill="FFFFFF"/>
        <w:spacing w:before="0" w:beforeAutospacing="0" w:after="0" w:afterAutospacing="0" w:line="400" w:lineRule="exact"/>
        <w:ind w:firstLine="480" w:firstLineChars="200"/>
        <w:jc w:val="right"/>
        <w:rPr>
          <w:rFonts w:hint="eastAsia"/>
          <w:color w:val="auto"/>
        </w:rPr>
      </w:pPr>
      <w:r>
        <w:rPr>
          <w:rFonts w:hint="eastAsia"/>
          <w:color w:val="auto"/>
        </w:rPr>
        <w:t> </w:t>
      </w:r>
    </w:p>
    <w:p w14:paraId="21CEA9EB">
      <w:pPr>
        <w:pStyle w:val="81"/>
        <w:shd w:val="clear" w:color="auto" w:fill="FFFFFF"/>
        <w:spacing w:before="0" w:beforeAutospacing="0" w:after="0" w:afterAutospacing="0" w:line="400" w:lineRule="exact"/>
        <w:ind w:firstLine="480" w:firstLineChars="200"/>
        <w:jc w:val="right"/>
        <w:rPr>
          <w:rFonts w:hint="eastAsia"/>
          <w:color w:val="auto"/>
        </w:rPr>
      </w:pPr>
      <w:r>
        <w:rPr>
          <w:rFonts w:hint="eastAsia"/>
          <w:color w:val="auto"/>
        </w:rPr>
        <w:t> 法定代表人或委托代理人（签字）：</w:t>
      </w:r>
    </w:p>
    <w:p w14:paraId="5533FA0E">
      <w:pPr>
        <w:pStyle w:val="81"/>
        <w:shd w:val="clear" w:color="auto" w:fill="FFFFFF"/>
        <w:spacing w:before="0" w:beforeAutospacing="0" w:after="0" w:afterAutospacing="0" w:line="400" w:lineRule="exact"/>
        <w:ind w:firstLine="480" w:firstLineChars="200"/>
        <w:jc w:val="right"/>
        <w:rPr>
          <w:rFonts w:hint="eastAsia"/>
          <w:color w:val="auto"/>
        </w:rPr>
      </w:pPr>
      <w:r>
        <w:rPr>
          <w:rFonts w:hint="eastAsia"/>
          <w:color w:val="auto"/>
        </w:rPr>
        <w:t>  </w:t>
      </w:r>
    </w:p>
    <w:p w14:paraId="6B3F9E7D">
      <w:pPr>
        <w:spacing w:before="120" w:beforeLines="50" w:after="50"/>
        <w:jc w:val="right"/>
        <w:rPr>
          <w:rFonts w:hint="eastAsia" w:ascii="宋体" w:hAnsi="宋体" w:cs="宋体"/>
          <w:color w:val="auto"/>
          <w:sz w:val="24"/>
        </w:rPr>
      </w:pPr>
      <w:r>
        <w:rPr>
          <w:rFonts w:hint="eastAsia" w:ascii="宋体" w:hAnsi="宋体" w:cs="宋体"/>
          <w:color w:val="auto"/>
          <w:sz w:val="24"/>
        </w:rPr>
        <w:t>日期：      年     月     日</w:t>
      </w:r>
    </w:p>
    <w:p w14:paraId="4F2ADA7F">
      <w:pPr>
        <w:spacing w:before="120" w:beforeLines="50" w:after="50"/>
        <w:jc w:val="center"/>
        <w:rPr>
          <w:rFonts w:hint="eastAsia" w:ascii="宋体" w:hAnsi="宋体" w:cs="宋体"/>
          <w:color w:val="auto"/>
        </w:rPr>
      </w:pPr>
      <w:r>
        <w:rPr>
          <w:rFonts w:hint="eastAsia" w:ascii="宋体" w:hAnsi="宋体" w:cs="宋体"/>
          <w:color w:val="auto"/>
        </w:rPr>
        <w:br w:type="page"/>
      </w:r>
    </w:p>
    <w:p w14:paraId="3E454B89">
      <w:pPr>
        <w:spacing w:before="120" w:beforeLines="50" w:after="50"/>
        <w:jc w:val="center"/>
        <w:rPr>
          <w:rFonts w:hint="eastAsia" w:ascii="宋体" w:hAnsi="宋体" w:cs="宋体"/>
          <w:b/>
          <w:bCs/>
          <w:color w:val="auto"/>
          <w:sz w:val="32"/>
          <w:szCs w:val="32"/>
        </w:rPr>
      </w:pPr>
      <w:r>
        <w:rPr>
          <w:rFonts w:hint="eastAsia" w:ascii="宋体" w:hAnsi="宋体" w:cs="宋体"/>
          <w:b/>
          <w:bCs/>
          <w:color w:val="auto"/>
          <w:sz w:val="32"/>
          <w:szCs w:val="32"/>
        </w:rPr>
        <w:t>具备履行合同所必需的设备和专业技术服务能力的承诺书</w:t>
      </w:r>
    </w:p>
    <w:p w14:paraId="183A834B">
      <w:pPr>
        <w:spacing w:before="120" w:beforeLines="50" w:after="50"/>
        <w:rPr>
          <w:rFonts w:hint="eastAsia" w:ascii="宋体" w:hAnsi="宋体" w:cs="宋体"/>
          <w:bCs/>
          <w:color w:val="auto"/>
          <w:sz w:val="24"/>
        </w:rPr>
      </w:pPr>
    </w:p>
    <w:p w14:paraId="06057352">
      <w:pPr>
        <w:spacing w:before="120" w:beforeLines="50" w:after="50" w:line="360" w:lineRule="auto"/>
        <w:rPr>
          <w:rFonts w:hint="eastAsia" w:ascii="宋体" w:hAnsi="宋体" w:cs="宋体"/>
          <w:bCs/>
          <w:color w:val="auto"/>
          <w:sz w:val="24"/>
          <w:szCs w:val="24"/>
        </w:rPr>
      </w:pPr>
      <w:r>
        <w:rPr>
          <w:rFonts w:hint="eastAsia" w:ascii="宋体" w:hAnsi="宋体" w:cs="宋体"/>
          <w:bCs/>
          <w:color w:val="auto"/>
          <w:sz w:val="24"/>
          <w:szCs w:val="24"/>
        </w:rPr>
        <w:t>致</w:t>
      </w:r>
      <w:r>
        <w:rPr>
          <w:rFonts w:hint="eastAsia" w:ascii="宋体" w:hAnsi="宋体" w:cs="宋体"/>
          <w:bCs/>
          <w:color w:val="auto"/>
          <w:sz w:val="24"/>
          <w:szCs w:val="24"/>
          <w:u w:val="single"/>
        </w:rPr>
        <w:t>：</w:t>
      </w:r>
      <w:r>
        <w:rPr>
          <w:rFonts w:hint="eastAsia" w:ascii="宋体" w:hAnsi="宋体" w:cs="宋体"/>
          <w:color w:val="auto"/>
          <w:sz w:val="24"/>
          <w:szCs w:val="24"/>
          <w:u w:val="single"/>
        </w:rPr>
        <w:t>（采购人）</w:t>
      </w:r>
    </w:p>
    <w:p w14:paraId="1B91FBF1">
      <w:pPr>
        <w:spacing w:before="120" w:beforeLines="50" w:after="50"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我单位参加贵公司组织的</w:t>
      </w:r>
      <w:r>
        <w:rPr>
          <w:rFonts w:hint="eastAsia" w:ascii="宋体" w:hAnsi="宋体" w:cs="宋体"/>
          <w:bCs/>
          <w:color w:val="auto"/>
          <w:sz w:val="24"/>
          <w:szCs w:val="24"/>
          <w:u w:val="single"/>
        </w:rPr>
        <w:t xml:space="preserve">    （项目名称） （项目编号：）</w:t>
      </w:r>
      <w:r>
        <w:rPr>
          <w:rFonts w:hint="eastAsia" w:ascii="宋体" w:hAnsi="宋体" w:cs="宋体"/>
          <w:bCs/>
          <w:color w:val="auto"/>
          <w:sz w:val="24"/>
          <w:szCs w:val="24"/>
        </w:rPr>
        <w:t>采购活动。我单位在此郑重承诺:我单位具有履行合同所必需的设备和专业技术服务能力，完全符合《中华人民共和国政府采购法》第二十二条规定的供应商资格条件，按照采购文件的要求提交响应文件，并对所提供的全部资料的真实性承担法律责任。</w:t>
      </w:r>
    </w:p>
    <w:p w14:paraId="7CCCA9D4">
      <w:pPr>
        <w:spacing w:before="120" w:beforeLines="50" w:after="50"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特此承诺。</w:t>
      </w:r>
    </w:p>
    <w:p w14:paraId="1F3D30F9">
      <w:pPr>
        <w:pStyle w:val="15"/>
        <w:spacing w:before="120" w:beforeLines="50" w:after="120" w:afterLines="50" w:line="440" w:lineRule="exact"/>
        <w:ind w:firstLine="6240" w:firstLineChars="2600"/>
        <w:rPr>
          <w:rFonts w:hint="eastAsia" w:hAnsi="宋体" w:cs="宋体"/>
          <w:bCs/>
          <w:color w:val="auto"/>
          <w:sz w:val="24"/>
          <w:szCs w:val="24"/>
        </w:rPr>
      </w:pPr>
      <w:r>
        <w:rPr>
          <w:rFonts w:hint="eastAsia" w:hAnsi="宋体" w:cs="宋体"/>
          <w:bCs/>
          <w:color w:val="auto"/>
          <w:sz w:val="24"/>
          <w:szCs w:val="24"/>
        </w:rPr>
        <w:t>供应商（公章）：</w:t>
      </w:r>
    </w:p>
    <w:p w14:paraId="7BED23A0">
      <w:pPr>
        <w:pStyle w:val="15"/>
        <w:spacing w:before="120" w:beforeLines="50" w:after="120" w:afterLines="50" w:line="440" w:lineRule="exact"/>
        <w:jc w:val="right"/>
        <w:rPr>
          <w:rFonts w:hint="eastAsia" w:hAnsi="宋体" w:cs="宋体"/>
          <w:bCs/>
          <w:color w:val="auto"/>
          <w:sz w:val="24"/>
          <w:szCs w:val="24"/>
        </w:rPr>
      </w:pPr>
      <w:r>
        <w:rPr>
          <w:rFonts w:hint="eastAsia" w:hAnsi="宋体" w:cs="宋体"/>
          <w:bCs/>
          <w:color w:val="auto"/>
          <w:sz w:val="24"/>
          <w:szCs w:val="24"/>
        </w:rPr>
        <w:t>法定代表人或委托代理人（签字）：</w:t>
      </w:r>
    </w:p>
    <w:p w14:paraId="60FD1BB9">
      <w:pPr>
        <w:pStyle w:val="15"/>
        <w:spacing w:before="120" w:beforeLines="50" w:after="120" w:afterLines="50" w:line="440" w:lineRule="exact"/>
        <w:ind w:left="420" w:leftChars="200" w:firstLine="5400" w:firstLineChars="2250"/>
        <w:rPr>
          <w:rFonts w:hint="eastAsia" w:hAnsi="宋体" w:cs="宋体"/>
          <w:bCs/>
          <w:color w:val="auto"/>
          <w:sz w:val="24"/>
          <w:szCs w:val="24"/>
        </w:rPr>
      </w:pPr>
      <w:r>
        <w:rPr>
          <w:rFonts w:hint="eastAsia" w:hAnsi="宋体" w:cs="宋体"/>
          <w:bCs/>
          <w:color w:val="auto"/>
          <w:sz w:val="24"/>
          <w:szCs w:val="24"/>
        </w:rPr>
        <w:t>日期：      年     月     日</w:t>
      </w:r>
    </w:p>
    <w:p w14:paraId="7379FB54">
      <w:pPr>
        <w:pStyle w:val="15"/>
        <w:spacing w:before="120" w:beforeLines="50" w:after="120" w:afterLines="50" w:line="440" w:lineRule="exact"/>
        <w:ind w:left="420" w:leftChars="200" w:firstLine="4725" w:firstLineChars="2250"/>
        <w:rPr>
          <w:rFonts w:hint="eastAsia" w:hAnsi="宋体" w:cs="宋体"/>
          <w:bCs/>
          <w:color w:val="auto"/>
          <w:sz w:val="21"/>
        </w:rPr>
      </w:pPr>
    </w:p>
    <w:p w14:paraId="5E376AF2">
      <w:pPr>
        <w:pStyle w:val="82"/>
        <w:ind w:firstLine="0" w:firstLineChars="0"/>
        <w:jc w:val="center"/>
        <w:rPr>
          <w:rFonts w:hint="eastAsia" w:ascii="宋体" w:hAnsi="宋体" w:cs="宋体"/>
          <w:bCs/>
          <w:color w:val="auto"/>
          <w:szCs w:val="21"/>
        </w:rPr>
      </w:pPr>
    </w:p>
    <w:p w14:paraId="3399AF8F">
      <w:pPr>
        <w:spacing w:before="120" w:beforeLines="50" w:after="50"/>
        <w:rPr>
          <w:rFonts w:hint="eastAsia" w:ascii="宋体" w:hAnsi="宋体" w:cs="宋体"/>
          <w:b/>
          <w:bCs/>
          <w:color w:val="auto"/>
          <w:szCs w:val="21"/>
        </w:rPr>
      </w:pPr>
      <w:r>
        <w:rPr>
          <w:rFonts w:hint="eastAsia" w:ascii="宋体" w:hAnsi="宋体" w:cs="宋体"/>
          <w:b/>
          <w:bCs/>
          <w:color w:val="auto"/>
          <w:szCs w:val="21"/>
        </w:rPr>
        <w:t>我单位具备的履行合同所必需的设备</w:t>
      </w:r>
    </w:p>
    <w:tbl>
      <w:tblPr>
        <w:tblStyle w:val="27"/>
        <w:tblW w:w="8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680"/>
        <w:gridCol w:w="3095"/>
      </w:tblGrid>
      <w:tr w14:paraId="5A99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66" w:type="dxa"/>
            <w:noWrap w:val="0"/>
            <w:vAlign w:val="top"/>
          </w:tcPr>
          <w:p w14:paraId="1A3AB932">
            <w:pPr>
              <w:spacing w:before="120" w:beforeLines="50" w:after="50"/>
              <w:jc w:val="center"/>
              <w:rPr>
                <w:rFonts w:hint="eastAsia" w:ascii="宋体" w:hAnsi="宋体" w:cs="宋体"/>
                <w:b/>
                <w:bCs/>
                <w:color w:val="auto"/>
                <w:szCs w:val="21"/>
              </w:rPr>
            </w:pPr>
            <w:r>
              <w:rPr>
                <w:rFonts w:hint="eastAsia" w:ascii="宋体" w:hAnsi="宋体" w:cs="宋体"/>
                <w:b/>
                <w:bCs/>
                <w:color w:val="auto"/>
                <w:szCs w:val="21"/>
              </w:rPr>
              <w:t>序号</w:t>
            </w:r>
          </w:p>
        </w:tc>
        <w:tc>
          <w:tcPr>
            <w:tcW w:w="4680" w:type="dxa"/>
            <w:noWrap w:val="0"/>
            <w:vAlign w:val="top"/>
          </w:tcPr>
          <w:p w14:paraId="79B8AA2E">
            <w:pPr>
              <w:spacing w:before="120" w:beforeLines="50" w:after="50"/>
              <w:jc w:val="center"/>
              <w:rPr>
                <w:rFonts w:hint="eastAsia" w:ascii="宋体" w:hAnsi="宋体" w:cs="宋体"/>
                <w:b/>
                <w:bCs/>
                <w:color w:val="auto"/>
                <w:szCs w:val="21"/>
              </w:rPr>
            </w:pPr>
            <w:r>
              <w:rPr>
                <w:rFonts w:hint="eastAsia" w:ascii="宋体" w:hAnsi="宋体" w:cs="宋体"/>
                <w:b/>
                <w:bCs/>
                <w:color w:val="auto"/>
                <w:szCs w:val="21"/>
              </w:rPr>
              <w:t>设备名称</w:t>
            </w:r>
          </w:p>
        </w:tc>
        <w:tc>
          <w:tcPr>
            <w:tcW w:w="3095" w:type="dxa"/>
            <w:noWrap w:val="0"/>
            <w:vAlign w:val="top"/>
          </w:tcPr>
          <w:p w14:paraId="11F92C97">
            <w:pPr>
              <w:spacing w:before="120" w:beforeLines="50" w:after="50"/>
              <w:jc w:val="center"/>
              <w:rPr>
                <w:rFonts w:hint="eastAsia" w:ascii="宋体" w:hAnsi="宋体" w:cs="宋体"/>
                <w:b/>
                <w:bCs/>
                <w:color w:val="auto"/>
                <w:szCs w:val="21"/>
              </w:rPr>
            </w:pPr>
            <w:r>
              <w:rPr>
                <w:rFonts w:hint="eastAsia" w:ascii="宋体" w:hAnsi="宋体" w:cs="宋体"/>
                <w:b/>
                <w:bCs/>
                <w:color w:val="auto"/>
                <w:szCs w:val="21"/>
              </w:rPr>
              <w:t>数量</w:t>
            </w:r>
          </w:p>
        </w:tc>
      </w:tr>
      <w:tr w14:paraId="59AA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66" w:type="dxa"/>
            <w:noWrap w:val="0"/>
            <w:vAlign w:val="top"/>
          </w:tcPr>
          <w:p w14:paraId="430F8846">
            <w:pPr>
              <w:spacing w:before="120" w:beforeLines="50" w:after="50"/>
              <w:jc w:val="center"/>
              <w:rPr>
                <w:rFonts w:hint="eastAsia" w:ascii="宋体" w:hAnsi="宋体" w:cs="宋体"/>
                <w:b/>
                <w:bCs/>
                <w:color w:val="auto"/>
                <w:szCs w:val="21"/>
              </w:rPr>
            </w:pPr>
          </w:p>
        </w:tc>
        <w:tc>
          <w:tcPr>
            <w:tcW w:w="4680" w:type="dxa"/>
            <w:noWrap w:val="0"/>
            <w:vAlign w:val="top"/>
          </w:tcPr>
          <w:p w14:paraId="602E4B62">
            <w:pPr>
              <w:spacing w:before="120" w:beforeLines="50" w:after="50"/>
              <w:jc w:val="center"/>
              <w:rPr>
                <w:rFonts w:hint="eastAsia" w:ascii="宋体" w:hAnsi="宋体" w:cs="宋体"/>
                <w:b/>
                <w:bCs/>
                <w:color w:val="auto"/>
                <w:szCs w:val="21"/>
              </w:rPr>
            </w:pPr>
          </w:p>
        </w:tc>
        <w:tc>
          <w:tcPr>
            <w:tcW w:w="3095" w:type="dxa"/>
            <w:noWrap w:val="0"/>
            <w:vAlign w:val="top"/>
          </w:tcPr>
          <w:p w14:paraId="7F9833CF">
            <w:pPr>
              <w:spacing w:before="120" w:beforeLines="50" w:after="50"/>
              <w:jc w:val="center"/>
              <w:rPr>
                <w:rFonts w:hint="eastAsia" w:ascii="宋体" w:hAnsi="宋体" w:cs="宋体"/>
                <w:b/>
                <w:bCs/>
                <w:color w:val="auto"/>
                <w:szCs w:val="21"/>
              </w:rPr>
            </w:pPr>
          </w:p>
        </w:tc>
      </w:tr>
      <w:tr w14:paraId="30AC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66" w:type="dxa"/>
            <w:noWrap w:val="0"/>
            <w:vAlign w:val="top"/>
          </w:tcPr>
          <w:p w14:paraId="7CE8A927">
            <w:pPr>
              <w:spacing w:before="120" w:beforeLines="50" w:after="50"/>
              <w:jc w:val="center"/>
              <w:rPr>
                <w:rFonts w:hint="eastAsia" w:ascii="宋体" w:hAnsi="宋体" w:cs="宋体"/>
                <w:b/>
                <w:bCs/>
                <w:color w:val="auto"/>
                <w:szCs w:val="21"/>
              </w:rPr>
            </w:pPr>
          </w:p>
        </w:tc>
        <w:tc>
          <w:tcPr>
            <w:tcW w:w="4680" w:type="dxa"/>
            <w:noWrap w:val="0"/>
            <w:vAlign w:val="top"/>
          </w:tcPr>
          <w:p w14:paraId="329CF8E9">
            <w:pPr>
              <w:spacing w:before="120" w:beforeLines="50" w:after="50"/>
              <w:jc w:val="center"/>
              <w:rPr>
                <w:rFonts w:hint="eastAsia" w:ascii="宋体" w:hAnsi="宋体" w:cs="宋体"/>
                <w:b/>
                <w:bCs/>
                <w:color w:val="auto"/>
                <w:szCs w:val="21"/>
              </w:rPr>
            </w:pPr>
          </w:p>
        </w:tc>
        <w:tc>
          <w:tcPr>
            <w:tcW w:w="3095" w:type="dxa"/>
            <w:noWrap w:val="0"/>
            <w:vAlign w:val="top"/>
          </w:tcPr>
          <w:p w14:paraId="6D567EF7">
            <w:pPr>
              <w:spacing w:before="120" w:beforeLines="50" w:after="50"/>
              <w:jc w:val="center"/>
              <w:rPr>
                <w:rFonts w:hint="eastAsia" w:ascii="宋体" w:hAnsi="宋体" w:cs="宋体"/>
                <w:b/>
                <w:bCs/>
                <w:color w:val="auto"/>
                <w:szCs w:val="21"/>
              </w:rPr>
            </w:pPr>
          </w:p>
        </w:tc>
      </w:tr>
      <w:tr w14:paraId="254A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66" w:type="dxa"/>
            <w:noWrap w:val="0"/>
            <w:vAlign w:val="top"/>
          </w:tcPr>
          <w:p w14:paraId="3FEC8173">
            <w:pPr>
              <w:spacing w:before="120" w:beforeLines="50" w:after="50"/>
              <w:rPr>
                <w:rFonts w:hint="eastAsia" w:ascii="宋体" w:hAnsi="宋体" w:cs="宋体"/>
                <w:b/>
                <w:bCs/>
                <w:color w:val="auto"/>
                <w:szCs w:val="21"/>
              </w:rPr>
            </w:pPr>
          </w:p>
        </w:tc>
        <w:tc>
          <w:tcPr>
            <w:tcW w:w="4680" w:type="dxa"/>
            <w:noWrap w:val="0"/>
            <w:vAlign w:val="top"/>
          </w:tcPr>
          <w:p w14:paraId="76EBD688">
            <w:pPr>
              <w:spacing w:before="120" w:beforeLines="50" w:after="50"/>
              <w:rPr>
                <w:rFonts w:hint="eastAsia" w:ascii="宋体" w:hAnsi="宋体" w:cs="宋体"/>
                <w:b/>
                <w:bCs/>
                <w:color w:val="auto"/>
                <w:szCs w:val="21"/>
              </w:rPr>
            </w:pPr>
            <w:r>
              <w:rPr>
                <w:rFonts w:hint="eastAsia" w:ascii="宋体" w:hAnsi="宋体" w:cs="宋体"/>
                <w:b/>
                <w:bCs/>
                <w:color w:val="auto"/>
                <w:szCs w:val="21"/>
              </w:rPr>
              <w:t>……</w:t>
            </w:r>
          </w:p>
        </w:tc>
        <w:tc>
          <w:tcPr>
            <w:tcW w:w="3095" w:type="dxa"/>
            <w:noWrap w:val="0"/>
            <w:vAlign w:val="top"/>
          </w:tcPr>
          <w:p w14:paraId="191DDE81">
            <w:pPr>
              <w:spacing w:before="120" w:beforeLines="50" w:after="50"/>
              <w:rPr>
                <w:rFonts w:hint="eastAsia" w:ascii="宋体" w:hAnsi="宋体" w:cs="宋体"/>
                <w:b/>
                <w:bCs/>
                <w:color w:val="auto"/>
                <w:szCs w:val="21"/>
              </w:rPr>
            </w:pPr>
          </w:p>
        </w:tc>
      </w:tr>
    </w:tbl>
    <w:p w14:paraId="7673D0D4">
      <w:pPr>
        <w:spacing w:before="120" w:beforeLines="50" w:after="50"/>
        <w:rPr>
          <w:rFonts w:hint="eastAsia" w:ascii="宋体" w:hAnsi="宋体" w:cs="宋体"/>
          <w:b/>
          <w:bCs/>
          <w:color w:val="auto"/>
          <w:szCs w:val="21"/>
        </w:rPr>
      </w:pPr>
      <w:r>
        <w:rPr>
          <w:rFonts w:hint="eastAsia" w:ascii="宋体" w:hAnsi="宋体" w:cs="宋体"/>
          <w:b/>
          <w:bCs/>
          <w:color w:val="auto"/>
          <w:szCs w:val="21"/>
        </w:rPr>
        <w:t>项目实施人员专业技术服务能力</w:t>
      </w:r>
    </w:p>
    <w:tbl>
      <w:tblPr>
        <w:tblStyle w:val="27"/>
        <w:tblW w:w="8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3201"/>
        <w:gridCol w:w="4146"/>
      </w:tblGrid>
      <w:tr w14:paraId="31CB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94" w:type="dxa"/>
            <w:noWrap w:val="0"/>
            <w:vAlign w:val="top"/>
          </w:tcPr>
          <w:p w14:paraId="3231C61D">
            <w:pPr>
              <w:spacing w:before="120" w:beforeLines="50" w:after="50"/>
              <w:jc w:val="center"/>
              <w:rPr>
                <w:rFonts w:hint="eastAsia" w:ascii="宋体" w:hAnsi="宋体" w:cs="宋体"/>
                <w:b/>
                <w:bCs/>
                <w:color w:val="auto"/>
                <w:szCs w:val="21"/>
              </w:rPr>
            </w:pPr>
            <w:r>
              <w:rPr>
                <w:rFonts w:hint="eastAsia" w:ascii="宋体" w:hAnsi="宋体" w:cs="宋体"/>
                <w:b/>
                <w:bCs/>
                <w:color w:val="auto"/>
                <w:szCs w:val="21"/>
              </w:rPr>
              <w:t>姓名</w:t>
            </w:r>
          </w:p>
        </w:tc>
        <w:tc>
          <w:tcPr>
            <w:tcW w:w="3201" w:type="dxa"/>
            <w:noWrap w:val="0"/>
            <w:vAlign w:val="top"/>
          </w:tcPr>
          <w:p w14:paraId="295E7117">
            <w:pPr>
              <w:spacing w:before="120" w:beforeLines="50" w:after="50"/>
              <w:jc w:val="center"/>
              <w:rPr>
                <w:rFonts w:hint="eastAsia" w:ascii="宋体" w:hAnsi="宋体" w:cs="宋体"/>
                <w:b/>
                <w:bCs/>
                <w:color w:val="auto"/>
                <w:szCs w:val="21"/>
              </w:rPr>
            </w:pPr>
            <w:r>
              <w:rPr>
                <w:rFonts w:hint="eastAsia" w:ascii="宋体" w:hAnsi="宋体" w:cs="宋体"/>
                <w:b/>
                <w:bCs/>
                <w:color w:val="auto"/>
                <w:szCs w:val="21"/>
              </w:rPr>
              <w:t>职务</w:t>
            </w:r>
          </w:p>
        </w:tc>
        <w:tc>
          <w:tcPr>
            <w:tcW w:w="4146" w:type="dxa"/>
            <w:noWrap w:val="0"/>
            <w:vAlign w:val="top"/>
          </w:tcPr>
          <w:p w14:paraId="25C56DB8">
            <w:pPr>
              <w:spacing w:before="120" w:beforeLines="50" w:after="50"/>
              <w:jc w:val="center"/>
              <w:rPr>
                <w:rFonts w:hint="eastAsia" w:ascii="宋体" w:hAnsi="宋体" w:cs="宋体"/>
                <w:b/>
                <w:bCs/>
                <w:color w:val="auto"/>
                <w:szCs w:val="21"/>
              </w:rPr>
            </w:pPr>
            <w:r>
              <w:rPr>
                <w:rFonts w:hint="eastAsia" w:ascii="宋体" w:hAnsi="宋体" w:cs="宋体"/>
                <w:b/>
                <w:bCs/>
                <w:color w:val="auto"/>
                <w:szCs w:val="21"/>
              </w:rPr>
              <w:t>专业技术资格</w:t>
            </w:r>
          </w:p>
        </w:tc>
      </w:tr>
      <w:tr w14:paraId="5282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94" w:type="dxa"/>
            <w:noWrap w:val="0"/>
            <w:vAlign w:val="top"/>
          </w:tcPr>
          <w:p w14:paraId="180F7A2B">
            <w:pPr>
              <w:spacing w:before="120" w:beforeLines="50" w:after="50"/>
              <w:jc w:val="center"/>
              <w:rPr>
                <w:rFonts w:hint="eastAsia" w:ascii="宋体" w:hAnsi="宋体" w:cs="宋体"/>
                <w:b/>
                <w:bCs/>
                <w:color w:val="auto"/>
                <w:szCs w:val="21"/>
              </w:rPr>
            </w:pPr>
          </w:p>
        </w:tc>
        <w:tc>
          <w:tcPr>
            <w:tcW w:w="3201" w:type="dxa"/>
            <w:noWrap w:val="0"/>
            <w:vAlign w:val="top"/>
          </w:tcPr>
          <w:p w14:paraId="2DACC45C">
            <w:pPr>
              <w:spacing w:before="120" w:beforeLines="50" w:after="50"/>
              <w:jc w:val="center"/>
              <w:rPr>
                <w:rFonts w:hint="eastAsia" w:ascii="宋体" w:hAnsi="宋体" w:cs="宋体"/>
                <w:b/>
                <w:bCs/>
                <w:color w:val="auto"/>
                <w:szCs w:val="21"/>
              </w:rPr>
            </w:pPr>
          </w:p>
        </w:tc>
        <w:tc>
          <w:tcPr>
            <w:tcW w:w="4146" w:type="dxa"/>
            <w:noWrap w:val="0"/>
            <w:vAlign w:val="top"/>
          </w:tcPr>
          <w:p w14:paraId="18370BD1">
            <w:pPr>
              <w:spacing w:before="120" w:beforeLines="50" w:after="50"/>
              <w:jc w:val="center"/>
              <w:rPr>
                <w:rFonts w:hint="eastAsia" w:ascii="宋体" w:hAnsi="宋体" w:cs="宋体"/>
                <w:b/>
                <w:bCs/>
                <w:color w:val="auto"/>
                <w:szCs w:val="21"/>
              </w:rPr>
            </w:pPr>
          </w:p>
        </w:tc>
      </w:tr>
      <w:tr w14:paraId="7302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94" w:type="dxa"/>
            <w:noWrap w:val="0"/>
            <w:vAlign w:val="top"/>
          </w:tcPr>
          <w:p w14:paraId="2022D0AA">
            <w:pPr>
              <w:spacing w:before="120" w:beforeLines="50" w:after="50"/>
              <w:rPr>
                <w:rFonts w:hint="eastAsia" w:ascii="宋体" w:hAnsi="宋体" w:cs="宋体"/>
                <w:b/>
                <w:bCs/>
                <w:color w:val="auto"/>
                <w:szCs w:val="21"/>
              </w:rPr>
            </w:pPr>
          </w:p>
        </w:tc>
        <w:tc>
          <w:tcPr>
            <w:tcW w:w="3201" w:type="dxa"/>
            <w:noWrap w:val="0"/>
            <w:vAlign w:val="top"/>
          </w:tcPr>
          <w:p w14:paraId="68CC7A85">
            <w:pPr>
              <w:spacing w:before="120" w:beforeLines="50" w:after="50"/>
              <w:rPr>
                <w:rFonts w:hint="eastAsia" w:ascii="宋体" w:hAnsi="宋体" w:cs="宋体"/>
                <w:b/>
                <w:bCs/>
                <w:color w:val="auto"/>
                <w:szCs w:val="21"/>
              </w:rPr>
            </w:pPr>
          </w:p>
        </w:tc>
        <w:tc>
          <w:tcPr>
            <w:tcW w:w="4146" w:type="dxa"/>
            <w:noWrap w:val="0"/>
            <w:vAlign w:val="top"/>
          </w:tcPr>
          <w:p w14:paraId="04C1C646">
            <w:pPr>
              <w:spacing w:before="120" w:beforeLines="50" w:after="50"/>
              <w:rPr>
                <w:rFonts w:hint="eastAsia" w:ascii="宋体" w:hAnsi="宋体" w:cs="宋体"/>
                <w:b/>
                <w:bCs/>
                <w:color w:val="auto"/>
                <w:szCs w:val="21"/>
              </w:rPr>
            </w:pPr>
          </w:p>
        </w:tc>
      </w:tr>
      <w:tr w14:paraId="271A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94" w:type="dxa"/>
            <w:noWrap w:val="0"/>
            <w:vAlign w:val="top"/>
          </w:tcPr>
          <w:p w14:paraId="486E6CA2">
            <w:pPr>
              <w:spacing w:before="120" w:beforeLines="50" w:after="50"/>
              <w:rPr>
                <w:rFonts w:hint="eastAsia" w:ascii="宋体" w:hAnsi="宋体" w:cs="宋体"/>
                <w:b/>
                <w:bCs/>
                <w:color w:val="auto"/>
                <w:szCs w:val="21"/>
              </w:rPr>
            </w:pPr>
          </w:p>
        </w:tc>
        <w:tc>
          <w:tcPr>
            <w:tcW w:w="3201" w:type="dxa"/>
            <w:noWrap w:val="0"/>
            <w:vAlign w:val="top"/>
          </w:tcPr>
          <w:p w14:paraId="565EE23F">
            <w:pPr>
              <w:spacing w:before="120" w:beforeLines="50" w:after="50"/>
              <w:rPr>
                <w:rFonts w:hint="eastAsia" w:ascii="宋体" w:hAnsi="宋体" w:cs="宋体"/>
                <w:b/>
                <w:bCs/>
                <w:color w:val="auto"/>
                <w:szCs w:val="21"/>
              </w:rPr>
            </w:pPr>
            <w:r>
              <w:rPr>
                <w:rFonts w:hint="eastAsia" w:ascii="宋体" w:hAnsi="宋体" w:cs="宋体"/>
                <w:b/>
                <w:bCs/>
                <w:color w:val="auto"/>
                <w:szCs w:val="21"/>
              </w:rPr>
              <w:t>……</w:t>
            </w:r>
          </w:p>
        </w:tc>
        <w:tc>
          <w:tcPr>
            <w:tcW w:w="4146" w:type="dxa"/>
            <w:noWrap w:val="0"/>
            <w:vAlign w:val="top"/>
          </w:tcPr>
          <w:p w14:paraId="4F4E10EF">
            <w:pPr>
              <w:spacing w:before="120" w:beforeLines="50" w:after="50"/>
              <w:rPr>
                <w:rFonts w:hint="eastAsia" w:ascii="宋体" w:hAnsi="宋体" w:cs="宋体"/>
                <w:b/>
                <w:bCs/>
                <w:color w:val="auto"/>
                <w:szCs w:val="21"/>
              </w:rPr>
            </w:pPr>
          </w:p>
        </w:tc>
      </w:tr>
    </w:tbl>
    <w:p w14:paraId="6A2D558E">
      <w:pPr>
        <w:pStyle w:val="77"/>
        <w:ind w:left="0" w:leftChars="0" w:firstLine="0" w:firstLineChars="0"/>
        <w:rPr>
          <w:rFonts w:hint="eastAsia" w:ascii="宋体" w:hAnsi="宋体" w:cs="宋体"/>
          <w:b/>
          <w:bCs/>
          <w:color w:val="auto"/>
        </w:rPr>
      </w:pPr>
      <w:r>
        <w:rPr>
          <w:rFonts w:hint="eastAsia" w:ascii="宋体" w:hAnsi="宋体" w:cs="宋体"/>
          <w:b/>
          <w:bCs/>
          <w:color w:val="auto"/>
        </w:rPr>
        <w:t>注：供应商出具具备履行合同所必须的设备清单和拟投入项目的专业人员清单，并附上拟投入项目的专业人员相关证明材料（如社保缴存证明、专业技术等级证书、认证机构证书、业绩、获奖和专利等）。</w:t>
      </w:r>
    </w:p>
    <w:p w14:paraId="4C0014C9">
      <w:pPr>
        <w:snapToGrid w:val="0"/>
        <w:spacing w:line="360" w:lineRule="auto"/>
        <w:jc w:val="center"/>
        <w:rPr>
          <w:rFonts w:hint="eastAsia" w:ascii="宋体" w:hAnsi="宋体" w:cs="宋体"/>
          <w:b/>
          <w:color w:val="auto"/>
          <w:sz w:val="32"/>
          <w:szCs w:val="32"/>
          <w:highlight w:val="none"/>
        </w:rPr>
        <w:sectPr>
          <w:pgSz w:w="11905" w:h="16838"/>
          <w:pgMar w:top="1417" w:right="1417" w:bottom="1417" w:left="1417" w:header="850" w:footer="992" w:gutter="0"/>
          <w:pgNumType w:fmt="decimal"/>
          <w:cols w:space="720" w:num="1"/>
          <w:titlePg/>
          <w:docGrid w:type="lines" w:linePitch="318" w:charSpace="0"/>
        </w:sectPr>
      </w:pPr>
    </w:p>
    <w:p w14:paraId="22C48C0D">
      <w:pPr>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30BB5327">
      <w:pPr>
        <w:snapToGrid w:val="0"/>
        <w:spacing w:line="360" w:lineRule="auto"/>
        <w:jc w:val="center"/>
        <w:rPr>
          <w:rFonts w:ascii="宋体" w:hAnsi="宋体" w:cs="宋体"/>
          <w:b/>
          <w:color w:val="auto"/>
          <w:sz w:val="32"/>
          <w:szCs w:val="32"/>
          <w:highlight w:val="none"/>
        </w:rPr>
      </w:pPr>
    </w:p>
    <w:p w14:paraId="645C365D">
      <w:pPr>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1.</w:t>
      </w:r>
      <w:r>
        <w:rPr>
          <w:rFonts w:hint="eastAsia" w:ascii="宋体" w:hAnsi="宋体" w:cs="宋体"/>
          <w:b/>
          <w:color w:val="auto"/>
          <w:sz w:val="32"/>
          <w:szCs w:val="32"/>
          <w:highlight w:val="none"/>
        </w:rPr>
        <w:t>供应商直接控股股东信息表</w:t>
      </w:r>
    </w:p>
    <w:p w14:paraId="380076C8">
      <w:pPr>
        <w:snapToGrid w:val="0"/>
        <w:spacing w:line="360" w:lineRule="auto"/>
        <w:jc w:val="center"/>
        <w:rPr>
          <w:rFonts w:ascii="宋体" w:hAnsi="宋体" w:cs="宋体"/>
          <w:b/>
          <w:color w:val="auto"/>
          <w:sz w:val="32"/>
          <w:szCs w:val="32"/>
          <w:highlight w:val="none"/>
        </w:rPr>
      </w:pPr>
    </w:p>
    <w:tbl>
      <w:tblPr>
        <w:tblStyle w:val="27"/>
        <w:tblW w:w="9318" w:type="dxa"/>
        <w:jc w:val="center"/>
        <w:shd w:val="clear" w:color="auto" w:fill="FBFBFB"/>
        <w:tblLayout w:type="fixed"/>
        <w:tblCellMar>
          <w:top w:w="0" w:type="dxa"/>
          <w:left w:w="0" w:type="dxa"/>
          <w:bottom w:w="0" w:type="dxa"/>
          <w:right w:w="0" w:type="dxa"/>
        </w:tblCellMar>
      </w:tblPr>
      <w:tblGrid>
        <w:gridCol w:w="880"/>
        <w:gridCol w:w="2655"/>
        <w:gridCol w:w="1455"/>
        <w:gridCol w:w="3503"/>
        <w:gridCol w:w="825"/>
      </w:tblGrid>
      <w:tr w14:paraId="0CCF6BE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B48060">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17D4E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DE84E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0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F73EA0">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89B9A7">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0BD064A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33FA33">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DFF3B4">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652258">
            <w:pPr>
              <w:widowControl/>
              <w:spacing w:line="360" w:lineRule="auto"/>
              <w:jc w:val="center"/>
              <w:rPr>
                <w:rFonts w:ascii="宋体" w:hAnsi="宋体" w:cs="宋体"/>
                <w:color w:val="auto"/>
                <w:kern w:val="0"/>
                <w:sz w:val="28"/>
                <w:szCs w:val="28"/>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0A9AC4">
            <w:pPr>
              <w:widowControl/>
              <w:spacing w:line="360" w:lineRule="auto"/>
              <w:jc w:val="center"/>
              <w:rPr>
                <w:rFonts w:ascii="宋体" w:hAnsi="宋体" w:cs="宋体"/>
                <w:color w:val="auto"/>
                <w:kern w:val="0"/>
                <w:sz w:val="28"/>
                <w:szCs w:val="28"/>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5F696A">
            <w:pPr>
              <w:widowControl/>
              <w:spacing w:line="360" w:lineRule="auto"/>
              <w:jc w:val="center"/>
              <w:rPr>
                <w:rFonts w:ascii="宋体" w:hAnsi="宋体" w:cs="宋体"/>
                <w:color w:val="auto"/>
                <w:kern w:val="0"/>
                <w:sz w:val="28"/>
                <w:szCs w:val="28"/>
                <w:highlight w:val="none"/>
              </w:rPr>
            </w:pPr>
          </w:p>
        </w:tc>
      </w:tr>
      <w:tr w14:paraId="023456A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E2405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B956E4">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EC3846">
            <w:pPr>
              <w:widowControl/>
              <w:spacing w:line="360" w:lineRule="auto"/>
              <w:jc w:val="center"/>
              <w:rPr>
                <w:rFonts w:ascii="宋体" w:hAnsi="宋体" w:cs="宋体"/>
                <w:color w:val="auto"/>
                <w:kern w:val="0"/>
                <w:sz w:val="28"/>
                <w:szCs w:val="28"/>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3AD5B7">
            <w:pPr>
              <w:widowControl/>
              <w:spacing w:line="360" w:lineRule="auto"/>
              <w:jc w:val="center"/>
              <w:rPr>
                <w:rFonts w:ascii="宋体" w:hAnsi="宋体" w:cs="宋体"/>
                <w:color w:val="auto"/>
                <w:kern w:val="0"/>
                <w:sz w:val="28"/>
                <w:szCs w:val="28"/>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7153D6">
            <w:pPr>
              <w:widowControl/>
              <w:spacing w:line="360" w:lineRule="auto"/>
              <w:jc w:val="center"/>
              <w:rPr>
                <w:rFonts w:ascii="宋体" w:hAnsi="宋体" w:cs="宋体"/>
                <w:color w:val="auto"/>
                <w:kern w:val="0"/>
                <w:sz w:val="28"/>
                <w:szCs w:val="28"/>
                <w:highlight w:val="none"/>
              </w:rPr>
            </w:pPr>
          </w:p>
        </w:tc>
      </w:tr>
      <w:tr w14:paraId="1B9B1FF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0AB193">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01B573">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FBB7FA">
            <w:pPr>
              <w:widowControl/>
              <w:spacing w:line="360" w:lineRule="auto"/>
              <w:jc w:val="center"/>
              <w:rPr>
                <w:rFonts w:ascii="宋体" w:hAnsi="宋体" w:cs="宋体"/>
                <w:color w:val="auto"/>
                <w:kern w:val="0"/>
                <w:sz w:val="28"/>
                <w:szCs w:val="28"/>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216971">
            <w:pPr>
              <w:widowControl/>
              <w:spacing w:line="360" w:lineRule="auto"/>
              <w:jc w:val="center"/>
              <w:rPr>
                <w:rFonts w:ascii="宋体" w:hAnsi="宋体" w:cs="宋体"/>
                <w:color w:val="auto"/>
                <w:kern w:val="0"/>
                <w:sz w:val="28"/>
                <w:szCs w:val="28"/>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4A186A">
            <w:pPr>
              <w:widowControl/>
              <w:spacing w:line="360" w:lineRule="auto"/>
              <w:jc w:val="center"/>
              <w:rPr>
                <w:rFonts w:ascii="宋体" w:hAnsi="宋体" w:cs="宋体"/>
                <w:color w:val="auto"/>
                <w:kern w:val="0"/>
                <w:sz w:val="28"/>
                <w:szCs w:val="28"/>
                <w:highlight w:val="none"/>
              </w:rPr>
            </w:pPr>
          </w:p>
        </w:tc>
      </w:tr>
      <w:tr w14:paraId="1DE70B6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4A2E9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2A8FFA">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B7E7AF">
            <w:pPr>
              <w:widowControl/>
              <w:spacing w:line="360" w:lineRule="auto"/>
              <w:jc w:val="center"/>
              <w:rPr>
                <w:rFonts w:ascii="宋体" w:hAnsi="宋体" w:cs="宋体"/>
                <w:color w:val="auto"/>
                <w:kern w:val="0"/>
                <w:sz w:val="28"/>
                <w:szCs w:val="28"/>
                <w:highlight w:val="none"/>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19586A">
            <w:pPr>
              <w:widowControl/>
              <w:spacing w:line="360" w:lineRule="auto"/>
              <w:jc w:val="center"/>
              <w:rPr>
                <w:rFonts w:ascii="宋体" w:hAnsi="宋体" w:cs="宋体"/>
                <w:color w:val="auto"/>
                <w:kern w:val="0"/>
                <w:sz w:val="28"/>
                <w:szCs w:val="28"/>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005677">
            <w:pPr>
              <w:widowControl/>
              <w:spacing w:line="360" w:lineRule="auto"/>
              <w:jc w:val="center"/>
              <w:rPr>
                <w:rFonts w:ascii="宋体" w:hAnsi="宋体" w:cs="宋体"/>
                <w:color w:val="auto"/>
                <w:kern w:val="0"/>
                <w:sz w:val="28"/>
                <w:szCs w:val="28"/>
                <w:highlight w:val="none"/>
              </w:rPr>
            </w:pPr>
          </w:p>
        </w:tc>
      </w:tr>
    </w:tbl>
    <w:p w14:paraId="426FF932">
      <w:pPr>
        <w:spacing w:line="360" w:lineRule="auto"/>
        <w:contextualSpacing/>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76E80299">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686FBF3">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54F10F1E">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10498502">
      <w:pPr>
        <w:spacing w:line="360" w:lineRule="auto"/>
        <w:ind w:firstLine="420" w:firstLineChars="200"/>
        <w:contextualSpacing/>
        <w:jc w:val="left"/>
        <w:rPr>
          <w:rFonts w:ascii="宋体" w:hAnsi="宋体" w:cs="宋体"/>
          <w:color w:val="auto"/>
          <w:szCs w:val="21"/>
          <w:highlight w:val="none"/>
        </w:rPr>
      </w:pPr>
    </w:p>
    <w:p w14:paraId="301DBD49">
      <w:pPr>
        <w:spacing w:line="360" w:lineRule="auto"/>
        <w:ind w:firstLine="560" w:firstLineChars="200"/>
        <w:contextualSpacing/>
        <w:jc w:val="left"/>
        <w:rPr>
          <w:rFonts w:ascii="宋体" w:hAnsi="宋体" w:cs="宋体"/>
          <w:color w:val="auto"/>
          <w:sz w:val="28"/>
          <w:szCs w:val="28"/>
          <w:highlight w:val="none"/>
        </w:rPr>
      </w:pPr>
    </w:p>
    <w:p w14:paraId="3D70284B">
      <w:pPr>
        <w:spacing w:line="360" w:lineRule="auto"/>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w:t>
      </w:r>
      <w:r>
        <w:rPr>
          <w:rFonts w:hint="eastAsia" w:ascii="宋体" w:hAnsi="宋体" w:cs="宋体"/>
          <w:color w:val="auto"/>
          <w:sz w:val="24"/>
          <w:highlight w:val="none"/>
          <w:u w:val="single"/>
        </w:rPr>
        <w:t xml:space="preserve">                    </w:t>
      </w:r>
    </w:p>
    <w:p w14:paraId="2ED34259">
      <w:pPr>
        <w:spacing w:line="360" w:lineRule="auto"/>
        <w:ind w:firstLine="3120" w:firstLineChars="13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供应商（公章 ）： </w:t>
      </w:r>
      <w:r>
        <w:rPr>
          <w:rFonts w:hint="eastAsia" w:ascii="宋体" w:hAnsi="宋体" w:cs="宋体"/>
          <w:color w:val="auto"/>
          <w:sz w:val="24"/>
          <w:highlight w:val="none"/>
          <w:u w:val="single"/>
        </w:rPr>
        <w:t xml:space="preserve">                              </w:t>
      </w:r>
    </w:p>
    <w:p w14:paraId="6A11B807">
      <w:pPr>
        <w:spacing w:line="360" w:lineRule="auto"/>
        <w:ind w:firstLine="3120" w:firstLineChars="1300"/>
        <w:contextualSpacing/>
        <w:rPr>
          <w:rFonts w:ascii="宋体" w:hAnsi="宋体" w:cs="宋体"/>
          <w:b/>
          <w:color w:val="auto"/>
          <w:sz w:val="28"/>
          <w:szCs w:val="28"/>
          <w:highlight w:val="none"/>
        </w:rPr>
      </w:pPr>
      <w:r>
        <w:rPr>
          <w:rFonts w:hint="eastAsia" w:ascii="宋体" w:hAnsi="宋体" w:cs="宋体"/>
          <w:color w:val="auto"/>
          <w:sz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r>
        <w:rPr>
          <w:rFonts w:hint="eastAsia" w:ascii="宋体" w:hAnsi="宋体" w:cs="宋体"/>
          <w:b/>
          <w:color w:val="auto"/>
          <w:sz w:val="28"/>
          <w:szCs w:val="28"/>
          <w:highlight w:val="none"/>
        </w:rPr>
        <w:br w:type="page"/>
      </w:r>
    </w:p>
    <w:p w14:paraId="0075BAFA">
      <w:pPr>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2.</w:t>
      </w:r>
      <w:r>
        <w:rPr>
          <w:rFonts w:hint="eastAsia" w:ascii="宋体" w:hAnsi="宋体" w:cs="宋体"/>
          <w:b/>
          <w:color w:val="auto"/>
          <w:sz w:val="32"/>
          <w:szCs w:val="32"/>
          <w:highlight w:val="none"/>
        </w:rPr>
        <w:t>供应商直接管理关系信息表</w:t>
      </w:r>
    </w:p>
    <w:p w14:paraId="5D7B5F3C">
      <w:pPr>
        <w:snapToGrid w:val="0"/>
        <w:spacing w:line="360" w:lineRule="auto"/>
        <w:jc w:val="center"/>
        <w:rPr>
          <w:rFonts w:ascii="宋体" w:hAnsi="宋体" w:cs="宋体"/>
          <w:b/>
          <w:color w:val="auto"/>
          <w:sz w:val="32"/>
          <w:szCs w:val="32"/>
          <w:highlight w:val="none"/>
        </w:rPr>
      </w:pPr>
    </w:p>
    <w:tbl>
      <w:tblPr>
        <w:tblStyle w:val="27"/>
        <w:tblW w:w="8942" w:type="dxa"/>
        <w:jc w:val="center"/>
        <w:shd w:val="clear" w:color="auto" w:fill="FBFBFB"/>
        <w:tblLayout w:type="fixed"/>
        <w:tblCellMar>
          <w:top w:w="0" w:type="dxa"/>
          <w:left w:w="0" w:type="dxa"/>
          <w:bottom w:w="0" w:type="dxa"/>
          <w:right w:w="0" w:type="dxa"/>
        </w:tblCellMar>
      </w:tblPr>
      <w:tblGrid>
        <w:gridCol w:w="808"/>
        <w:gridCol w:w="3600"/>
        <w:gridCol w:w="3555"/>
        <w:gridCol w:w="979"/>
      </w:tblGrid>
      <w:tr w14:paraId="608A8FC6">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E5E9F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98EAEE">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806BFC">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9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FA357E4">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62F698F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5D4DA4">
            <w:pPr>
              <w:widowControl/>
              <w:wordWrap w:val="0"/>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D581A9">
            <w:pPr>
              <w:widowControl/>
              <w:wordWrap w:val="0"/>
              <w:spacing w:line="360" w:lineRule="auto"/>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D74959">
            <w:pPr>
              <w:widowControl/>
              <w:wordWrap w:val="0"/>
              <w:spacing w:line="360" w:lineRule="auto"/>
              <w:jc w:val="center"/>
              <w:rPr>
                <w:rFonts w:ascii="宋体" w:hAnsi="宋体" w:cs="宋体"/>
                <w:color w:val="auto"/>
                <w:kern w:val="0"/>
                <w:sz w:val="28"/>
                <w:szCs w:val="28"/>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97B46F">
            <w:pPr>
              <w:widowControl/>
              <w:wordWrap w:val="0"/>
              <w:spacing w:line="360" w:lineRule="auto"/>
              <w:jc w:val="center"/>
              <w:rPr>
                <w:rFonts w:ascii="宋体" w:hAnsi="宋体" w:cs="宋体"/>
                <w:color w:val="auto"/>
                <w:kern w:val="0"/>
                <w:sz w:val="28"/>
                <w:szCs w:val="28"/>
                <w:highlight w:val="none"/>
              </w:rPr>
            </w:pPr>
          </w:p>
        </w:tc>
      </w:tr>
      <w:tr w14:paraId="0E3C7A2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7CE335">
            <w:pPr>
              <w:widowControl/>
              <w:wordWrap w:val="0"/>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797E13">
            <w:pPr>
              <w:widowControl/>
              <w:wordWrap w:val="0"/>
              <w:spacing w:line="360" w:lineRule="auto"/>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03F8A7">
            <w:pPr>
              <w:widowControl/>
              <w:wordWrap w:val="0"/>
              <w:spacing w:line="360" w:lineRule="auto"/>
              <w:jc w:val="center"/>
              <w:rPr>
                <w:rFonts w:ascii="宋体" w:hAnsi="宋体" w:cs="宋体"/>
                <w:color w:val="auto"/>
                <w:kern w:val="0"/>
                <w:sz w:val="28"/>
                <w:szCs w:val="28"/>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83B9B5">
            <w:pPr>
              <w:widowControl/>
              <w:wordWrap w:val="0"/>
              <w:spacing w:line="360" w:lineRule="auto"/>
              <w:jc w:val="center"/>
              <w:rPr>
                <w:rFonts w:ascii="宋体" w:hAnsi="宋体" w:cs="宋体"/>
                <w:color w:val="auto"/>
                <w:kern w:val="0"/>
                <w:sz w:val="28"/>
                <w:szCs w:val="28"/>
                <w:highlight w:val="none"/>
              </w:rPr>
            </w:pPr>
          </w:p>
        </w:tc>
      </w:tr>
      <w:tr w14:paraId="6E2593B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31E571">
            <w:pPr>
              <w:widowControl/>
              <w:wordWrap w:val="0"/>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8D2F62">
            <w:pPr>
              <w:widowControl/>
              <w:wordWrap w:val="0"/>
              <w:spacing w:line="360" w:lineRule="auto"/>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9ED6AE">
            <w:pPr>
              <w:widowControl/>
              <w:wordWrap w:val="0"/>
              <w:spacing w:line="360" w:lineRule="auto"/>
              <w:jc w:val="center"/>
              <w:rPr>
                <w:rFonts w:ascii="宋体" w:hAnsi="宋体" w:cs="宋体"/>
                <w:color w:val="auto"/>
                <w:kern w:val="0"/>
                <w:sz w:val="28"/>
                <w:szCs w:val="28"/>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17A83E">
            <w:pPr>
              <w:widowControl/>
              <w:wordWrap w:val="0"/>
              <w:spacing w:line="360" w:lineRule="auto"/>
              <w:jc w:val="center"/>
              <w:rPr>
                <w:rFonts w:ascii="宋体" w:hAnsi="宋体" w:cs="宋体"/>
                <w:color w:val="auto"/>
                <w:kern w:val="0"/>
                <w:sz w:val="28"/>
                <w:szCs w:val="28"/>
                <w:highlight w:val="none"/>
              </w:rPr>
            </w:pPr>
          </w:p>
        </w:tc>
      </w:tr>
      <w:tr w14:paraId="7D5DD22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D9569A">
            <w:pPr>
              <w:widowControl/>
              <w:wordWrap w:val="0"/>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AB614F">
            <w:pPr>
              <w:widowControl/>
              <w:wordWrap w:val="0"/>
              <w:spacing w:line="360" w:lineRule="auto"/>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0354AF">
            <w:pPr>
              <w:widowControl/>
              <w:wordWrap w:val="0"/>
              <w:spacing w:line="360" w:lineRule="auto"/>
              <w:jc w:val="center"/>
              <w:rPr>
                <w:rFonts w:ascii="宋体" w:hAnsi="宋体" w:cs="宋体"/>
                <w:color w:val="auto"/>
                <w:kern w:val="0"/>
                <w:sz w:val="28"/>
                <w:szCs w:val="28"/>
                <w:highlight w:val="none"/>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AD8647">
            <w:pPr>
              <w:widowControl/>
              <w:wordWrap w:val="0"/>
              <w:spacing w:line="360" w:lineRule="auto"/>
              <w:jc w:val="center"/>
              <w:rPr>
                <w:rFonts w:ascii="宋体" w:hAnsi="宋体" w:cs="宋体"/>
                <w:color w:val="auto"/>
                <w:kern w:val="0"/>
                <w:sz w:val="28"/>
                <w:szCs w:val="28"/>
                <w:highlight w:val="none"/>
              </w:rPr>
            </w:pPr>
          </w:p>
        </w:tc>
      </w:tr>
    </w:tbl>
    <w:p w14:paraId="7775768A">
      <w:pPr>
        <w:spacing w:line="360" w:lineRule="auto"/>
        <w:contextualSpacing/>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0F99858B">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0A329CC6">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1827DDA1">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088C64DB">
      <w:pPr>
        <w:spacing w:line="360" w:lineRule="auto"/>
        <w:contextualSpacing/>
        <w:jc w:val="left"/>
        <w:rPr>
          <w:rFonts w:ascii="宋体" w:hAnsi="宋体" w:cs="宋体"/>
          <w:color w:val="auto"/>
          <w:sz w:val="28"/>
          <w:szCs w:val="28"/>
          <w:highlight w:val="none"/>
        </w:rPr>
      </w:pPr>
    </w:p>
    <w:p w14:paraId="7FF1B9AC">
      <w:pPr>
        <w:spacing w:line="360" w:lineRule="auto"/>
        <w:contextualSpacing/>
        <w:jc w:val="left"/>
        <w:rPr>
          <w:rFonts w:ascii="宋体" w:hAnsi="宋体" w:cs="宋体"/>
          <w:color w:val="auto"/>
          <w:sz w:val="28"/>
          <w:szCs w:val="28"/>
          <w:highlight w:val="none"/>
        </w:rPr>
      </w:pPr>
    </w:p>
    <w:p w14:paraId="1B23DFDF">
      <w:pPr>
        <w:spacing w:line="360" w:lineRule="auto"/>
        <w:contextualSpacing/>
        <w:jc w:val="left"/>
        <w:rPr>
          <w:rFonts w:ascii="宋体" w:hAnsi="宋体" w:cs="宋体"/>
          <w:color w:val="auto"/>
          <w:sz w:val="28"/>
          <w:szCs w:val="28"/>
          <w:highlight w:val="none"/>
        </w:rPr>
      </w:pPr>
    </w:p>
    <w:p w14:paraId="054D5B87">
      <w:pPr>
        <w:spacing w:line="360" w:lineRule="auto"/>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w:t>
      </w:r>
      <w:r>
        <w:rPr>
          <w:rFonts w:hint="eastAsia" w:ascii="宋体" w:hAnsi="宋体" w:cs="宋体"/>
          <w:color w:val="auto"/>
          <w:sz w:val="24"/>
          <w:highlight w:val="none"/>
          <w:u w:val="single"/>
        </w:rPr>
        <w:t xml:space="preserve">                   </w:t>
      </w:r>
    </w:p>
    <w:p w14:paraId="5706C488">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54535676">
      <w:pPr>
        <w:spacing w:line="360" w:lineRule="auto"/>
        <w:ind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2A28CD3D">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参与竞争性谈判声明</w:t>
      </w:r>
    </w:p>
    <w:p w14:paraId="287F4A7B">
      <w:pPr>
        <w:spacing w:line="360" w:lineRule="auto"/>
        <w:jc w:val="center"/>
        <w:rPr>
          <w:rFonts w:ascii="宋体" w:hAnsi="宋体" w:cs="宋体"/>
          <w:color w:val="auto"/>
          <w:sz w:val="24"/>
          <w:szCs w:val="20"/>
          <w:highlight w:val="none"/>
        </w:rPr>
      </w:pPr>
    </w:p>
    <w:p w14:paraId="38597B7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B95F61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562911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，为便于贵方公正、择优地确定成交供应商及其参与</w:t>
      </w:r>
      <w:r>
        <w:rPr>
          <w:rFonts w:hint="eastAsia" w:ascii="宋体" w:hAnsi="宋体" w:cs="宋体"/>
          <w:color w:val="auto"/>
          <w:sz w:val="24"/>
          <w:highlight w:val="none"/>
          <w:lang w:bidi="ar"/>
        </w:rPr>
        <w:t>竞争性谈判的</w:t>
      </w:r>
      <w:r>
        <w:rPr>
          <w:rFonts w:hint="eastAsia" w:ascii="宋体" w:hAnsi="宋体" w:cs="宋体"/>
          <w:color w:val="auto"/>
          <w:sz w:val="24"/>
          <w:highlight w:val="none"/>
        </w:rPr>
        <w:t>产品和服务，我方就本次参与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有关事项郑重声明如下：</w:t>
      </w:r>
    </w:p>
    <w:p w14:paraId="54999DD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67CF646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7BE2D3E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40C8F55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749196C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1BAAE5E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61A4C97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（4）响应谈判文件规定的</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有效期。</w:t>
      </w:r>
    </w:p>
    <w:p w14:paraId="7EF6FE1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9E02CF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48628C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AD03AF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3E3EF9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245202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C4C42D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3766C37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C6FCDC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03E2C1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9A6D16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5BACEAE">
      <w:pPr>
        <w:pStyle w:val="15"/>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2BF5A414">
      <w:pPr>
        <w:pStyle w:val="15"/>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D54C20A">
      <w:pPr>
        <w:pStyle w:val="13"/>
        <w:tabs>
          <w:tab w:val="left" w:pos="939"/>
        </w:tabs>
        <w:spacing w:line="360" w:lineRule="auto"/>
        <w:ind w:left="0" w:leftChars="0" w:firstLine="360" w:firstLineChars="150"/>
        <w:rPr>
          <w:rFonts w:ascii="宋体" w:hAnsi="宋体" w:cs="宋体"/>
          <w:color w:val="auto"/>
          <w:sz w:val="24"/>
          <w:highlight w:val="none"/>
          <w:u w:val="singl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w:t>
      </w:r>
      <w:r>
        <w:rPr>
          <w:rFonts w:hint="eastAsia" w:ascii="宋体" w:hAnsi="宋体" w:cs="宋体"/>
          <w:color w:val="auto"/>
          <w:sz w:val="24"/>
          <w:highlight w:val="none"/>
        </w:rPr>
        <w:t>号/行号：</w:t>
      </w:r>
      <w:r>
        <w:rPr>
          <w:rFonts w:hint="eastAsia" w:ascii="宋体" w:hAnsi="宋体" w:cs="宋体"/>
          <w:color w:val="auto"/>
          <w:sz w:val="24"/>
          <w:highlight w:val="none"/>
          <w:u w:val="single"/>
        </w:rPr>
        <w:t xml:space="preserve">           </w:t>
      </w:r>
    </w:p>
    <w:p w14:paraId="6F366705">
      <w:pPr>
        <w:pStyle w:val="13"/>
        <w:tabs>
          <w:tab w:val="left" w:pos="939"/>
        </w:tabs>
        <w:spacing w:line="360" w:lineRule="auto"/>
        <w:ind w:left="0" w:leftChars="0" w:firstLine="360" w:firstLineChars="15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w:t>
      </w:r>
      <w:r>
        <w:rPr>
          <w:rFonts w:ascii="宋体" w:hAnsi="宋体" w:cs="宋体"/>
          <w:color w:val="auto"/>
          <w:sz w:val="24"/>
          <w:highlight w:val="none"/>
        </w:rPr>
        <w:t>我方若</w:t>
      </w:r>
      <w:r>
        <w:rPr>
          <w:rFonts w:hint="eastAsia" w:ascii="宋体" w:hAnsi="宋体" w:cs="宋体"/>
          <w:color w:val="auto"/>
          <w:sz w:val="24"/>
          <w:highlight w:val="none"/>
        </w:rPr>
        <w:t>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成功</w:t>
      </w:r>
      <w:r>
        <w:rPr>
          <w:rFonts w:ascii="宋体" w:hAnsi="宋体" w:cs="宋体"/>
          <w:color w:val="auto"/>
          <w:sz w:val="24"/>
          <w:highlight w:val="none"/>
        </w:rPr>
        <w:t>，将采取</w:t>
      </w:r>
      <w:r>
        <w:rPr>
          <w:rFonts w:ascii="宋体" w:hAnsi="宋体" w:cs="宋体"/>
          <w:color w:val="auto"/>
          <w:sz w:val="24"/>
          <w:highlight w:val="none"/>
          <w:u w:val="single"/>
        </w:rPr>
        <w:t>      </w:t>
      </w:r>
      <w:r>
        <w:rPr>
          <w:rFonts w:ascii="宋体" w:hAnsi="宋体" w:cs="宋体"/>
          <w:color w:val="auto"/>
          <w:sz w:val="24"/>
          <w:highlight w:val="none"/>
        </w:rPr>
        <w:t>（</w:t>
      </w:r>
      <w:r>
        <w:rPr>
          <w:rFonts w:hint="eastAsia" w:ascii="宋体" w:hAnsi="宋体" w:cs="宋体"/>
          <w:color w:val="auto"/>
          <w:sz w:val="24"/>
          <w:highlight w:val="none"/>
        </w:rPr>
        <w:t>汽车、火车、飞机等</w:t>
      </w:r>
      <w:r>
        <w:rPr>
          <w:rFonts w:ascii="宋体" w:hAnsi="宋体" w:cs="宋体"/>
          <w:color w:val="auto"/>
          <w:sz w:val="24"/>
          <w:highlight w:val="none"/>
        </w:rPr>
        <w:t>）方式运输货物。</w:t>
      </w:r>
    </w:p>
    <w:p w14:paraId="08F4E625">
      <w:pPr>
        <w:pStyle w:val="13"/>
        <w:tabs>
          <w:tab w:val="left" w:pos="939"/>
        </w:tabs>
        <w:spacing w:line="360" w:lineRule="auto"/>
        <w:ind w:left="0" w:leftChars="0" w:firstLine="360" w:firstLineChars="150"/>
        <w:rPr>
          <w:rFonts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w:t>
      </w:r>
      <w:r>
        <w:rPr>
          <w:rFonts w:hint="eastAsia" w:ascii="宋体" w:hAnsi="宋体" w:cs="宋体"/>
          <w:color w:val="auto"/>
          <w:sz w:val="24"/>
          <w:highlight w:val="none"/>
        </w:rPr>
        <w:t>我方若参与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成功，除非发生不可抗力，承诺与采购人及时签订《合同书》。如果放弃，自愿按照本文件之《供应商须知正文》第2</w:t>
      </w:r>
      <w:r>
        <w:rPr>
          <w:rFonts w:ascii="宋体" w:hAnsi="宋体" w:cs="宋体"/>
          <w:color w:val="auto"/>
          <w:sz w:val="24"/>
          <w:highlight w:val="none"/>
        </w:rPr>
        <w:t>7.5</w:t>
      </w:r>
      <w:r>
        <w:rPr>
          <w:rFonts w:hint="eastAsia" w:ascii="宋体" w:hAnsi="宋体" w:cs="宋体"/>
          <w:color w:val="auto"/>
          <w:sz w:val="24"/>
          <w:highlight w:val="none"/>
        </w:rPr>
        <w:t>条的要求承担法律责任和失信惩戒。</w:t>
      </w:r>
    </w:p>
    <w:p w14:paraId="10AB8B6E">
      <w:pPr>
        <w:pStyle w:val="13"/>
        <w:tabs>
          <w:tab w:val="left" w:pos="939"/>
        </w:tabs>
        <w:spacing w:line="360" w:lineRule="auto"/>
        <w:ind w:left="0" w:leftChars="0" w:firstLine="360" w:firstLineChars="150"/>
        <w:rPr>
          <w:rFonts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.以上事项如有虚假或者隐瞒，我方愿意承担一切后果，并不再寻求任何旨在减轻或者免除法律责任的辩解。</w:t>
      </w:r>
    </w:p>
    <w:p w14:paraId="16B4B08D">
      <w:pPr>
        <w:pStyle w:val="13"/>
        <w:tabs>
          <w:tab w:val="left" w:pos="939"/>
        </w:tabs>
        <w:spacing w:line="360" w:lineRule="auto"/>
        <w:ind w:left="0" w:leftChars="0" w:firstLine="360" w:firstLineChars="150"/>
        <w:rPr>
          <w:rFonts w:ascii="宋体" w:hAnsi="宋体" w:cs="宋体"/>
          <w:color w:val="auto"/>
          <w:szCs w:val="21"/>
          <w:highlight w:val="none"/>
        </w:rPr>
      </w:pPr>
      <w:r>
        <w:rPr>
          <w:rFonts w:hint="eastAsia" w:ascii="宋体" w:hAnsi="宋体" w:cs="宋体"/>
          <w:color w:val="auto"/>
          <w:sz w:val="24"/>
          <w:highlight w:val="none"/>
        </w:rPr>
        <w:t>特此承诺。</w:t>
      </w:r>
    </w:p>
    <w:p w14:paraId="07380BDE">
      <w:pPr>
        <w:spacing w:line="360" w:lineRule="auto"/>
        <w:contextualSpacing/>
        <w:jc w:val="left"/>
        <w:rPr>
          <w:rFonts w:ascii="楷体" w:hAnsi="楷体" w:eastAsia="楷体" w:cs="宋体"/>
          <w:b/>
          <w:color w:val="auto"/>
          <w:sz w:val="24"/>
          <w:highlight w:val="none"/>
        </w:rPr>
      </w:pPr>
      <w:r>
        <w:rPr>
          <w:rFonts w:hint="eastAsia" w:ascii="宋体" w:hAnsi="宋体" w:cs="宋体"/>
          <w:b/>
          <w:color w:val="auto"/>
          <w:sz w:val="24"/>
          <w:highlight w:val="none"/>
        </w:rPr>
        <w:t xml:space="preserve">   </w:t>
      </w:r>
      <w:r>
        <w:rPr>
          <w:rFonts w:hint="eastAsia" w:ascii="楷体" w:hAnsi="楷体" w:eastAsia="楷体" w:cs="宋体"/>
          <w:b/>
          <w:color w:val="auto"/>
          <w:sz w:val="24"/>
          <w:highlight w:val="none"/>
        </w:rPr>
        <w:t xml:space="preserve"> 注：如为联合体参与</w:t>
      </w:r>
      <w:r>
        <w:rPr>
          <w:rFonts w:hint="eastAsia" w:ascii="楷体" w:hAnsi="楷体" w:eastAsia="楷体" w:cs="宋体"/>
          <w:b/>
          <w:color w:val="auto"/>
          <w:sz w:val="24"/>
          <w:highlight w:val="none"/>
          <w:lang w:bidi="ar"/>
        </w:rPr>
        <w:t>竞争性谈判</w:t>
      </w:r>
      <w:r>
        <w:rPr>
          <w:rFonts w:hint="eastAsia" w:ascii="楷体" w:hAnsi="楷体" w:eastAsia="楷体" w:cs="宋体"/>
          <w:b/>
          <w:color w:val="auto"/>
          <w:sz w:val="24"/>
          <w:highlight w:val="none"/>
        </w:rPr>
        <w:t>，盖章处须加盖联合体各方公章并由联合体各方法定代表人分别签署，否则响应文件按无效响应处理。</w:t>
      </w:r>
    </w:p>
    <w:p w14:paraId="604EC693">
      <w:pPr>
        <w:spacing w:line="360" w:lineRule="auto"/>
        <w:contextualSpacing/>
        <w:jc w:val="left"/>
        <w:rPr>
          <w:rFonts w:ascii="宋体" w:hAnsi="宋体" w:cs="宋体"/>
          <w:color w:val="auto"/>
          <w:szCs w:val="21"/>
          <w:highlight w:val="none"/>
        </w:rPr>
      </w:pPr>
    </w:p>
    <w:p w14:paraId="2F5FDAC6">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8ADABBA">
      <w:pPr>
        <w:spacing w:line="360" w:lineRule="auto"/>
        <w:ind w:firstLine="4320" w:firstLineChars="1800"/>
        <w:contextualSpacing/>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0A5E080">
      <w:pPr>
        <w:spacing w:line="360" w:lineRule="auto"/>
        <w:contextualSpacing/>
        <w:jc w:val="right"/>
        <w:rPr>
          <w:rFonts w:ascii="宋体" w:hAnsi="宋体" w:cs="宋体"/>
          <w:color w:val="auto"/>
          <w:sz w:val="24"/>
          <w:highlight w:val="none"/>
        </w:rPr>
      </w:pPr>
      <w:r>
        <w:rPr>
          <w:rFonts w:hint="eastAsia" w:ascii="宋体" w:hAnsi="宋体" w:cs="宋体"/>
          <w:color w:val="auto"/>
          <w:sz w:val="24"/>
          <w:highlight w:val="none"/>
        </w:rPr>
        <w:t xml:space="preserve">                      日期： </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r>
        <w:rPr>
          <w:rFonts w:hint="eastAsia" w:ascii="宋体" w:hAnsi="宋体" w:cs="宋体"/>
          <w:color w:val="auto"/>
          <w:sz w:val="32"/>
          <w:szCs w:val="32"/>
          <w:highlight w:val="none"/>
        </w:rPr>
        <w:br w:type="page"/>
      </w:r>
    </w:p>
    <w:p w14:paraId="2D03BA60">
      <w:pPr>
        <w:spacing w:line="360" w:lineRule="auto"/>
        <w:contextualSpacing/>
        <w:jc w:val="left"/>
        <w:rPr>
          <w:rFonts w:ascii="宋体" w:hAnsi="宋体" w:cs="宋体"/>
          <w:b/>
          <w:color w:val="auto"/>
          <w:sz w:val="32"/>
          <w:szCs w:val="32"/>
          <w:highlight w:val="none"/>
        </w:rPr>
      </w:pP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报价商务技术文件格式 </w:t>
      </w:r>
    </w:p>
    <w:p w14:paraId="785E655F">
      <w:pPr>
        <w:snapToGrid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2AB8B93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7D89ED8">
      <w:pPr>
        <w:snapToGrid w:val="0"/>
        <w:spacing w:line="360" w:lineRule="auto"/>
        <w:rPr>
          <w:rFonts w:ascii="宋体" w:hAnsi="宋体" w:cs="宋体"/>
          <w:color w:val="auto"/>
          <w:sz w:val="24"/>
          <w:highlight w:val="none"/>
        </w:rPr>
      </w:pPr>
    </w:p>
    <w:p w14:paraId="786DA7D2">
      <w:pPr>
        <w:snapToGrid w:val="0"/>
        <w:spacing w:line="360" w:lineRule="auto"/>
        <w:rPr>
          <w:rFonts w:ascii="宋体" w:hAnsi="宋体" w:cs="宋体"/>
          <w:color w:val="auto"/>
          <w:sz w:val="24"/>
          <w:szCs w:val="20"/>
          <w:highlight w:val="none"/>
        </w:rPr>
      </w:pPr>
    </w:p>
    <w:p w14:paraId="102DB402">
      <w:pPr>
        <w:snapToGrid w:val="0"/>
        <w:spacing w:line="360" w:lineRule="auto"/>
        <w:jc w:val="center"/>
        <w:rPr>
          <w:rFonts w:ascii="宋体" w:hAnsi="宋体" w:cs="宋体"/>
          <w:bCs/>
          <w:color w:val="auto"/>
          <w:sz w:val="84"/>
          <w:szCs w:val="84"/>
          <w:highlight w:val="none"/>
        </w:rPr>
      </w:pPr>
      <w:r>
        <w:rPr>
          <w:rFonts w:hint="eastAsia" w:ascii="宋体" w:hAnsi="宋体" w:cs="宋体"/>
          <w:b/>
          <w:color w:val="auto"/>
          <w:sz w:val="84"/>
          <w:szCs w:val="84"/>
          <w:highlight w:val="none"/>
        </w:rPr>
        <w:t>响  应  文  件</w:t>
      </w:r>
    </w:p>
    <w:p w14:paraId="3D7ECEA0">
      <w:pPr>
        <w:snapToGrid w:val="0"/>
        <w:spacing w:line="360" w:lineRule="auto"/>
        <w:rPr>
          <w:rFonts w:ascii="宋体" w:hAnsi="宋体" w:cs="宋体"/>
          <w:color w:val="auto"/>
          <w:sz w:val="24"/>
          <w:szCs w:val="20"/>
          <w:highlight w:val="none"/>
        </w:rPr>
      </w:pPr>
    </w:p>
    <w:p w14:paraId="7C0B723B">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报价商务技术文件</w:t>
      </w:r>
    </w:p>
    <w:p w14:paraId="0F910D16">
      <w:pPr>
        <w:snapToGrid w:val="0"/>
        <w:spacing w:line="360" w:lineRule="auto"/>
        <w:rPr>
          <w:rFonts w:ascii="宋体" w:hAnsi="宋体" w:cs="宋体"/>
          <w:bCs/>
          <w:color w:val="auto"/>
          <w:sz w:val="28"/>
          <w:szCs w:val="28"/>
          <w:highlight w:val="none"/>
        </w:rPr>
      </w:pPr>
    </w:p>
    <w:p w14:paraId="17788B46">
      <w:pPr>
        <w:snapToGrid w:val="0"/>
        <w:spacing w:line="360" w:lineRule="auto"/>
        <w:rPr>
          <w:rFonts w:ascii="宋体" w:hAnsi="宋体" w:cs="宋体"/>
          <w:bCs/>
          <w:color w:val="auto"/>
          <w:sz w:val="28"/>
          <w:szCs w:val="28"/>
          <w:highlight w:val="none"/>
        </w:rPr>
      </w:pPr>
    </w:p>
    <w:p w14:paraId="7310D1D4">
      <w:pPr>
        <w:snapToGrid w:val="0"/>
        <w:spacing w:line="360" w:lineRule="auto"/>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5CB65BDC">
      <w:pPr>
        <w:snapToGrid w:val="0"/>
        <w:spacing w:line="360" w:lineRule="auto"/>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项目编号： </w:t>
      </w:r>
    </w:p>
    <w:p w14:paraId="07A5B4C7">
      <w:pPr>
        <w:snapToGrid w:val="0"/>
        <w:spacing w:line="360" w:lineRule="auto"/>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所竞分标（如有）：</w:t>
      </w:r>
    </w:p>
    <w:p w14:paraId="52789828">
      <w:pPr>
        <w:pStyle w:val="7"/>
        <w:snapToGrid w:val="0"/>
        <w:spacing w:line="360" w:lineRule="auto"/>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10E46AEB">
      <w:pPr>
        <w:pStyle w:val="7"/>
        <w:snapToGrid w:val="0"/>
        <w:spacing w:line="360" w:lineRule="auto"/>
        <w:ind w:firstLine="1680" w:firstLineChars="600"/>
        <w:rPr>
          <w:rFonts w:ascii="宋体" w:hAnsi="宋体" w:cs="宋体"/>
          <w:bCs/>
          <w:color w:val="auto"/>
          <w:sz w:val="28"/>
          <w:szCs w:val="28"/>
          <w:highlight w:val="none"/>
        </w:rPr>
      </w:pPr>
    </w:p>
    <w:p w14:paraId="57CC42D4">
      <w:pPr>
        <w:snapToGrid w:val="0"/>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42B55385">
      <w:pPr>
        <w:snapToGrid w:val="0"/>
        <w:spacing w:line="360" w:lineRule="auto"/>
        <w:jc w:val="left"/>
        <w:rPr>
          <w:rFonts w:ascii="宋体" w:hAnsi="宋体" w:cs="宋体"/>
          <w:b/>
          <w:bCs/>
          <w:color w:val="auto"/>
          <w:sz w:val="24"/>
          <w:highlight w:val="none"/>
        </w:rPr>
      </w:pPr>
      <w:r>
        <w:rPr>
          <w:rFonts w:hint="eastAsia" w:ascii="宋体" w:hAnsi="宋体" w:cs="宋体"/>
          <w:color w:val="auto"/>
          <w:sz w:val="28"/>
          <w:szCs w:val="28"/>
          <w:highlight w:val="none"/>
        </w:rPr>
        <w:br w:type="page"/>
      </w:r>
      <w:r>
        <w:rPr>
          <w:rFonts w:hint="eastAsia" w:ascii="宋体" w:hAnsi="宋体" w:cs="宋体"/>
          <w:b/>
          <w:bCs/>
          <w:color w:val="auto"/>
          <w:sz w:val="32"/>
          <w:szCs w:val="32"/>
          <w:highlight w:val="none"/>
        </w:rPr>
        <w:t>2.报价商务技术文件目录</w:t>
      </w:r>
    </w:p>
    <w:p w14:paraId="101C852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根据谈判文件规定及供应商提供的材料自行编写目录（部分格式后附）。</w:t>
      </w:r>
    </w:p>
    <w:p w14:paraId="7AC35338">
      <w:pPr>
        <w:spacing w:line="360" w:lineRule="auto"/>
        <w:rPr>
          <w:rFonts w:ascii="宋体" w:hAnsi="宋体" w:cs="宋体"/>
          <w:color w:val="auto"/>
          <w:sz w:val="32"/>
          <w:szCs w:val="32"/>
          <w:highlight w:val="none"/>
        </w:rPr>
      </w:pPr>
    </w:p>
    <w:p w14:paraId="03F61F48">
      <w:pPr>
        <w:spacing w:line="360" w:lineRule="auto"/>
        <w:jc w:val="center"/>
        <w:rPr>
          <w:rFonts w:ascii="宋体" w:hAnsi="宋体" w:cs="宋体"/>
          <w:b/>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b/>
          <w:color w:val="auto"/>
          <w:sz w:val="44"/>
          <w:szCs w:val="44"/>
          <w:highlight w:val="none"/>
        </w:rPr>
        <w:t>无串通参与竞争性谈判行为的承诺函</w:t>
      </w:r>
    </w:p>
    <w:p w14:paraId="22400117">
      <w:pPr>
        <w:spacing w:line="360" w:lineRule="auto"/>
        <w:ind w:firstLine="640" w:firstLineChars="200"/>
        <w:contextualSpacing/>
        <w:rPr>
          <w:rFonts w:ascii="宋体" w:hAnsi="宋体" w:cs="宋体"/>
          <w:color w:val="auto"/>
          <w:sz w:val="32"/>
          <w:szCs w:val="32"/>
          <w:highlight w:val="none"/>
        </w:rPr>
      </w:pPr>
    </w:p>
    <w:p w14:paraId="2D47386D">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一、我方承诺无下列相互串通参与</w:t>
      </w:r>
      <w:r>
        <w:rPr>
          <w:rFonts w:hint="eastAsia" w:ascii="宋体" w:hAnsi="宋体" w:cs="宋体"/>
          <w:b/>
          <w:color w:val="auto"/>
          <w:sz w:val="24"/>
          <w:highlight w:val="none"/>
          <w:lang w:bidi="ar"/>
        </w:rPr>
        <w:t>竞争性谈判</w:t>
      </w:r>
      <w:r>
        <w:rPr>
          <w:rFonts w:hint="eastAsia" w:ascii="宋体" w:hAnsi="宋体" w:cs="宋体"/>
          <w:b/>
          <w:bCs/>
          <w:color w:val="auto"/>
          <w:sz w:val="24"/>
          <w:highlight w:val="none"/>
        </w:rPr>
        <w:t>的情形：</w:t>
      </w:r>
    </w:p>
    <w:p w14:paraId="42AB578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14:paraId="2B150D3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2.不同供应商委托同一单位或者个人办理参与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事宜；</w:t>
      </w:r>
    </w:p>
    <w:p w14:paraId="5D2B120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04E3068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同供应商的响应文件异常一致或者参与</w:t>
      </w:r>
      <w:r>
        <w:rPr>
          <w:rFonts w:hint="eastAsia" w:ascii="宋体" w:hAnsi="宋体" w:cs="宋体"/>
          <w:color w:val="auto"/>
          <w:sz w:val="24"/>
          <w:highlight w:val="none"/>
          <w:lang w:bidi="ar"/>
        </w:rPr>
        <w:t>竞争性谈判的</w:t>
      </w:r>
      <w:r>
        <w:rPr>
          <w:rFonts w:hint="eastAsia" w:ascii="宋体" w:hAnsi="宋体" w:cs="宋体"/>
          <w:color w:val="auto"/>
          <w:spacing w:val="-6"/>
          <w:sz w:val="24"/>
          <w:highlight w:val="none"/>
        </w:rPr>
        <w:t>报价呈规律性差异；</w:t>
      </w:r>
    </w:p>
    <w:p w14:paraId="6146DAE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3222BD2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6.不同供应商的谈判保证金从同一单位或者个人账户转出。</w:t>
      </w:r>
    </w:p>
    <w:p w14:paraId="0089A131">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084EC12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4C6E7E8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2F867BB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7B2AFFD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52D81F4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报价,或者在竞争性谈判项目中事先约定轮流以高价位或者低价位成交,或者事先约定由某一特定供应商成交,然后再参加</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w:t>
      </w:r>
    </w:p>
    <w:p w14:paraId="368FA1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77C6D8A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3B08F81D">
      <w:pPr>
        <w:spacing w:line="360" w:lineRule="auto"/>
        <w:ind w:firstLine="480" w:firstLineChars="200"/>
        <w:contextualSpacing/>
        <w:rPr>
          <w:rFonts w:ascii="宋体" w:hAnsi="宋体" w:cs="宋体"/>
          <w:color w:val="auto"/>
          <w:sz w:val="24"/>
          <w:highlight w:val="none"/>
        </w:rPr>
      </w:pPr>
    </w:p>
    <w:p w14:paraId="50939864">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70F23121">
      <w:pPr>
        <w:spacing w:line="360" w:lineRule="auto"/>
        <w:ind w:firstLine="480" w:firstLineChars="200"/>
        <w:contextualSpacing/>
        <w:rPr>
          <w:rFonts w:ascii="宋体" w:hAnsi="宋体" w:cs="宋体"/>
          <w:color w:val="auto"/>
          <w:sz w:val="24"/>
          <w:highlight w:val="none"/>
        </w:rPr>
      </w:pPr>
    </w:p>
    <w:p w14:paraId="57712C17">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供应商（公章 ）：</w:t>
      </w:r>
    </w:p>
    <w:p w14:paraId="1305645D">
      <w:pPr>
        <w:spacing w:line="360" w:lineRule="auto"/>
        <w:ind w:firstLine="480" w:firstLineChars="20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29E7EEA2">
      <w:pPr>
        <w:tabs>
          <w:tab w:val="left" w:pos="3479"/>
        </w:tabs>
        <w:spacing w:line="360" w:lineRule="auto"/>
        <w:jc w:val="center"/>
        <w:rPr>
          <w:rFonts w:ascii="宋体" w:hAnsi="宋体" w:cs="宋体"/>
          <w:b/>
          <w:bCs/>
          <w:color w:val="auto"/>
          <w:sz w:val="32"/>
          <w:szCs w:val="32"/>
          <w:highlight w:val="none"/>
        </w:rPr>
      </w:pPr>
      <w:r>
        <w:rPr>
          <w:rFonts w:hint="eastAsia" w:ascii="宋体" w:hAnsi="宋体" w:cs="宋体"/>
          <w:b/>
          <w:bCs/>
          <w:color w:val="auto"/>
          <w:sz w:val="44"/>
          <w:szCs w:val="44"/>
          <w:highlight w:val="none"/>
        </w:rPr>
        <w:t>竞争性谈判报价表</w:t>
      </w:r>
    </w:p>
    <w:p w14:paraId="653CD043">
      <w:pPr>
        <w:spacing w:line="360" w:lineRule="auto"/>
        <w:jc w:val="center"/>
        <w:rPr>
          <w:rFonts w:ascii="宋体" w:hAnsi="宋体" w:cs="宋体"/>
          <w:bCs/>
          <w:color w:val="auto"/>
          <w:sz w:val="24"/>
          <w:highlight w:val="none"/>
        </w:rPr>
      </w:pPr>
    </w:p>
    <w:p w14:paraId="7C2C68B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分标（如有）：</w:t>
      </w:r>
      <w:r>
        <w:rPr>
          <w:rFonts w:hint="eastAsia" w:ascii="宋体" w:hAnsi="宋体" w:cs="宋体"/>
          <w:color w:val="auto"/>
          <w:sz w:val="24"/>
          <w:highlight w:val="none"/>
          <w:u w:val="single"/>
        </w:rPr>
        <w:t xml:space="preserve">            </w:t>
      </w:r>
    </w:p>
    <w:p w14:paraId="6AC7FD7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8A6139C">
      <w:pPr>
        <w:snapToGrid w:val="0"/>
        <w:spacing w:line="360" w:lineRule="auto"/>
        <w:ind w:firstLine="5520" w:firstLineChars="2300"/>
        <w:rPr>
          <w:rFonts w:ascii="宋体" w:hAnsi="宋体" w:cs="宋体"/>
          <w:color w:val="auto"/>
          <w:sz w:val="24"/>
          <w:highlight w:val="none"/>
        </w:rPr>
      </w:pPr>
      <w:r>
        <w:rPr>
          <w:rFonts w:hint="eastAsia" w:ascii="宋体" w:hAnsi="宋体" w:cs="宋体"/>
          <w:color w:val="auto"/>
          <w:sz w:val="24"/>
          <w:highlight w:val="none"/>
        </w:rPr>
        <w:t>货币单位：人民币元</w:t>
      </w:r>
    </w:p>
    <w:tbl>
      <w:tblPr>
        <w:tblStyle w:val="27"/>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923"/>
        <w:gridCol w:w="1487"/>
        <w:gridCol w:w="1134"/>
        <w:gridCol w:w="992"/>
        <w:gridCol w:w="709"/>
        <w:gridCol w:w="830"/>
        <w:gridCol w:w="1073"/>
        <w:gridCol w:w="1925"/>
      </w:tblGrid>
      <w:tr w14:paraId="65AF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2DBF75C3">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34" w:type="dxa"/>
            <w:vAlign w:val="center"/>
          </w:tcPr>
          <w:p w14:paraId="61E94516">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923" w:type="dxa"/>
            <w:vAlign w:val="center"/>
          </w:tcPr>
          <w:p w14:paraId="59D9736D">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品牌</w:t>
            </w:r>
          </w:p>
        </w:tc>
        <w:tc>
          <w:tcPr>
            <w:tcW w:w="1487" w:type="dxa"/>
            <w:vAlign w:val="center"/>
          </w:tcPr>
          <w:p w14:paraId="78E2382A">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型号（与铭牌一致）</w:t>
            </w:r>
          </w:p>
        </w:tc>
        <w:tc>
          <w:tcPr>
            <w:tcW w:w="1134" w:type="dxa"/>
            <w:vAlign w:val="center"/>
          </w:tcPr>
          <w:p w14:paraId="52D471D8">
            <w:pPr>
              <w:snapToGrid w:val="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992" w:type="dxa"/>
            <w:vAlign w:val="center"/>
          </w:tcPr>
          <w:p w14:paraId="1A6CA7EA">
            <w:pPr>
              <w:snapToGrid w:val="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09" w:type="dxa"/>
            <w:vAlign w:val="center"/>
          </w:tcPr>
          <w:p w14:paraId="50FE78CB">
            <w:pPr>
              <w:snapToGrid w:val="0"/>
              <w:jc w:val="center"/>
              <w:rPr>
                <w:rFonts w:ascii="宋体" w:hAnsi="宋体" w:cs="宋体"/>
                <w:color w:val="auto"/>
                <w:sz w:val="24"/>
                <w:highlight w:val="none"/>
              </w:rPr>
            </w:pPr>
            <w:r>
              <w:rPr>
                <w:rFonts w:hint="eastAsia" w:ascii="宋体" w:hAnsi="宋体" w:cs="宋体"/>
                <w:color w:val="auto"/>
                <w:sz w:val="24"/>
                <w:highlight w:val="none"/>
              </w:rPr>
              <w:t>数  量①</w:t>
            </w:r>
          </w:p>
        </w:tc>
        <w:tc>
          <w:tcPr>
            <w:tcW w:w="830" w:type="dxa"/>
            <w:vAlign w:val="center"/>
          </w:tcPr>
          <w:p w14:paraId="5267BEB1">
            <w:pPr>
              <w:snapToGrid w:val="0"/>
              <w:jc w:val="center"/>
              <w:rPr>
                <w:rFonts w:ascii="宋体" w:hAnsi="宋体" w:cs="宋体"/>
                <w:color w:val="auto"/>
                <w:sz w:val="24"/>
                <w:highlight w:val="none"/>
              </w:rPr>
            </w:pPr>
            <w:r>
              <w:rPr>
                <w:rFonts w:hint="eastAsia" w:ascii="宋体" w:hAnsi="宋体" w:cs="宋体"/>
                <w:color w:val="auto"/>
                <w:sz w:val="24"/>
                <w:highlight w:val="none"/>
              </w:rPr>
              <w:t>单位</w:t>
            </w:r>
          </w:p>
        </w:tc>
        <w:tc>
          <w:tcPr>
            <w:tcW w:w="1073" w:type="dxa"/>
            <w:vAlign w:val="center"/>
          </w:tcPr>
          <w:p w14:paraId="79874845">
            <w:pPr>
              <w:snapToGrid w:val="0"/>
              <w:jc w:val="center"/>
              <w:rPr>
                <w:rFonts w:ascii="宋体" w:hAnsi="宋体" w:cs="宋体"/>
                <w:color w:val="auto"/>
                <w:sz w:val="24"/>
                <w:highlight w:val="none"/>
              </w:rPr>
            </w:pPr>
            <w:r>
              <w:rPr>
                <w:rFonts w:hint="eastAsia" w:ascii="宋体" w:hAnsi="宋体" w:cs="宋体"/>
                <w:color w:val="auto"/>
                <w:sz w:val="24"/>
                <w:highlight w:val="none"/>
              </w:rPr>
              <w:t>单  价</w:t>
            </w:r>
          </w:p>
          <w:p w14:paraId="3C68793F">
            <w:pPr>
              <w:snapToGrid w:val="0"/>
              <w:jc w:val="center"/>
              <w:rPr>
                <w:rFonts w:ascii="宋体" w:hAnsi="宋体" w:cs="宋体"/>
                <w:color w:val="auto"/>
                <w:sz w:val="24"/>
                <w:highlight w:val="none"/>
              </w:rPr>
            </w:pPr>
            <w:r>
              <w:rPr>
                <w:rFonts w:hint="eastAsia" w:ascii="宋体" w:hAnsi="宋体" w:cs="宋体"/>
                <w:color w:val="auto"/>
                <w:sz w:val="24"/>
                <w:highlight w:val="none"/>
              </w:rPr>
              <w:t>②</w:t>
            </w:r>
          </w:p>
        </w:tc>
        <w:tc>
          <w:tcPr>
            <w:tcW w:w="1925" w:type="dxa"/>
            <w:vAlign w:val="center"/>
          </w:tcPr>
          <w:p w14:paraId="3A01FD3F">
            <w:pPr>
              <w:snapToGrid w:val="0"/>
              <w:spacing w:before="50" w:after="50" w:line="360" w:lineRule="auto"/>
              <w:jc w:val="center"/>
              <w:rPr>
                <w:rFonts w:ascii="宋体" w:hAnsi="宋体" w:cs="宋体"/>
                <w:color w:val="auto"/>
                <w:sz w:val="24"/>
                <w:highlight w:val="none"/>
              </w:rPr>
            </w:pPr>
            <w:r>
              <w:rPr>
                <w:rFonts w:hint="eastAsia" w:ascii="宋体" w:hAnsi="宋体" w:cs="宋体"/>
                <w:color w:val="auto"/>
                <w:sz w:val="24"/>
                <w:highlight w:val="none"/>
                <w:lang w:bidi="ar"/>
              </w:rPr>
              <w:t>竞争性谈判</w:t>
            </w:r>
            <w:r>
              <w:rPr>
                <w:rFonts w:hint="eastAsia" w:ascii="宋体" w:hAnsi="宋体" w:cs="宋体"/>
                <w:color w:val="auto"/>
                <w:sz w:val="24"/>
                <w:highlight w:val="none"/>
              </w:rPr>
              <w:t>报价</w:t>
            </w:r>
          </w:p>
          <w:p w14:paraId="64B3C3E3">
            <w:pPr>
              <w:snapToGrid w:val="0"/>
              <w:jc w:val="center"/>
              <w:rPr>
                <w:rFonts w:ascii="宋体" w:hAnsi="宋体" w:cs="宋体"/>
                <w:color w:val="auto"/>
                <w:sz w:val="24"/>
                <w:highlight w:val="none"/>
              </w:rPr>
            </w:pPr>
            <w:r>
              <w:rPr>
                <w:rFonts w:hint="eastAsia" w:ascii="宋体" w:hAnsi="宋体" w:cs="宋体"/>
                <w:color w:val="auto"/>
                <w:sz w:val="24"/>
                <w:highlight w:val="none"/>
              </w:rPr>
              <w:t>③=①×②</w:t>
            </w:r>
          </w:p>
        </w:tc>
      </w:tr>
      <w:tr w14:paraId="7A27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44899F6D">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5C2E9DDC">
            <w:pPr>
              <w:snapToGrid w:val="0"/>
              <w:spacing w:line="460" w:lineRule="exact"/>
              <w:jc w:val="center"/>
              <w:rPr>
                <w:rFonts w:ascii="宋体" w:hAnsi="宋体" w:cs="宋体"/>
                <w:color w:val="auto"/>
                <w:sz w:val="24"/>
                <w:highlight w:val="none"/>
              </w:rPr>
            </w:pPr>
          </w:p>
        </w:tc>
        <w:tc>
          <w:tcPr>
            <w:tcW w:w="923" w:type="dxa"/>
            <w:vAlign w:val="center"/>
          </w:tcPr>
          <w:p w14:paraId="45659069">
            <w:pPr>
              <w:snapToGrid w:val="0"/>
              <w:spacing w:line="460" w:lineRule="exact"/>
              <w:jc w:val="center"/>
              <w:rPr>
                <w:rFonts w:ascii="宋体" w:hAnsi="宋体" w:cs="宋体"/>
                <w:color w:val="auto"/>
                <w:sz w:val="24"/>
                <w:highlight w:val="none"/>
              </w:rPr>
            </w:pPr>
          </w:p>
        </w:tc>
        <w:tc>
          <w:tcPr>
            <w:tcW w:w="1487" w:type="dxa"/>
            <w:vAlign w:val="center"/>
          </w:tcPr>
          <w:p w14:paraId="34E6F8E9">
            <w:pPr>
              <w:snapToGrid w:val="0"/>
              <w:spacing w:line="460" w:lineRule="exact"/>
              <w:jc w:val="center"/>
              <w:rPr>
                <w:rFonts w:ascii="宋体" w:hAnsi="宋体" w:cs="宋体"/>
                <w:color w:val="auto"/>
                <w:sz w:val="24"/>
                <w:highlight w:val="none"/>
              </w:rPr>
            </w:pPr>
          </w:p>
        </w:tc>
        <w:tc>
          <w:tcPr>
            <w:tcW w:w="1134" w:type="dxa"/>
          </w:tcPr>
          <w:p w14:paraId="1D04986B">
            <w:pPr>
              <w:snapToGrid w:val="0"/>
              <w:spacing w:line="460" w:lineRule="exact"/>
              <w:jc w:val="center"/>
              <w:rPr>
                <w:rFonts w:ascii="宋体" w:hAnsi="宋体" w:cs="宋体"/>
                <w:color w:val="auto"/>
                <w:sz w:val="24"/>
                <w:highlight w:val="none"/>
              </w:rPr>
            </w:pPr>
          </w:p>
        </w:tc>
        <w:tc>
          <w:tcPr>
            <w:tcW w:w="992" w:type="dxa"/>
            <w:vAlign w:val="center"/>
          </w:tcPr>
          <w:p w14:paraId="50F183E5">
            <w:pPr>
              <w:snapToGrid w:val="0"/>
              <w:spacing w:line="460" w:lineRule="exact"/>
              <w:jc w:val="center"/>
              <w:rPr>
                <w:rFonts w:ascii="宋体" w:hAnsi="宋体" w:cs="宋体"/>
                <w:color w:val="auto"/>
                <w:sz w:val="24"/>
                <w:highlight w:val="none"/>
              </w:rPr>
            </w:pPr>
          </w:p>
        </w:tc>
        <w:tc>
          <w:tcPr>
            <w:tcW w:w="709" w:type="dxa"/>
            <w:vAlign w:val="center"/>
          </w:tcPr>
          <w:p w14:paraId="7AF0E8AD">
            <w:pPr>
              <w:pStyle w:val="74"/>
              <w:snapToGrid w:val="0"/>
              <w:spacing w:line="460" w:lineRule="exact"/>
              <w:ind w:left="360" w:firstLine="0" w:firstLineChars="0"/>
              <w:rPr>
                <w:rFonts w:ascii="宋体" w:hAnsi="宋体" w:cs="宋体"/>
                <w:color w:val="auto"/>
                <w:sz w:val="24"/>
                <w:highlight w:val="none"/>
              </w:rPr>
            </w:pPr>
          </w:p>
        </w:tc>
        <w:tc>
          <w:tcPr>
            <w:tcW w:w="830" w:type="dxa"/>
          </w:tcPr>
          <w:p w14:paraId="2338C527">
            <w:pPr>
              <w:snapToGrid w:val="0"/>
              <w:spacing w:line="460" w:lineRule="exact"/>
              <w:jc w:val="center"/>
              <w:rPr>
                <w:rFonts w:ascii="宋体" w:hAnsi="宋体" w:cs="宋体"/>
                <w:color w:val="auto"/>
                <w:sz w:val="24"/>
                <w:highlight w:val="none"/>
              </w:rPr>
            </w:pPr>
          </w:p>
        </w:tc>
        <w:tc>
          <w:tcPr>
            <w:tcW w:w="1073" w:type="dxa"/>
            <w:vAlign w:val="center"/>
          </w:tcPr>
          <w:p w14:paraId="2B89090C">
            <w:pPr>
              <w:pStyle w:val="74"/>
              <w:snapToGrid w:val="0"/>
              <w:spacing w:line="460" w:lineRule="exact"/>
              <w:ind w:left="360" w:firstLine="0" w:firstLineChars="0"/>
              <w:rPr>
                <w:rFonts w:ascii="宋体" w:hAnsi="宋体" w:cs="宋体"/>
                <w:color w:val="auto"/>
                <w:sz w:val="24"/>
                <w:highlight w:val="none"/>
              </w:rPr>
            </w:pPr>
          </w:p>
        </w:tc>
        <w:tc>
          <w:tcPr>
            <w:tcW w:w="1925" w:type="dxa"/>
          </w:tcPr>
          <w:p w14:paraId="1A45C0FD">
            <w:pPr>
              <w:snapToGrid w:val="0"/>
              <w:spacing w:line="460" w:lineRule="exact"/>
              <w:jc w:val="center"/>
              <w:rPr>
                <w:rFonts w:ascii="宋体" w:hAnsi="宋体" w:cs="宋体"/>
                <w:color w:val="auto"/>
                <w:sz w:val="24"/>
                <w:highlight w:val="none"/>
              </w:rPr>
            </w:pPr>
          </w:p>
        </w:tc>
      </w:tr>
      <w:tr w14:paraId="744E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6CC25520">
            <w:pPr>
              <w:snapToGrid w:val="0"/>
              <w:spacing w:line="460" w:lineRule="exact"/>
              <w:jc w:val="left"/>
              <w:rPr>
                <w:color w:val="auto"/>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u w:val="single"/>
              </w:rPr>
              <w:t>元整</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p>
        </w:tc>
      </w:tr>
      <w:tr w14:paraId="24AA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tcPr>
          <w:p w14:paraId="4E0CEA34">
            <w:pPr>
              <w:snapToGrid/>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交付时间：</w:t>
            </w:r>
          </w:p>
        </w:tc>
      </w:tr>
    </w:tbl>
    <w:p w14:paraId="0C742E95">
      <w:pPr>
        <w:contextualSpacing/>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5868B634">
      <w:pPr>
        <w:ind w:firstLine="480" w:firstLineChars="200"/>
        <w:contextualSpacing/>
        <w:jc w:val="left"/>
        <w:rPr>
          <w:rFonts w:ascii="楷体" w:hAnsi="楷体" w:eastAsia="楷体" w:cs="宋体"/>
          <w:b/>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竞争性谈判报价表中“货物名称、数量、单位、品牌、型号、生产厂家、产地”必须如实填写完整，定制产品在型号栏中填写“定制”。</w:t>
      </w:r>
      <w:r>
        <w:rPr>
          <w:rFonts w:hint="eastAsia" w:ascii="楷体" w:hAnsi="楷体" w:eastAsia="楷体" w:cs="宋体"/>
          <w:b/>
          <w:color w:val="auto"/>
          <w:sz w:val="24"/>
          <w:highlight w:val="none"/>
        </w:rPr>
        <w:t>填写有缺漏</w:t>
      </w:r>
      <w:r>
        <w:rPr>
          <w:rFonts w:hint="eastAsia" w:ascii="楷体" w:hAnsi="楷体" w:eastAsia="楷体" w:cs="宋体"/>
          <w:b/>
          <w:bCs/>
          <w:color w:val="auto"/>
          <w:sz w:val="24"/>
          <w:highlight w:val="none"/>
        </w:rPr>
        <w:t>的，</w:t>
      </w:r>
      <w:r>
        <w:rPr>
          <w:rFonts w:hint="eastAsia" w:ascii="楷体" w:hAnsi="楷体" w:eastAsia="楷体" w:cs="宋体"/>
          <w:b/>
          <w:color w:val="auto"/>
          <w:sz w:val="24"/>
          <w:highlight w:val="none"/>
        </w:rPr>
        <w:t>其响应文件按无效响应处理。</w:t>
      </w:r>
    </w:p>
    <w:p w14:paraId="510AD763">
      <w:pPr>
        <w:snapToGrid w:val="0"/>
        <w:spacing w:before="50" w:after="50"/>
        <w:ind w:firstLine="482" w:firstLineChars="200"/>
        <w:jc w:val="left"/>
        <w:rPr>
          <w:rFonts w:ascii="楷体" w:hAnsi="楷体" w:eastAsia="楷体"/>
          <w:color w:val="auto"/>
          <w:highlight w:val="none"/>
        </w:rPr>
      </w:pPr>
      <w:r>
        <w:rPr>
          <w:rFonts w:ascii="楷体" w:hAnsi="楷体" w:eastAsia="楷体" w:cs="宋体"/>
          <w:b/>
          <w:color w:val="auto"/>
          <w:sz w:val="24"/>
          <w:highlight w:val="none"/>
        </w:rPr>
        <w:t>2.所填写的型号与货物铭牌一致。</w:t>
      </w:r>
    </w:p>
    <w:p w14:paraId="44BB339E">
      <w:pPr>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3.供应商的报价表必须加盖供应商公章并由法定代表人或者委托代理人签字，</w:t>
      </w:r>
      <w:r>
        <w:rPr>
          <w:rFonts w:hint="eastAsia" w:ascii="楷体" w:hAnsi="楷体" w:eastAsia="楷体" w:cs="宋体"/>
          <w:b/>
          <w:color w:val="auto"/>
          <w:sz w:val="24"/>
          <w:highlight w:val="none"/>
        </w:rPr>
        <w:t>否则其响应文件按无效响应处理</w:t>
      </w:r>
      <w:r>
        <w:rPr>
          <w:rFonts w:hint="eastAsia" w:ascii="楷体" w:hAnsi="楷体" w:eastAsia="楷体" w:cs="宋体"/>
          <w:color w:val="auto"/>
          <w:sz w:val="24"/>
          <w:highlight w:val="none"/>
        </w:rPr>
        <w:t>。</w:t>
      </w:r>
    </w:p>
    <w:p w14:paraId="5B192372">
      <w:pPr>
        <w:ind w:firstLine="480" w:firstLineChars="200"/>
        <w:contextualSpacing/>
        <w:jc w:val="left"/>
        <w:rPr>
          <w:rFonts w:ascii="楷体" w:hAnsi="楷体" w:eastAsia="楷体" w:cs="宋体"/>
          <w:b/>
          <w:color w:val="auto"/>
          <w:sz w:val="24"/>
          <w:highlight w:val="none"/>
        </w:rPr>
      </w:pPr>
      <w:r>
        <w:rPr>
          <w:rFonts w:ascii="楷体" w:hAnsi="楷体" w:eastAsia="楷体" w:cs="宋体"/>
          <w:bCs/>
          <w:color w:val="auto"/>
          <w:sz w:val="24"/>
          <w:highlight w:val="none"/>
        </w:rPr>
        <w:t>4.</w:t>
      </w:r>
      <w:r>
        <w:rPr>
          <w:rFonts w:hint="eastAsia" w:ascii="楷体" w:hAnsi="楷体" w:eastAsia="楷体" w:cs="宋体"/>
          <w:color w:val="auto"/>
          <w:sz w:val="24"/>
          <w:highlight w:val="none"/>
        </w:rPr>
        <w:t>报价一经涂改，应在涂改处加盖供应商公章或者由法定代表人或者授权委托人签字或者盖章</w:t>
      </w:r>
      <w:r>
        <w:rPr>
          <w:rFonts w:hint="eastAsia" w:ascii="楷体" w:hAnsi="楷体" w:eastAsia="楷体" w:cs="宋体"/>
          <w:b/>
          <w:color w:val="auto"/>
          <w:sz w:val="24"/>
          <w:highlight w:val="none"/>
        </w:rPr>
        <w:t>，否则其响应文件按无效响应处理。</w:t>
      </w:r>
    </w:p>
    <w:p w14:paraId="07C64A48">
      <w:pPr>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5.谈判文件中列明采购专用耗材的，应按谈判文件规定的耗材量或者按耗材的常规</w:t>
      </w:r>
      <w:r>
        <w:rPr>
          <w:rFonts w:hint="eastAsia" w:ascii="楷体" w:hAnsi="楷体" w:eastAsia="楷体" w:cs="宋体"/>
          <w:color w:val="auto"/>
          <w:sz w:val="24"/>
          <w:highlight w:val="none"/>
        </w:rPr>
        <w:t>使用量提供报价。</w:t>
      </w:r>
    </w:p>
    <w:p w14:paraId="5882A3E9">
      <w:pPr>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6.如为联合体</w:t>
      </w:r>
      <w:r>
        <w:rPr>
          <w:rFonts w:hint="eastAsia" w:ascii="楷体" w:hAnsi="楷体" w:eastAsia="楷体" w:cs="宋体"/>
          <w:color w:val="auto"/>
          <w:sz w:val="24"/>
          <w:highlight w:val="none"/>
        </w:rPr>
        <w:t>参与竞争性谈判</w:t>
      </w:r>
      <w:r>
        <w:rPr>
          <w:rFonts w:ascii="楷体" w:hAnsi="楷体" w:eastAsia="楷体" w:cs="宋体"/>
          <w:color w:val="auto"/>
          <w:sz w:val="24"/>
          <w:highlight w:val="none"/>
        </w:rPr>
        <w:t>,“供应商名称”处必须列明联合体各方名称，标注联合体牵头人名称，</w:t>
      </w:r>
      <w:r>
        <w:rPr>
          <w:rFonts w:hint="eastAsia" w:ascii="楷体" w:hAnsi="楷体" w:eastAsia="楷体" w:cs="宋体"/>
          <w:b/>
          <w:color w:val="auto"/>
          <w:sz w:val="24"/>
          <w:highlight w:val="none"/>
        </w:rPr>
        <w:t>否则其响应文件按无效响应处理。（采购人可根据项目情况自行修改是否需要联合体各方签字盖章）</w:t>
      </w:r>
    </w:p>
    <w:p w14:paraId="663DD7AD">
      <w:pPr>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7.如为联合体</w:t>
      </w:r>
      <w:r>
        <w:rPr>
          <w:rFonts w:hint="eastAsia" w:ascii="楷体" w:hAnsi="楷体" w:eastAsia="楷体" w:cs="宋体"/>
          <w:color w:val="auto"/>
          <w:sz w:val="24"/>
          <w:highlight w:val="none"/>
        </w:rPr>
        <w:t>参与竞争性谈判</w:t>
      </w:r>
      <w:r>
        <w:rPr>
          <w:rFonts w:ascii="楷体" w:hAnsi="楷体" w:eastAsia="楷体" w:cs="宋体"/>
          <w:color w:val="auto"/>
          <w:sz w:val="24"/>
          <w:highlight w:val="none"/>
        </w:rPr>
        <w:t>,盖章处须加盖联合体各方公章，</w:t>
      </w:r>
      <w:r>
        <w:rPr>
          <w:rFonts w:hint="eastAsia" w:ascii="楷体" w:hAnsi="楷体" w:eastAsia="楷体" w:cs="宋体"/>
          <w:b/>
          <w:color w:val="auto"/>
          <w:sz w:val="24"/>
          <w:highlight w:val="none"/>
        </w:rPr>
        <w:t>否则其响应文件按无效响应处理。</w:t>
      </w:r>
    </w:p>
    <w:p w14:paraId="28C79BA4">
      <w:pPr>
        <w:ind w:firstLine="480" w:firstLineChars="200"/>
        <w:contextualSpacing/>
        <w:rPr>
          <w:rFonts w:ascii="楷体" w:hAnsi="楷体" w:eastAsia="楷体" w:cs="宋体"/>
          <w:b/>
          <w:color w:val="auto"/>
          <w:sz w:val="24"/>
          <w:highlight w:val="none"/>
        </w:rPr>
      </w:pPr>
      <w:r>
        <w:rPr>
          <w:rFonts w:ascii="楷体" w:hAnsi="楷体" w:eastAsia="楷体" w:cs="宋体"/>
          <w:color w:val="auto"/>
          <w:sz w:val="24"/>
          <w:highlight w:val="none"/>
        </w:rPr>
        <w:t>8.</w:t>
      </w:r>
      <w:r>
        <w:rPr>
          <w:rFonts w:hint="eastAsia" w:ascii="楷体" w:hAnsi="楷体" w:eastAsia="楷体" w:cs="宋体"/>
          <w:color w:val="auto"/>
          <w:spacing w:val="-6"/>
          <w:sz w:val="24"/>
          <w:highlight w:val="none"/>
        </w:rPr>
        <w:t>如有多分标，分别列明各分标的报价表，</w:t>
      </w:r>
      <w:r>
        <w:rPr>
          <w:rFonts w:hint="eastAsia" w:ascii="楷体" w:hAnsi="楷体" w:eastAsia="楷体" w:cs="宋体"/>
          <w:b/>
          <w:color w:val="auto"/>
          <w:spacing w:val="-6"/>
          <w:sz w:val="24"/>
          <w:highlight w:val="none"/>
        </w:rPr>
        <w:t>否则其响应文件按无效响应处理。</w:t>
      </w:r>
      <w:r>
        <w:rPr>
          <w:rFonts w:hint="eastAsia" w:ascii="楷体" w:hAnsi="楷体" w:eastAsia="楷体" w:cs="宋体"/>
          <w:b/>
          <w:color w:val="auto"/>
          <w:sz w:val="24"/>
          <w:highlight w:val="none"/>
        </w:rPr>
        <w:t>（采购人可根据项目情况自行修改是否需要联合体各方签字盖章）</w:t>
      </w:r>
    </w:p>
    <w:p w14:paraId="693AD1E1">
      <w:pPr>
        <w:spacing w:line="360" w:lineRule="auto"/>
        <w:ind w:firstLine="2640" w:firstLineChars="1100"/>
        <w:contextualSpacing/>
        <w:rPr>
          <w:rFonts w:ascii="宋体" w:hAnsi="宋体" w:cs="宋体"/>
          <w:color w:val="auto"/>
          <w:sz w:val="24"/>
          <w:highlight w:val="none"/>
        </w:rPr>
      </w:pPr>
    </w:p>
    <w:p w14:paraId="5414A200">
      <w:pPr>
        <w:pStyle w:val="35"/>
        <w:rPr>
          <w:color w:val="auto"/>
          <w:highlight w:val="none"/>
        </w:rPr>
      </w:pPr>
    </w:p>
    <w:p w14:paraId="34A7D4E6">
      <w:pPr>
        <w:spacing w:line="360" w:lineRule="auto"/>
        <w:ind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                    </w:t>
      </w:r>
    </w:p>
    <w:p w14:paraId="6B40130E">
      <w:pPr>
        <w:spacing w:line="360" w:lineRule="auto"/>
        <w:ind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37861E52">
      <w:pPr>
        <w:spacing w:line="360" w:lineRule="auto"/>
        <w:ind w:firstLine="2640" w:firstLineChars="1100"/>
        <w:contextualSpacing/>
        <w:rPr>
          <w:rFonts w:ascii="宋体" w:hAnsi="宋体" w:cs="宋体"/>
          <w:b/>
          <w:color w:val="auto"/>
          <w:sz w:val="24"/>
          <w:highlight w:val="none"/>
        </w:rPr>
      </w:pPr>
      <w:r>
        <w:rPr>
          <w:rFonts w:hint="eastAsia" w:ascii="宋体" w:hAnsi="宋体" w:cs="宋体"/>
          <w:color w:val="auto"/>
          <w:sz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6903195A">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bCs/>
          <w:color w:val="auto"/>
          <w:sz w:val="44"/>
          <w:szCs w:val="44"/>
          <w:highlight w:val="none"/>
        </w:rPr>
        <w:t>法定代表人身份证明</w:t>
      </w:r>
    </w:p>
    <w:p w14:paraId="13DE7766">
      <w:pPr>
        <w:spacing w:line="360" w:lineRule="auto"/>
        <w:contextualSpacing/>
        <w:rPr>
          <w:rFonts w:ascii="宋体" w:hAnsi="宋体" w:cs="宋体"/>
          <w:color w:val="auto"/>
          <w:sz w:val="32"/>
          <w:szCs w:val="32"/>
          <w:highlight w:val="none"/>
        </w:rPr>
      </w:pPr>
    </w:p>
    <w:p w14:paraId="4835519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1089E6F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4518936">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55659614">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46A3A38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511A7A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的法定代表人。</w:t>
      </w:r>
    </w:p>
    <w:p w14:paraId="061539D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特此证明。</w:t>
      </w:r>
    </w:p>
    <w:p w14:paraId="03FA59D5">
      <w:pPr>
        <w:spacing w:line="360" w:lineRule="auto"/>
        <w:contextualSpacing/>
        <w:rPr>
          <w:rFonts w:ascii="宋体" w:hAnsi="宋体" w:cs="宋体"/>
          <w:color w:val="auto"/>
          <w:sz w:val="24"/>
          <w:highlight w:val="none"/>
        </w:rPr>
      </w:pPr>
    </w:p>
    <w:p w14:paraId="0031A887">
      <w:pPr>
        <w:spacing w:line="360" w:lineRule="auto"/>
        <w:contextualSpacing/>
        <w:rPr>
          <w:rFonts w:ascii="宋体" w:hAnsi="宋体" w:cs="宋体"/>
          <w:color w:val="auto"/>
          <w:sz w:val="24"/>
          <w:highlight w:val="none"/>
        </w:rPr>
      </w:pPr>
    </w:p>
    <w:p w14:paraId="646CEAA1">
      <w:pPr>
        <w:spacing w:line="360" w:lineRule="auto"/>
        <w:contextualSpacing/>
        <w:rPr>
          <w:rFonts w:ascii="宋体" w:hAnsi="宋体" w:cs="宋体"/>
          <w:color w:val="auto"/>
          <w:sz w:val="24"/>
          <w:highlight w:val="none"/>
        </w:rPr>
      </w:pPr>
    </w:p>
    <w:p w14:paraId="4F23D66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6AEAACF">
      <w:pPr>
        <w:spacing w:line="360" w:lineRule="auto"/>
        <w:contextualSpacing/>
        <w:rPr>
          <w:rFonts w:ascii="宋体" w:hAnsi="宋体" w:cs="宋体"/>
          <w:color w:val="auto"/>
          <w:sz w:val="24"/>
          <w:highlight w:val="none"/>
        </w:rPr>
      </w:pPr>
    </w:p>
    <w:p w14:paraId="27955989">
      <w:pPr>
        <w:spacing w:line="360" w:lineRule="auto"/>
        <w:ind w:right="960" w:firstLine="5040" w:firstLineChars="210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7DEB4C76">
      <w:pPr>
        <w:spacing w:line="360" w:lineRule="auto"/>
        <w:ind w:firstLine="5040" w:firstLineChars="2100"/>
        <w:contextualSpacing/>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6BFF673">
      <w:pPr>
        <w:spacing w:line="360" w:lineRule="auto"/>
        <w:contextualSpacing/>
        <w:jc w:val="center"/>
        <w:rPr>
          <w:rFonts w:ascii="宋体" w:hAnsi="宋体" w:cs="宋体"/>
          <w:b/>
          <w:color w:val="auto"/>
          <w:sz w:val="24"/>
          <w:highlight w:val="none"/>
        </w:rPr>
      </w:pPr>
    </w:p>
    <w:p w14:paraId="1764644B">
      <w:pPr>
        <w:spacing w:line="360" w:lineRule="auto"/>
        <w:contextualSpacing/>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3F93310A">
      <w:pPr>
        <w:spacing w:line="360" w:lineRule="auto"/>
        <w:ind w:firstLine="480" w:firstLineChars="200"/>
        <w:contextualSpacing/>
        <w:jc w:val="left"/>
        <w:rPr>
          <w:rFonts w:ascii="楷体" w:hAnsi="楷体" w:eastAsia="楷体" w:cs="宋体"/>
          <w:color w:val="auto"/>
          <w:sz w:val="24"/>
          <w:highlight w:val="none"/>
        </w:rPr>
      </w:pPr>
      <w:r>
        <w:rPr>
          <w:rFonts w:hint="eastAsia" w:ascii="楷体" w:hAnsi="楷体" w:eastAsia="楷体" w:cs="宋体"/>
          <w:color w:val="auto"/>
          <w:sz w:val="24"/>
          <w:highlight w:val="none"/>
        </w:rPr>
        <w:t>自然人参与</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highlight w:val="none"/>
        </w:rPr>
        <w:t>的无需提供，联合体参与</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highlight w:val="none"/>
        </w:rPr>
        <w:t>的只需牵头人出具。</w:t>
      </w:r>
    </w:p>
    <w:p w14:paraId="4D151CB1">
      <w:pPr>
        <w:adjustRightInd w:val="0"/>
        <w:snapToGrid w:val="0"/>
        <w:spacing w:line="360" w:lineRule="auto"/>
        <w:jc w:val="left"/>
        <w:rPr>
          <w:rFonts w:ascii="楷体" w:hAnsi="楷体" w:eastAsia="楷体" w:cs="宋体"/>
          <w:b/>
          <w:color w:val="auto"/>
          <w:szCs w:val="21"/>
          <w:highlight w:val="none"/>
        </w:rPr>
      </w:pPr>
    </w:p>
    <w:p w14:paraId="6C0D6436">
      <w:pPr>
        <w:spacing w:line="360" w:lineRule="auto"/>
        <w:jc w:val="center"/>
        <w:rPr>
          <w:rFonts w:ascii="宋体" w:hAnsi="宋体" w:cs="宋体"/>
          <w:b/>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44"/>
          <w:szCs w:val="44"/>
          <w:highlight w:val="none"/>
        </w:rPr>
        <w:t>授权委托书</w:t>
      </w:r>
    </w:p>
    <w:p w14:paraId="51178694">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（非联合体参与竞争性谈判格式）</w:t>
      </w:r>
    </w:p>
    <w:p w14:paraId="5F7A0869">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（如有委托时）</w:t>
      </w:r>
    </w:p>
    <w:p w14:paraId="16F011A7">
      <w:pPr>
        <w:spacing w:line="360" w:lineRule="auto"/>
        <w:contextualSpacing/>
        <w:rPr>
          <w:rFonts w:ascii="宋体" w:hAnsi="宋体" w:cs="宋体"/>
          <w:color w:val="auto"/>
          <w:sz w:val="32"/>
          <w:szCs w:val="32"/>
          <w:highlight w:val="none"/>
        </w:rPr>
      </w:pPr>
    </w:p>
    <w:p w14:paraId="5C68E4A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86409B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w:t>
      </w:r>
      <w:r>
        <w:rPr>
          <w:rFonts w:hint="eastAsia" w:ascii="宋体" w:hAnsi="宋体" w:cs="宋体"/>
          <w:color w:val="auto"/>
          <w:sz w:val="24"/>
          <w:highlight w:val="none"/>
          <w:lang w:bidi="ar"/>
        </w:rPr>
        <w:t>竞争性谈判</w:t>
      </w:r>
      <w:r>
        <w:rPr>
          <w:rFonts w:hint="eastAsia" w:ascii="宋体" w:hAnsi="宋体" w:cs="宋体"/>
          <w:color w:val="auto"/>
          <w:sz w:val="24"/>
          <w:highlight w:val="none"/>
        </w:rPr>
        <w:t>活动，并代表我方全权办理针对上述项目的所有采购程序和环节的具体事务和签署相关文件。</w:t>
      </w:r>
    </w:p>
    <w:p w14:paraId="0F7E912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6073F21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68FE1C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433A74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472AE945">
      <w:pPr>
        <w:spacing w:line="360" w:lineRule="auto"/>
        <w:contextualSpacing/>
        <w:rPr>
          <w:rFonts w:ascii="宋体" w:hAnsi="宋体" w:cs="宋体"/>
          <w:color w:val="auto"/>
          <w:sz w:val="24"/>
          <w:highlight w:val="none"/>
        </w:rPr>
      </w:pPr>
    </w:p>
    <w:p w14:paraId="2A098ED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                    </w:t>
      </w:r>
    </w:p>
    <w:p w14:paraId="61CB92B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74B799C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w:t>
      </w:r>
    </w:p>
    <w:p w14:paraId="2D8EDB5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供应商（公章）：                      </w:t>
      </w:r>
    </w:p>
    <w:p w14:paraId="0E81103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35939D40">
      <w:pPr>
        <w:spacing w:line="360" w:lineRule="auto"/>
        <w:contextualSpacing/>
        <w:rPr>
          <w:rFonts w:ascii="宋体" w:hAnsi="宋体" w:cs="宋体"/>
          <w:color w:val="auto"/>
          <w:sz w:val="24"/>
          <w:highlight w:val="none"/>
        </w:rPr>
      </w:pPr>
    </w:p>
    <w:p w14:paraId="62509935">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20344B75">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法定代表人必须在授权委托书上亲笔签字或者盖章，委托代理人必须在授权委托书上亲笔签字，</w:t>
      </w:r>
      <w:r>
        <w:rPr>
          <w:rFonts w:hint="eastAsia" w:ascii="楷体" w:hAnsi="楷体" w:eastAsia="楷体" w:cs="宋体"/>
          <w:b/>
          <w:color w:val="auto"/>
          <w:sz w:val="24"/>
          <w:highlight w:val="none"/>
        </w:rPr>
        <w:t>否则其响应文件按无效响应处理。</w:t>
      </w:r>
    </w:p>
    <w:p w14:paraId="0CA6F9E5">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2.法人、其他组织</w:t>
      </w:r>
      <w:r>
        <w:rPr>
          <w:rFonts w:hint="eastAsia" w:ascii="楷体" w:hAnsi="楷体" w:eastAsia="楷体" w:cs="宋体"/>
          <w:color w:val="auto"/>
          <w:sz w:val="24"/>
          <w:highlight w:val="none"/>
        </w:rPr>
        <w:t>参与</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highlight w:val="none"/>
        </w:rPr>
        <w:t>时“我方”是指“我单位”，自然人参与</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highlight w:val="none"/>
        </w:rPr>
        <w:t>时“我方”是指“本人”。</w:t>
      </w:r>
    </w:p>
    <w:p w14:paraId="1E9CC2D6">
      <w:pPr>
        <w:spacing w:line="360" w:lineRule="auto"/>
        <w:ind w:firstLine="420" w:firstLineChars="200"/>
        <w:contextualSpacing/>
        <w:jc w:val="left"/>
        <w:rPr>
          <w:rFonts w:ascii="宋体" w:hAnsi="宋体" w:cs="宋体"/>
          <w:color w:val="auto"/>
          <w:szCs w:val="21"/>
          <w:highlight w:val="none"/>
        </w:rPr>
      </w:pPr>
    </w:p>
    <w:p w14:paraId="7DF7F077">
      <w:pPr>
        <w:spacing w:line="360" w:lineRule="auto"/>
        <w:contextualSpacing/>
        <w:jc w:val="center"/>
        <w:rPr>
          <w:rFonts w:ascii="宋体" w:hAnsi="宋体" w:cs="宋体"/>
          <w:b/>
          <w:color w:val="auto"/>
          <w:sz w:val="44"/>
          <w:szCs w:val="44"/>
          <w:highlight w:val="none"/>
        </w:rPr>
      </w:pPr>
      <w:r>
        <w:rPr>
          <w:rFonts w:hint="eastAsia" w:ascii="宋体" w:hAnsi="宋体" w:cs="宋体"/>
          <w:color w:val="auto"/>
          <w:szCs w:val="21"/>
          <w:highlight w:val="none"/>
        </w:rPr>
        <w:br w:type="page"/>
      </w:r>
      <w:r>
        <w:rPr>
          <w:rFonts w:hint="eastAsia" w:ascii="宋体" w:hAnsi="宋体" w:cs="宋体"/>
          <w:b/>
          <w:color w:val="auto"/>
          <w:sz w:val="44"/>
          <w:szCs w:val="44"/>
          <w:highlight w:val="none"/>
        </w:rPr>
        <w:t>授权委托书</w:t>
      </w:r>
    </w:p>
    <w:p w14:paraId="7A3CBCE0">
      <w:pPr>
        <w:spacing w:line="360" w:lineRule="auto"/>
        <w:contextualSpacing/>
        <w:jc w:val="center"/>
        <w:rPr>
          <w:rFonts w:ascii="宋体" w:hAnsi="宋体" w:cs="宋体"/>
          <w:color w:val="auto"/>
          <w:sz w:val="28"/>
          <w:szCs w:val="28"/>
          <w:highlight w:val="none"/>
        </w:rPr>
      </w:pPr>
      <w:r>
        <w:rPr>
          <w:rFonts w:hint="eastAsia" w:ascii="宋体" w:hAnsi="宋体" w:cs="宋体"/>
          <w:color w:val="auto"/>
          <w:sz w:val="28"/>
          <w:szCs w:val="28"/>
          <w:highlight w:val="none"/>
        </w:rPr>
        <w:t>（联合体参与竞争性谈判格式）</w:t>
      </w:r>
    </w:p>
    <w:p w14:paraId="234B8705">
      <w:pPr>
        <w:spacing w:line="360" w:lineRule="auto"/>
        <w:contextualSpacing/>
        <w:jc w:val="center"/>
        <w:rPr>
          <w:rFonts w:ascii="宋体" w:hAnsi="宋体" w:cs="宋体"/>
          <w:color w:val="auto"/>
          <w:sz w:val="28"/>
          <w:szCs w:val="28"/>
          <w:highlight w:val="none"/>
        </w:rPr>
      </w:pPr>
      <w:r>
        <w:rPr>
          <w:rFonts w:hint="eastAsia" w:ascii="宋体" w:hAnsi="宋体" w:cs="宋体"/>
          <w:color w:val="auto"/>
          <w:sz w:val="28"/>
          <w:szCs w:val="28"/>
          <w:highlight w:val="none"/>
        </w:rPr>
        <w:t>（如有委托时）</w:t>
      </w:r>
    </w:p>
    <w:p w14:paraId="5CEB6C03">
      <w:pPr>
        <w:spacing w:line="360" w:lineRule="auto"/>
        <w:contextualSpacing/>
        <w:rPr>
          <w:rFonts w:ascii="宋体" w:hAnsi="宋体" w:cs="宋体"/>
          <w:color w:val="auto"/>
          <w:sz w:val="32"/>
          <w:szCs w:val="32"/>
          <w:highlight w:val="none"/>
        </w:rPr>
      </w:pPr>
    </w:p>
    <w:p w14:paraId="72EF61E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（联合体其他成员名称）签订的《联合体参与竞争性谈判协议书》的内容，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30A5A12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3C6FE97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645230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603A8B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附：法定代表人身份证明及委托代理人有效身份证正反面复印件</w:t>
      </w:r>
    </w:p>
    <w:p w14:paraId="6BB0F60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牵头人法定代表人（签字）：</w:t>
      </w:r>
    </w:p>
    <w:p w14:paraId="3637FA5E">
      <w:pPr>
        <w:spacing w:line="360" w:lineRule="auto"/>
        <w:ind w:firstLine="3120" w:firstLineChars="1300"/>
        <w:contextualSpacing/>
        <w:rPr>
          <w:rFonts w:ascii="宋体" w:hAnsi="宋体" w:cs="宋体"/>
          <w:color w:val="auto"/>
          <w:sz w:val="24"/>
          <w:highlight w:val="none"/>
        </w:rPr>
      </w:pPr>
      <w:r>
        <w:rPr>
          <w:rFonts w:hint="eastAsia" w:ascii="宋体" w:hAnsi="宋体" w:cs="宋体"/>
          <w:color w:val="auto"/>
          <w:sz w:val="24"/>
          <w:highlight w:val="none"/>
        </w:rPr>
        <w:t>牵头人（公章）：</w:t>
      </w:r>
    </w:p>
    <w:p w14:paraId="19CEF6AD">
      <w:pPr>
        <w:spacing w:line="360" w:lineRule="auto"/>
        <w:ind w:firstLine="3840" w:firstLineChars="1600"/>
        <w:contextualSpacing/>
        <w:rPr>
          <w:rFonts w:ascii="宋体" w:hAnsi="宋体" w:cs="宋体"/>
          <w:color w:val="auto"/>
          <w:sz w:val="24"/>
          <w:highlight w:val="none"/>
        </w:rPr>
      </w:pPr>
      <w:r>
        <w:rPr>
          <w:rFonts w:hint="eastAsia" w:ascii="宋体" w:hAnsi="宋体" w:cs="宋体"/>
          <w:color w:val="auto"/>
          <w:sz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76246CA5">
      <w:pPr>
        <w:spacing w:line="360" w:lineRule="auto"/>
        <w:contextualSpacing/>
        <w:rPr>
          <w:rFonts w:ascii="宋体" w:hAnsi="宋体" w:cs="宋体"/>
          <w:color w:val="auto"/>
          <w:sz w:val="24"/>
          <w:highlight w:val="none"/>
        </w:rPr>
      </w:pPr>
    </w:p>
    <w:p w14:paraId="00EB6DD5">
      <w:pPr>
        <w:spacing w:line="360" w:lineRule="auto"/>
        <w:ind w:firstLine="3120" w:firstLineChars="1300"/>
        <w:contextualSpacing/>
        <w:rPr>
          <w:rFonts w:ascii="宋体" w:hAnsi="宋体" w:cs="宋体"/>
          <w:color w:val="auto"/>
          <w:sz w:val="24"/>
          <w:highlight w:val="none"/>
        </w:rPr>
      </w:pPr>
      <w:r>
        <w:rPr>
          <w:rFonts w:hint="eastAsia" w:ascii="宋体" w:hAnsi="宋体" w:cs="宋体"/>
          <w:color w:val="auto"/>
          <w:sz w:val="24"/>
          <w:highlight w:val="none"/>
        </w:rPr>
        <w:t>被授权人（签字）：</w:t>
      </w:r>
    </w:p>
    <w:p w14:paraId="4B8FA71A">
      <w:pPr>
        <w:spacing w:line="360" w:lineRule="auto"/>
        <w:ind w:firstLine="3840" w:firstLineChars="1600"/>
        <w:contextualSpacing/>
        <w:rPr>
          <w:rFonts w:ascii="宋体" w:hAnsi="宋体" w:cs="宋体"/>
          <w:color w:val="auto"/>
          <w:sz w:val="24"/>
          <w:highlight w:val="none"/>
        </w:rPr>
      </w:pPr>
      <w:r>
        <w:rPr>
          <w:rFonts w:hint="eastAsia" w:ascii="宋体" w:hAnsi="宋体" w:cs="宋体"/>
          <w:color w:val="auto"/>
          <w:sz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6C05DD03">
      <w:pPr>
        <w:spacing w:line="360" w:lineRule="auto"/>
        <w:contextualSpacing/>
        <w:rPr>
          <w:rFonts w:ascii="宋体" w:hAnsi="宋体" w:cs="宋体"/>
          <w:color w:val="auto"/>
          <w:sz w:val="24"/>
          <w:highlight w:val="none"/>
        </w:rPr>
      </w:pPr>
    </w:p>
    <w:p w14:paraId="0ED8D0FC">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5C75E9E2">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法定代表人必须在授权委托书上亲笔签字或者盖章，委托代理人必须在授权委托书上亲笔签字，</w:t>
      </w:r>
      <w:r>
        <w:rPr>
          <w:rFonts w:hint="eastAsia" w:ascii="楷体" w:hAnsi="楷体" w:eastAsia="楷体" w:cs="宋体"/>
          <w:b/>
          <w:bCs/>
          <w:color w:val="auto"/>
          <w:sz w:val="24"/>
          <w:highlight w:val="none"/>
        </w:rPr>
        <w:t>否</w:t>
      </w:r>
      <w:r>
        <w:rPr>
          <w:rFonts w:hint="eastAsia" w:ascii="楷体" w:hAnsi="楷体" w:eastAsia="楷体" w:cs="宋体"/>
          <w:b/>
          <w:color w:val="auto"/>
          <w:sz w:val="24"/>
          <w:highlight w:val="none"/>
        </w:rPr>
        <w:t>则其响应文件按无效响应处理。</w:t>
      </w:r>
    </w:p>
    <w:p w14:paraId="6D75C5FF">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2.本授权委托书应由联合体牵头人的法定代表人按上述规定签署。</w:t>
      </w:r>
    </w:p>
    <w:p w14:paraId="3294568E">
      <w:pPr>
        <w:spacing w:line="360" w:lineRule="auto"/>
        <w:ind w:firstLine="480" w:firstLineChars="200"/>
        <w:contextualSpacing/>
        <w:jc w:val="left"/>
        <w:rPr>
          <w:rFonts w:ascii="楷体" w:hAnsi="楷体" w:eastAsia="楷体" w:cs="宋体"/>
          <w:color w:val="auto"/>
          <w:szCs w:val="21"/>
          <w:highlight w:val="none"/>
        </w:rPr>
      </w:pPr>
      <w:r>
        <w:rPr>
          <w:rFonts w:ascii="楷体" w:hAnsi="楷体" w:eastAsia="楷体" w:cs="宋体"/>
          <w:color w:val="auto"/>
          <w:sz w:val="24"/>
          <w:highlight w:val="none"/>
        </w:rPr>
        <w:t>3.法人、其他组织</w:t>
      </w:r>
      <w:r>
        <w:rPr>
          <w:rFonts w:hint="eastAsia" w:ascii="楷体" w:hAnsi="楷体" w:eastAsia="楷体" w:cs="宋体"/>
          <w:color w:val="auto"/>
          <w:sz w:val="24"/>
          <w:highlight w:val="none"/>
        </w:rPr>
        <w:t>参与竞争性谈判时“我方”是指“我单位”，自然人参与竞争性谈判时“我方”是指“本人”。</w:t>
      </w:r>
    </w:p>
    <w:p w14:paraId="5A830E3F">
      <w:pPr>
        <w:spacing w:line="360" w:lineRule="auto"/>
        <w:jc w:val="center"/>
        <w:rPr>
          <w:rFonts w:ascii="宋体" w:hAnsi="宋体" w:cs="宋体"/>
          <w:b/>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
          <w:bCs/>
          <w:color w:val="auto"/>
          <w:sz w:val="44"/>
          <w:szCs w:val="44"/>
          <w:highlight w:val="none"/>
        </w:rPr>
        <w:t>商务要求偏离表格式</w:t>
      </w:r>
    </w:p>
    <w:p w14:paraId="63D561A8">
      <w:pPr>
        <w:spacing w:line="360" w:lineRule="auto"/>
        <w:jc w:val="center"/>
        <w:rPr>
          <w:rFonts w:ascii="宋体" w:hAnsi="宋体" w:cs="宋体"/>
          <w:b/>
          <w:color w:val="auto"/>
          <w:sz w:val="28"/>
          <w:szCs w:val="28"/>
          <w:highlight w:val="none"/>
        </w:rPr>
      </w:pPr>
      <w:r>
        <w:rPr>
          <w:rFonts w:hint="eastAsia" w:ascii="宋体" w:hAnsi="宋体" w:cs="宋体"/>
          <w:bCs/>
          <w:color w:val="auto"/>
          <w:sz w:val="28"/>
          <w:szCs w:val="28"/>
          <w:highlight w:val="none"/>
        </w:rPr>
        <w:t>（注：按采购需求具体条款修改）</w:t>
      </w:r>
    </w:p>
    <w:p w14:paraId="08E85993">
      <w:pPr>
        <w:snapToGrid w:val="0"/>
        <w:spacing w:line="360" w:lineRule="auto"/>
        <w:jc w:val="left"/>
        <w:rPr>
          <w:rFonts w:ascii="宋体" w:hAnsi="宋体" w:cs="宋体"/>
          <w:color w:val="auto"/>
          <w:sz w:val="24"/>
          <w:highlight w:val="none"/>
        </w:rPr>
      </w:pPr>
    </w:p>
    <w:p w14:paraId="5BFC1DD2">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7B988481">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17EBF5D5">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tbl>
      <w:tblPr>
        <w:tblStyle w:val="27"/>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00087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ED34DAD">
            <w:pPr>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2C0FC30E">
            <w:pPr>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5246F71E">
            <w:pPr>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01D4C246">
            <w:pPr>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691387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3D6F30FA">
            <w:pPr>
              <w:spacing w:line="500" w:lineRule="exact"/>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334ECC7">
            <w:pPr>
              <w:spacing w:line="500" w:lineRule="exact"/>
              <w:jc w:val="center"/>
              <w:rPr>
                <w:rFonts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EBB196F">
            <w:pPr>
              <w:snapToGrid w:val="0"/>
              <w:spacing w:line="500" w:lineRule="exact"/>
              <w:jc w:val="center"/>
              <w:rPr>
                <w:rFonts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660A6133">
            <w:pPr>
              <w:snapToGrid w:val="0"/>
              <w:spacing w:line="500" w:lineRule="exact"/>
              <w:jc w:val="center"/>
              <w:rPr>
                <w:rFonts w:ascii="宋体" w:hAnsi="宋体" w:cs="宋体"/>
                <w:color w:val="auto"/>
                <w:sz w:val="24"/>
                <w:highlight w:val="none"/>
              </w:rPr>
            </w:pPr>
          </w:p>
        </w:tc>
      </w:tr>
      <w:tr w14:paraId="77977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74D83BE0">
            <w:pPr>
              <w:spacing w:line="500" w:lineRule="exact"/>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0322019">
            <w:pPr>
              <w:spacing w:line="500" w:lineRule="exact"/>
              <w:jc w:val="center"/>
              <w:rPr>
                <w:rFonts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2A661BAE">
            <w:pPr>
              <w:snapToGrid w:val="0"/>
              <w:spacing w:line="500" w:lineRule="exact"/>
              <w:jc w:val="center"/>
              <w:rPr>
                <w:rFonts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5F2F7970">
            <w:pPr>
              <w:snapToGrid w:val="0"/>
              <w:spacing w:line="500" w:lineRule="exact"/>
              <w:jc w:val="center"/>
              <w:rPr>
                <w:rFonts w:ascii="宋体" w:hAnsi="宋体" w:cs="宋体"/>
                <w:color w:val="auto"/>
                <w:sz w:val="24"/>
                <w:highlight w:val="none"/>
              </w:rPr>
            </w:pPr>
          </w:p>
        </w:tc>
      </w:tr>
      <w:tr w14:paraId="6AE71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00380083">
            <w:pPr>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2C6A7467">
            <w:pPr>
              <w:snapToGrid w:val="0"/>
              <w:spacing w:line="500" w:lineRule="exact"/>
              <w:jc w:val="center"/>
              <w:rPr>
                <w:rFonts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7505ABD6">
            <w:pPr>
              <w:snapToGrid w:val="0"/>
              <w:spacing w:line="500" w:lineRule="exact"/>
              <w:jc w:val="center"/>
              <w:rPr>
                <w:rFonts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15550CB8">
            <w:pPr>
              <w:snapToGrid w:val="0"/>
              <w:spacing w:line="500" w:lineRule="exact"/>
              <w:jc w:val="center"/>
              <w:rPr>
                <w:rFonts w:ascii="宋体" w:hAnsi="宋体" w:cs="宋体"/>
                <w:color w:val="auto"/>
                <w:sz w:val="24"/>
                <w:highlight w:val="none"/>
              </w:rPr>
            </w:pPr>
          </w:p>
        </w:tc>
      </w:tr>
    </w:tbl>
    <w:p w14:paraId="54C8B3A5">
      <w:pPr>
        <w:pStyle w:val="10"/>
        <w:spacing w:after="0" w:line="360" w:lineRule="auto"/>
        <w:contextualSpacing/>
        <w:rPr>
          <w:rFonts w:ascii="楷体" w:hAnsi="楷体" w:eastAsia="楷体" w:cs="宋体"/>
          <w:b/>
          <w:color w:val="auto"/>
          <w:kern w:val="0"/>
          <w:sz w:val="24"/>
          <w:szCs w:val="24"/>
          <w:highlight w:val="none"/>
        </w:rPr>
      </w:pPr>
      <w:r>
        <w:rPr>
          <w:rFonts w:hint="eastAsia" w:ascii="楷体" w:hAnsi="楷体" w:eastAsia="楷体" w:cs="宋体"/>
          <w:b/>
          <w:color w:val="auto"/>
          <w:kern w:val="0"/>
          <w:sz w:val="24"/>
          <w:szCs w:val="24"/>
          <w:highlight w:val="none"/>
        </w:rPr>
        <w:t>注：</w:t>
      </w:r>
    </w:p>
    <w:p w14:paraId="50CA3181">
      <w:pPr>
        <w:pStyle w:val="10"/>
        <w:spacing w:after="0" w:line="360" w:lineRule="auto"/>
        <w:ind w:firstLine="480" w:firstLineChars="200"/>
        <w:contextualSpacing/>
        <w:rPr>
          <w:rFonts w:ascii="楷体" w:hAnsi="楷体" w:eastAsia="楷体" w:cs="宋体"/>
          <w:color w:val="auto"/>
          <w:kern w:val="0"/>
          <w:sz w:val="24"/>
          <w:szCs w:val="24"/>
          <w:highlight w:val="none"/>
        </w:rPr>
      </w:pPr>
      <w:r>
        <w:rPr>
          <w:rFonts w:ascii="楷体" w:hAnsi="楷体" w:eastAsia="楷体" w:cs="宋体"/>
          <w:color w:val="auto"/>
          <w:kern w:val="0"/>
          <w:sz w:val="24"/>
          <w:szCs w:val="24"/>
          <w:highlight w:val="none"/>
        </w:rPr>
        <w:t xml:space="preserve">1.说明：应对照谈判文件“第三章 </w:t>
      </w:r>
      <w:r>
        <w:rPr>
          <w:rFonts w:hint="eastAsia" w:ascii="楷体" w:hAnsi="楷体" w:eastAsia="楷体" w:cs="宋体"/>
          <w:color w:val="auto"/>
          <w:kern w:val="0"/>
          <w:sz w:val="24"/>
          <w:szCs w:val="24"/>
          <w:highlight w:val="none"/>
        </w:rPr>
        <w:t>采购需求”中的商务要求逐条明确响应，并作出偏离说明。</w:t>
      </w:r>
    </w:p>
    <w:p w14:paraId="77D3DD68">
      <w:pPr>
        <w:pStyle w:val="10"/>
        <w:spacing w:after="0" w:line="360" w:lineRule="auto"/>
        <w:ind w:firstLine="480" w:firstLineChars="200"/>
        <w:contextualSpacing/>
        <w:rPr>
          <w:rFonts w:ascii="楷体" w:hAnsi="楷体" w:eastAsia="楷体" w:cs="宋体"/>
          <w:color w:val="auto"/>
          <w:kern w:val="0"/>
          <w:sz w:val="24"/>
          <w:szCs w:val="24"/>
          <w:highlight w:val="none"/>
        </w:rPr>
      </w:pPr>
      <w:r>
        <w:rPr>
          <w:rFonts w:ascii="楷体" w:hAnsi="楷体" w:eastAsia="楷体" w:cs="宋体"/>
          <w:color w:val="auto"/>
          <w:kern w:val="0"/>
          <w:sz w:val="24"/>
          <w:szCs w:val="24"/>
          <w:highlight w:val="none"/>
        </w:rPr>
        <w:t>2.供应商应根据自身的承诺，对照谈判文件要求在“偏离说明”中注明“正偏离”、“负偏离”或者“无偏离”。既不属于“正偏离”也不属于“负偏离”即为“无偏离”。</w:t>
      </w:r>
    </w:p>
    <w:p w14:paraId="2A67D106">
      <w:pPr>
        <w:spacing w:line="360" w:lineRule="auto"/>
        <w:contextualSpacing/>
        <w:jc w:val="left"/>
        <w:rPr>
          <w:rFonts w:ascii="宋体" w:hAnsi="宋体" w:cs="宋体"/>
          <w:color w:val="auto"/>
          <w:sz w:val="24"/>
          <w:highlight w:val="none"/>
          <w:u w:val="single"/>
        </w:rPr>
      </w:pPr>
    </w:p>
    <w:p w14:paraId="0409FA8F">
      <w:pPr>
        <w:spacing w:line="360" w:lineRule="auto"/>
        <w:contextualSpacing/>
        <w:jc w:val="left"/>
        <w:rPr>
          <w:rFonts w:ascii="宋体" w:hAnsi="宋体" w:cs="宋体"/>
          <w:color w:val="auto"/>
          <w:sz w:val="24"/>
          <w:highlight w:val="none"/>
          <w:u w:val="single"/>
        </w:rPr>
      </w:pPr>
    </w:p>
    <w:p w14:paraId="1298B3F7">
      <w:pPr>
        <w:spacing w:line="360" w:lineRule="auto"/>
        <w:contextualSpacing/>
        <w:rPr>
          <w:rFonts w:ascii="宋体" w:hAnsi="宋体" w:cs="宋体"/>
          <w:color w:val="auto"/>
          <w:sz w:val="24"/>
          <w:highlight w:val="none"/>
        </w:rPr>
      </w:pPr>
    </w:p>
    <w:p w14:paraId="2F25E0E1">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法定代表人或者委托代理人（签字）：</w:t>
      </w:r>
    </w:p>
    <w:p w14:paraId="400FE815">
      <w:pPr>
        <w:spacing w:line="360" w:lineRule="auto"/>
        <w:ind w:firstLine="3240" w:firstLineChars="1350"/>
        <w:contextualSpacing/>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2DC0406B">
      <w:pPr>
        <w:spacing w:line="360" w:lineRule="auto"/>
        <w:ind w:firstLine="3240" w:firstLineChars="1350"/>
        <w:contextualSpacing/>
        <w:rPr>
          <w:rFonts w:ascii="宋体" w:hAnsi="宋体" w:cs="宋体"/>
          <w:color w:val="auto"/>
          <w:sz w:val="24"/>
          <w:highlight w:val="none"/>
        </w:rPr>
      </w:pPr>
      <w:r>
        <w:rPr>
          <w:rFonts w:hint="eastAsia" w:ascii="宋体" w:hAnsi="宋体" w:cs="宋体"/>
          <w:color w:val="auto"/>
          <w:sz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60342B62">
      <w:pPr>
        <w:adjustRightInd w:val="0"/>
        <w:snapToGrid w:val="0"/>
        <w:spacing w:line="360" w:lineRule="auto"/>
        <w:ind w:firstLine="7040" w:firstLineChars="1600"/>
        <w:jc w:val="center"/>
        <w:rPr>
          <w:rFonts w:ascii="宋体" w:hAnsi="宋体" w:cs="宋体"/>
          <w:bCs/>
          <w:color w:val="auto"/>
          <w:sz w:val="44"/>
          <w:szCs w:val="44"/>
          <w:highlight w:val="none"/>
        </w:rPr>
      </w:pPr>
    </w:p>
    <w:p w14:paraId="4E6DC200">
      <w:pPr>
        <w:adjustRightInd w:val="0"/>
        <w:snapToGrid w:val="0"/>
        <w:spacing w:line="360" w:lineRule="auto"/>
        <w:jc w:val="center"/>
        <w:rPr>
          <w:rFonts w:ascii="宋体" w:hAnsi="宋体" w:cs="宋体"/>
          <w:b/>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
          <w:bCs/>
          <w:color w:val="auto"/>
          <w:sz w:val="44"/>
          <w:szCs w:val="44"/>
          <w:highlight w:val="none"/>
        </w:rPr>
        <w:t>货物配置清单</w:t>
      </w:r>
    </w:p>
    <w:p w14:paraId="09003107">
      <w:pPr>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2A30FD7">
      <w:pPr>
        <w:spacing w:line="360" w:lineRule="auto"/>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277DF0">
      <w:pPr>
        <w:spacing w:line="360" w:lineRule="auto"/>
        <w:rPr>
          <w:rFonts w:ascii="宋体" w:hAnsi="宋体" w:cs="宋体"/>
          <w:color w:val="auto"/>
          <w:sz w:val="24"/>
          <w:highlight w:val="none"/>
          <w:u w:val="single"/>
        </w:rPr>
      </w:pPr>
      <w:r>
        <w:rPr>
          <w:rFonts w:hint="eastAsia" w:ascii="宋体" w:hAnsi="宋体" w:cs="宋体"/>
          <w:color w:val="auto"/>
          <w:sz w:val="24"/>
          <w:highlight w:val="none"/>
        </w:rPr>
        <w:t>所竞分标（如有）：</w:t>
      </w:r>
      <w:r>
        <w:rPr>
          <w:rFonts w:hint="eastAsia" w:ascii="宋体" w:hAnsi="宋体" w:cs="宋体"/>
          <w:color w:val="auto"/>
          <w:sz w:val="24"/>
          <w:highlight w:val="none"/>
          <w:u w:val="single"/>
        </w:rPr>
        <w:t xml:space="preserve">                 </w:t>
      </w:r>
    </w:p>
    <w:tbl>
      <w:tblPr>
        <w:tblStyle w:val="27"/>
        <w:tblW w:w="10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293"/>
        <w:gridCol w:w="929"/>
        <w:gridCol w:w="1854"/>
        <w:gridCol w:w="1293"/>
        <w:gridCol w:w="765"/>
        <w:gridCol w:w="797"/>
        <w:gridCol w:w="971"/>
        <w:gridCol w:w="2147"/>
      </w:tblGrid>
      <w:tr w14:paraId="2B004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D300BD2">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93" w:type="dxa"/>
            <w:tcBorders>
              <w:top w:val="single" w:color="auto" w:sz="4" w:space="0"/>
              <w:left w:val="single" w:color="auto" w:sz="4" w:space="0"/>
              <w:bottom w:val="single" w:color="auto" w:sz="4" w:space="0"/>
              <w:right w:val="single" w:color="auto" w:sz="4" w:space="0"/>
            </w:tcBorders>
            <w:vAlign w:val="center"/>
          </w:tcPr>
          <w:p w14:paraId="1EE333D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929" w:type="dxa"/>
            <w:tcBorders>
              <w:top w:val="single" w:color="auto" w:sz="4" w:space="0"/>
              <w:left w:val="single" w:color="auto" w:sz="4" w:space="0"/>
              <w:bottom w:val="single" w:color="auto" w:sz="4" w:space="0"/>
              <w:right w:val="single" w:color="auto" w:sz="4" w:space="0"/>
            </w:tcBorders>
            <w:vAlign w:val="center"/>
          </w:tcPr>
          <w:p w14:paraId="0088F5E2">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1854" w:type="dxa"/>
            <w:tcBorders>
              <w:top w:val="single" w:color="auto" w:sz="4" w:space="0"/>
              <w:left w:val="single" w:color="auto" w:sz="4" w:space="0"/>
              <w:bottom w:val="single" w:color="auto" w:sz="4" w:space="0"/>
              <w:right w:val="single" w:color="auto" w:sz="4" w:space="0"/>
            </w:tcBorders>
            <w:vAlign w:val="center"/>
          </w:tcPr>
          <w:p w14:paraId="1D9939A4">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型号</w:t>
            </w:r>
          </w:p>
        </w:tc>
        <w:tc>
          <w:tcPr>
            <w:tcW w:w="1293" w:type="dxa"/>
            <w:tcBorders>
              <w:top w:val="single" w:color="auto" w:sz="4" w:space="0"/>
              <w:left w:val="single" w:color="auto" w:sz="4" w:space="0"/>
              <w:bottom w:val="single" w:color="auto" w:sz="4" w:space="0"/>
              <w:right w:val="single" w:color="auto" w:sz="4" w:space="0"/>
            </w:tcBorders>
            <w:vAlign w:val="center"/>
          </w:tcPr>
          <w:p w14:paraId="473F300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765" w:type="dxa"/>
            <w:tcBorders>
              <w:top w:val="single" w:color="auto" w:sz="4" w:space="0"/>
              <w:left w:val="single" w:color="auto" w:sz="4" w:space="0"/>
              <w:bottom w:val="single" w:color="auto" w:sz="4" w:space="0"/>
              <w:right w:val="single" w:color="auto" w:sz="4" w:space="0"/>
            </w:tcBorders>
            <w:vAlign w:val="center"/>
          </w:tcPr>
          <w:p w14:paraId="7471821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97" w:type="dxa"/>
            <w:tcBorders>
              <w:top w:val="single" w:color="auto" w:sz="4" w:space="0"/>
              <w:left w:val="single" w:color="auto" w:sz="4" w:space="0"/>
              <w:bottom w:val="single" w:color="auto" w:sz="4" w:space="0"/>
              <w:right w:val="single" w:color="auto" w:sz="4" w:space="0"/>
            </w:tcBorders>
            <w:vAlign w:val="center"/>
          </w:tcPr>
          <w:p w14:paraId="10631EC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w:t>
            </w:r>
          </w:p>
        </w:tc>
        <w:tc>
          <w:tcPr>
            <w:tcW w:w="971" w:type="dxa"/>
            <w:tcBorders>
              <w:top w:val="single" w:color="auto" w:sz="4" w:space="0"/>
              <w:left w:val="single" w:color="auto" w:sz="4" w:space="0"/>
              <w:bottom w:val="single" w:color="auto" w:sz="4" w:space="0"/>
              <w:right w:val="single" w:color="auto" w:sz="4" w:space="0"/>
            </w:tcBorders>
            <w:vAlign w:val="center"/>
          </w:tcPr>
          <w:p w14:paraId="6C0E01A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单位</w:t>
            </w:r>
          </w:p>
        </w:tc>
        <w:tc>
          <w:tcPr>
            <w:tcW w:w="2147" w:type="dxa"/>
            <w:tcBorders>
              <w:top w:val="single" w:color="auto" w:sz="4" w:space="0"/>
              <w:left w:val="single" w:color="auto" w:sz="4" w:space="0"/>
              <w:bottom w:val="single" w:color="auto" w:sz="4" w:space="0"/>
              <w:right w:val="single" w:color="auto" w:sz="4" w:space="0"/>
            </w:tcBorders>
            <w:vAlign w:val="center"/>
          </w:tcPr>
          <w:p w14:paraId="0C07C98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224FE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C559BB3">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198D4617">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2ECC65A7">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7DC195D4">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1EC2FAE">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79CC7EDE">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71075C4C">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54C519A1">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4E94BA59">
            <w:pPr>
              <w:snapToGrid w:val="0"/>
              <w:spacing w:before="50" w:after="50"/>
              <w:jc w:val="center"/>
              <w:rPr>
                <w:rFonts w:ascii="宋体" w:hAnsi="宋体" w:cs="宋体"/>
                <w:color w:val="auto"/>
                <w:sz w:val="24"/>
                <w:highlight w:val="none"/>
              </w:rPr>
            </w:pPr>
          </w:p>
        </w:tc>
      </w:tr>
      <w:tr w14:paraId="661A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2992A22">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A3599D0">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4AC3C524">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48A13D67">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3BF64A85">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2A9A8323">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116EFF54">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67796D37">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149FBACC">
            <w:pPr>
              <w:snapToGrid w:val="0"/>
              <w:spacing w:before="50" w:after="50"/>
              <w:jc w:val="center"/>
              <w:rPr>
                <w:rFonts w:ascii="宋体" w:hAnsi="宋体" w:cs="宋体"/>
                <w:color w:val="auto"/>
                <w:sz w:val="24"/>
                <w:highlight w:val="none"/>
              </w:rPr>
            </w:pPr>
          </w:p>
        </w:tc>
      </w:tr>
      <w:tr w14:paraId="72AC6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900B51D">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53AD446B">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5A8DBBAD">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68D2EFD2">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3A133B95">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00EDAF56">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42B5E4E1">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61F51F80">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7CA5365B">
            <w:pPr>
              <w:snapToGrid w:val="0"/>
              <w:spacing w:before="50" w:after="50"/>
              <w:jc w:val="center"/>
              <w:rPr>
                <w:rFonts w:ascii="宋体" w:hAnsi="宋体" w:cs="宋体"/>
                <w:color w:val="auto"/>
                <w:sz w:val="24"/>
                <w:highlight w:val="none"/>
              </w:rPr>
            </w:pPr>
          </w:p>
        </w:tc>
      </w:tr>
    </w:tbl>
    <w:p w14:paraId="1B8E25D8">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备注：</w:t>
      </w:r>
    </w:p>
    <w:p w14:paraId="573A3EFC">
      <w:pPr>
        <w:tabs>
          <w:tab w:val="left" w:pos="1065"/>
        </w:tabs>
        <w:adjustRightInd w:val="0"/>
        <w:spacing w:line="360" w:lineRule="auto"/>
        <w:ind w:firstLine="482" w:firstLineChars="200"/>
        <w:contextualSpacing/>
        <w:rPr>
          <w:rFonts w:ascii="楷体" w:hAnsi="楷体" w:eastAsia="楷体" w:cs="宋体"/>
          <w:color w:val="auto"/>
          <w:sz w:val="24"/>
          <w:highlight w:val="none"/>
        </w:rPr>
      </w:pPr>
      <w:r>
        <w:rPr>
          <w:rFonts w:hint="eastAsia" w:ascii="楷体" w:hAnsi="楷体" w:eastAsia="楷体" w:cs="宋体"/>
          <w:b/>
          <w:bCs/>
          <w:color w:val="auto"/>
          <w:sz w:val="24"/>
          <w:highlight w:val="none"/>
        </w:rPr>
        <w:t>以上货物配置清单中“货物名称、数量、单位、品牌、型号、生产厂家、产地、参数性能、指标及配置”必须如实填写完整，定制产品在型号栏中填写“定制”。填写有缺漏的，响应文件按无效响应处理</w:t>
      </w:r>
      <w:r>
        <w:rPr>
          <w:rFonts w:hint="eastAsia" w:ascii="楷体" w:hAnsi="楷体" w:eastAsia="楷体" w:cs="宋体"/>
          <w:b/>
          <w:color w:val="auto"/>
          <w:sz w:val="24"/>
          <w:highlight w:val="none"/>
        </w:rPr>
        <w:t>。</w:t>
      </w:r>
      <w:r>
        <w:rPr>
          <w:rFonts w:hint="eastAsia" w:ascii="楷体" w:hAnsi="楷体" w:eastAsia="楷体" w:cs="宋体"/>
          <w:color w:val="auto"/>
          <w:sz w:val="24"/>
          <w:highlight w:val="none"/>
        </w:rPr>
        <w:t>货物名称、数量、单位、品牌等必须与“</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highlight w:val="none"/>
        </w:rPr>
        <w:t>报价表”一致，</w:t>
      </w:r>
      <w:r>
        <w:rPr>
          <w:rFonts w:hint="eastAsia" w:ascii="楷体" w:hAnsi="楷体" w:eastAsia="楷体" w:cs="宋体"/>
          <w:bCs/>
          <w:color w:val="auto"/>
          <w:sz w:val="24"/>
          <w:highlight w:val="none"/>
        </w:rPr>
        <w:t>否则响应文件按无效响应处理</w:t>
      </w:r>
      <w:r>
        <w:rPr>
          <w:rFonts w:hint="eastAsia" w:ascii="楷体" w:hAnsi="楷体" w:eastAsia="楷体" w:cs="宋体"/>
          <w:b/>
          <w:color w:val="auto"/>
          <w:sz w:val="24"/>
          <w:highlight w:val="none"/>
        </w:rPr>
        <w:t>。</w:t>
      </w:r>
      <w:r>
        <w:rPr>
          <w:rFonts w:ascii="楷体" w:hAnsi="楷体" w:eastAsia="楷体" w:cs="宋体"/>
          <w:color w:val="auto"/>
          <w:sz w:val="24"/>
          <w:highlight w:val="none"/>
        </w:rPr>
        <w:tab/>
      </w:r>
    </w:p>
    <w:p w14:paraId="5A76C87B">
      <w:pPr>
        <w:adjustRightInd w:val="0"/>
        <w:spacing w:line="360" w:lineRule="auto"/>
        <w:contextualSpacing/>
        <w:jc w:val="left"/>
        <w:rPr>
          <w:rFonts w:ascii="宋体" w:hAnsi="宋体" w:cs="宋体"/>
          <w:color w:val="auto"/>
          <w:sz w:val="24"/>
          <w:highlight w:val="none"/>
        </w:rPr>
      </w:pPr>
    </w:p>
    <w:p w14:paraId="44AE946D">
      <w:pPr>
        <w:adjustRightInd w:val="0"/>
        <w:spacing w:line="360" w:lineRule="auto"/>
        <w:contextualSpacing/>
        <w:jc w:val="left"/>
        <w:rPr>
          <w:rFonts w:ascii="宋体" w:hAnsi="宋体" w:cs="宋体"/>
          <w:color w:val="auto"/>
          <w:sz w:val="24"/>
          <w:highlight w:val="none"/>
        </w:rPr>
      </w:pPr>
    </w:p>
    <w:p w14:paraId="4C9B1280">
      <w:pPr>
        <w:adjustRightInd w:val="0"/>
        <w:spacing w:line="360" w:lineRule="auto"/>
        <w:contextualSpacing/>
        <w:jc w:val="left"/>
        <w:rPr>
          <w:rFonts w:ascii="宋体" w:hAnsi="宋体" w:cs="宋体"/>
          <w:color w:val="auto"/>
          <w:sz w:val="24"/>
          <w:highlight w:val="none"/>
        </w:rPr>
      </w:pPr>
    </w:p>
    <w:p w14:paraId="6DC26ADF">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法定代表人或者委托代理人（签字）：</w:t>
      </w:r>
    </w:p>
    <w:p w14:paraId="41EC6200">
      <w:pPr>
        <w:spacing w:line="360" w:lineRule="auto"/>
        <w:ind w:firstLine="3240" w:firstLineChars="1350"/>
        <w:contextualSpacing/>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09D20AF5">
      <w:pPr>
        <w:spacing w:line="360" w:lineRule="auto"/>
        <w:ind w:firstLine="3240" w:firstLineChars="1350"/>
        <w:contextualSpacing/>
        <w:rPr>
          <w:rFonts w:ascii="宋体" w:hAnsi="宋体" w:cs="宋体"/>
          <w:color w:val="auto"/>
          <w:szCs w:val="21"/>
          <w:highlight w:val="none"/>
          <w:u w:val="single"/>
        </w:rPr>
      </w:pPr>
      <w:r>
        <w:rPr>
          <w:rFonts w:hint="eastAsia" w:ascii="宋体" w:hAnsi="宋体" w:cs="宋体"/>
          <w:color w:val="auto"/>
          <w:sz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42D91B5F">
      <w:pPr>
        <w:adjustRightInd w:val="0"/>
        <w:snapToGrid w:val="0"/>
        <w:spacing w:line="360" w:lineRule="auto"/>
        <w:rPr>
          <w:rFonts w:ascii="宋体" w:hAnsi="宋体" w:cs="宋体"/>
          <w:color w:val="auto"/>
          <w:szCs w:val="21"/>
          <w:highlight w:val="none"/>
          <w:u w:val="single"/>
        </w:rPr>
      </w:pPr>
    </w:p>
    <w:p w14:paraId="28BD91BF">
      <w:pPr>
        <w:adjustRightInd w:val="0"/>
        <w:snapToGrid w:val="0"/>
        <w:spacing w:line="360" w:lineRule="auto"/>
        <w:rPr>
          <w:rFonts w:ascii="宋体" w:hAnsi="宋体" w:cs="宋体"/>
          <w:color w:val="auto"/>
          <w:szCs w:val="21"/>
          <w:highlight w:val="none"/>
          <w:u w:val="single"/>
        </w:rPr>
      </w:pPr>
    </w:p>
    <w:p w14:paraId="2EC3E782">
      <w:pPr>
        <w:adjustRightInd w:val="0"/>
        <w:snapToGrid w:val="0"/>
        <w:spacing w:line="360" w:lineRule="auto"/>
        <w:rPr>
          <w:rFonts w:ascii="宋体" w:hAnsi="宋体" w:cs="宋体"/>
          <w:color w:val="auto"/>
          <w:szCs w:val="21"/>
          <w:highlight w:val="none"/>
          <w:u w:val="single"/>
        </w:rPr>
      </w:pPr>
    </w:p>
    <w:p w14:paraId="603256F1">
      <w:pPr>
        <w:adjustRightInd w:val="0"/>
        <w:snapToGrid w:val="0"/>
        <w:spacing w:line="360" w:lineRule="auto"/>
        <w:rPr>
          <w:rFonts w:ascii="宋体" w:hAnsi="宋体" w:cs="宋体"/>
          <w:color w:val="auto"/>
          <w:szCs w:val="21"/>
          <w:highlight w:val="none"/>
          <w:u w:val="single"/>
        </w:rPr>
      </w:pPr>
    </w:p>
    <w:p w14:paraId="1EDF97D2">
      <w:pPr>
        <w:adjustRightInd w:val="0"/>
        <w:snapToGrid w:val="0"/>
        <w:spacing w:line="360" w:lineRule="auto"/>
        <w:rPr>
          <w:rFonts w:ascii="宋体" w:hAnsi="宋体" w:cs="宋体"/>
          <w:color w:val="auto"/>
          <w:szCs w:val="21"/>
          <w:highlight w:val="none"/>
          <w:u w:val="single"/>
        </w:rPr>
      </w:pPr>
    </w:p>
    <w:p w14:paraId="29291E28">
      <w:pPr>
        <w:adjustRightInd w:val="0"/>
        <w:snapToGrid w:val="0"/>
        <w:spacing w:line="360" w:lineRule="auto"/>
        <w:jc w:val="center"/>
        <w:rPr>
          <w:rFonts w:ascii="宋体" w:hAnsi="宋体" w:cs="宋体"/>
          <w:b/>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
          <w:bCs/>
          <w:color w:val="auto"/>
          <w:sz w:val="44"/>
          <w:szCs w:val="44"/>
          <w:highlight w:val="none"/>
        </w:rPr>
        <w:t>技术要求偏离表</w:t>
      </w:r>
    </w:p>
    <w:p w14:paraId="7CC195A7">
      <w:pPr>
        <w:spacing w:line="360" w:lineRule="auto"/>
        <w:rPr>
          <w:rFonts w:ascii="宋体" w:hAnsi="宋体" w:cs="宋体"/>
          <w:color w:val="auto"/>
          <w:sz w:val="32"/>
          <w:szCs w:val="32"/>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1169D886">
      <w:pPr>
        <w:spacing w:line="360" w:lineRule="auto"/>
        <w:rPr>
          <w:rFonts w:ascii="宋体" w:hAnsi="宋体" w:cs="宋体"/>
          <w:color w:val="auto"/>
          <w:sz w:val="24"/>
          <w:highlight w:val="non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75E57AC5">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33"/>
        <w:gridCol w:w="933"/>
        <w:gridCol w:w="3104"/>
        <w:gridCol w:w="2793"/>
        <w:gridCol w:w="1524"/>
      </w:tblGrid>
      <w:tr w14:paraId="600A07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7D72F2BA">
            <w:pPr>
              <w:pStyle w:val="12"/>
              <w:spacing w:line="500" w:lineRule="exact"/>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502" w:type="pct"/>
            <w:tcBorders>
              <w:right w:val="single" w:color="auto" w:sz="4" w:space="0"/>
            </w:tcBorders>
            <w:vAlign w:val="center"/>
          </w:tcPr>
          <w:p w14:paraId="346BE1EF">
            <w:pPr>
              <w:pStyle w:val="12"/>
              <w:spacing w:line="500" w:lineRule="exact"/>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货物名称</w:t>
            </w:r>
          </w:p>
        </w:tc>
        <w:tc>
          <w:tcPr>
            <w:tcW w:w="1670" w:type="pct"/>
            <w:tcBorders>
              <w:left w:val="single" w:color="auto" w:sz="4" w:space="0"/>
            </w:tcBorders>
            <w:vAlign w:val="center"/>
          </w:tcPr>
          <w:p w14:paraId="5B4FAFFB">
            <w:pPr>
              <w:pStyle w:val="12"/>
              <w:spacing w:line="500" w:lineRule="exact"/>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技术要求</w:t>
            </w:r>
          </w:p>
        </w:tc>
        <w:tc>
          <w:tcPr>
            <w:tcW w:w="1503" w:type="pct"/>
            <w:vAlign w:val="center"/>
          </w:tcPr>
          <w:p w14:paraId="7CE74DF9">
            <w:pPr>
              <w:pStyle w:val="12"/>
              <w:spacing w:line="500" w:lineRule="exact"/>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竞争性谈判响应</w:t>
            </w:r>
          </w:p>
        </w:tc>
        <w:tc>
          <w:tcPr>
            <w:tcW w:w="820" w:type="pct"/>
            <w:vAlign w:val="center"/>
          </w:tcPr>
          <w:p w14:paraId="672A03E4">
            <w:pPr>
              <w:pStyle w:val="12"/>
              <w:spacing w:line="500" w:lineRule="exact"/>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偏离说明</w:t>
            </w:r>
          </w:p>
        </w:tc>
      </w:tr>
      <w:tr w14:paraId="61A293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4D0D9DB4">
            <w:pPr>
              <w:pStyle w:val="12"/>
              <w:spacing w:line="500" w:lineRule="exact"/>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502" w:type="pct"/>
            <w:tcBorders>
              <w:right w:val="single" w:color="auto" w:sz="4" w:space="0"/>
            </w:tcBorders>
            <w:vAlign w:val="center"/>
          </w:tcPr>
          <w:p w14:paraId="6C27226D">
            <w:pPr>
              <w:pStyle w:val="12"/>
              <w:spacing w:line="500" w:lineRule="exact"/>
              <w:ind w:firstLine="0" w:firstLineChars="0"/>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4D78CBD2">
            <w:pPr>
              <w:pStyle w:val="12"/>
              <w:spacing w:line="500" w:lineRule="exact"/>
              <w:ind w:firstLine="0" w:firstLineChars="0"/>
              <w:jc w:val="center"/>
              <w:rPr>
                <w:rFonts w:ascii="宋体" w:hAnsi="宋体" w:eastAsia="宋体" w:cs="宋体"/>
                <w:color w:val="auto"/>
                <w:kern w:val="2"/>
                <w:sz w:val="24"/>
                <w:szCs w:val="24"/>
                <w:highlight w:val="none"/>
              </w:rPr>
            </w:pPr>
          </w:p>
        </w:tc>
        <w:tc>
          <w:tcPr>
            <w:tcW w:w="1503" w:type="pct"/>
            <w:vAlign w:val="center"/>
          </w:tcPr>
          <w:p w14:paraId="0AB1A21F">
            <w:pPr>
              <w:pStyle w:val="12"/>
              <w:spacing w:line="500" w:lineRule="exact"/>
              <w:ind w:firstLine="0" w:firstLineChars="0"/>
              <w:jc w:val="center"/>
              <w:rPr>
                <w:rFonts w:ascii="宋体" w:hAnsi="宋体" w:eastAsia="宋体" w:cs="宋体"/>
                <w:color w:val="auto"/>
                <w:kern w:val="2"/>
                <w:sz w:val="24"/>
                <w:szCs w:val="24"/>
                <w:highlight w:val="none"/>
              </w:rPr>
            </w:pPr>
          </w:p>
        </w:tc>
        <w:tc>
          <w:tcPr>
            <w:tcW w:w="820" w:type="pct"/>
            <w:vAlign w:val="center"/>
          </w:tcPr>
          <w:p w14:paraId="06D6A270">
            <w:pPr>
              <w:pStyle w:val="12"/>
              <w:spacing w:line="500" w:lineRule="exact"/>
              <w:ind w:firstLine="0" w:firstLineChars="0"/>
              <w:jc w:val="center"/>
              <w:rPr>
                <w:rFonts w:ascii="宋体" w:hAnsi="宋体" w:eastAsia="宋体" w:cs="宋体"/>
                <w:color w:val="auto"/>
                <w:kern w:val="2"/>
                <w:sz w:val="24"/>
                <w:szCs w:val="24"/>
                <w:highlight w:val="none"/>
              </w:rPr>
            </w:pPr>
          </w:p>
        </w:tc>
      </w:tr>
      <w:tr w14:paraId="36BFB4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083897B4">
            <w:pPr>
              <w:pStyle w:val="12"/>
              <w:spacing w:line="500" w:lineRule="exact"/>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502" w:type="pct"/>
            <w:tcBorders>
              <w:right w:val="single" w:color="auto" w:sz="4" w:space="0"/>
            </w:tcBorders>
            <w:vAlign w:val="center"/>
          </w:tcPr>
          <w:p w14:paraId="7E96A9D9">
            <w:pPr>
              <w:pStyle w:val="12"/>
              <w:spacing w:line="500" w:lineRule="exact"/>
              <w:ind w:firstLine="0" w:firstLineChars="0"/>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7EA8B072">
            <w:pPr>
              <w:pStyle w:val="12"/>
              <w:spacing w:line="500" w:lineRule="exact"/>
              <w:ind w:firstLine="0" w:firstLineChars="0"/>
              <w:jc w:val="center"/>
              <w:rPr>
                <w:rFonts w:ascii="宋体" w:hAnsi="宋体" w:eastAsia="宋体" w:cs="宋体"/>
                <w:color w:val="auto"/>
                <w:kern w:val="2"/>
                <w:sz w:val="24"/>
                <w:szCs w:val="24"/>
                <w:highlight w:val="none"/>
              </w:rPr>
            </w:pPr>
          </w:p>
        </w:tc>
        <w:tc>
          <w:tcPr>
            <w:tcW w:w="1503" w:type="pct"/>
            <w:vAlign w:val="center"/>
          </w:tcPr>
          <w:p w14:paraId="0E7B3051">
            <w:pPr>
              <w:pStyle w:val="12"/>
              <w:spacing w:line="500" w:lineRule="exact"/>
              <w:ind w:firstLine="0" w:firstLineChars="0"/>
              <w:jc w:val="center"/>
              <w:rPr>
                <w:rFonts w:ascii="宋体" w:hAnsi="宋体" w:eastAsia="宋体" w:cs="宋体"/>
                <w:color w:val="auto"/>
                <w:kern w:val="2"/>
                <w:sz w:val="24"/>
                <w:szCs w:val="24"/>
                <w:highlight w:val="none"/>
              </w:rPr>
            </w:pPr>
          </w:p>
        </w:tc>
        <w:tc>
          <w:tcPr>
            <w:tcW w:w="820" w:type="pct"/>
            <w:vAlign w:val="center"/>
          </w:tcPr>
          <w:p w14:paraId="16A98622">
            <w:pPr>
              <w:pStyle w:val="12"/>
              <w:spacing w:line="500" w:lineRule="exact"/>
              <w:ind w:firstLine="0" w:firstLineChars="0"/>
              <w:jc w:val="center"/>
              <w:rPr>
                <w:rFonts w:ascii="宋体" w:hAnsi="宋体" w:eastAsia="宋体" w:cs="宋体"/>
                <w:color w:val="auto"/>
                <w:kern w:val="2"/>
                <w:sz w:val="24"/>
                <w:szCs w:val="24"/>
                <w:highlight w:val="none"/>
              </w:rPr>
            </w:pPr>
          </w:p>
        </w:tc>
      </w:tr>
      <w:tr w14:paraId="23D688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2" w:type="pct"/>
            <w:vAlign w:val="center"/>
          </w:tcPr>
          <w:p w14:paraId="72C4E9D6">
            <w:pPr>
              <w:pStyle w:val="12"/>
              <w:spacing w:line="500" w:lineRule="exact"/>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502" w:type="pct"/>
            <w:tcBorders>
              <w:right w:val="single" w:color="auto" w:sz="4" w:space="0"/>
            </w:tcBorders>
            <w:vAlign w:val="center"/>
          </w:tcPr>
          <w:p w14:paraId="2A712E7B">
            <w:pPr>
              <w:pStyle w:val="12"/>
              <w:spacing w:line="500" w:lineRule="exact"/>
              <w:ind w:firstLine="0" w:firstLineChars="0"/>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1F70F85A">
            <w:pPr>
              <w:pStyle w:val="12"/>
              <w:spacing w:line="500" w:lineRule="exact"/>
              <w:ind w:firstLine="0" w:firstLineChars="0"/>
              <w:jc w:val="center"/>
              <w:rPr>
                <w:rFonts w:ascii="宋体" w:hAnsi="宋体" w:eastAsia="宋体" w:cs="宋体"/>
                <w:color w:val="auto"/>
                <w:kern w:val="2"/>
                <w:sz w:val="24"/>
                <w:szCs w:val="24"/>
                <w:highlight w:val="none"/>
              </w:rPr>
            </w:pPr>
          </w:p>
        </w:tc>
        <w:tc>
          <w:tcPr>
            <w:tcW w:w="1503" w:type="pct"/>
            <w:vAlign w:val="center"/>
          </w:tcPr>
          <w:p w14:paraId="00BEDC45">
            <w:pPr>
              <w:pStyle w:val="12"/>
              <w:spacing w:line="500" w:lineRule="exact"/>
              <w:ind w:firstLine="0" w:firstLineChars="0"/>
              <w:jc w:val="center"/>
              <w:rPr>
                <w:rFonts w:ascii="宋体" w:hAnsi="宋体" w:eastAsia="宋体" w:cs="宋体"/>
                <w:color w:val="auto"/>
                <w:kern w:val="2"/>
                <w:sz w:val="24"/>
                <w:szCs w:val="24"/>
                <w:highlight w:val="none"/>
              </w:rPr>
            </w:pPr>
          </w:p>
        </w:tc>
        <w:tc>
          <w:tcPr>
            <w:tcW w:w="820" w:type="pct"/>
            <w:vAlign w:val="center"/>
          </w:tcPr>
          <w:p w14:paraId="120D3D92">
            <w:pPr>
              <w:pStyle w:val="12"/>
              <w:spacing w:line="500" w:lineRule="exact"/>
              <w:ind w:firstLine="0" w:firstLineChars="0"/>
              <w:jc w:val="center"/>
              <w:rPr>
                <w:rFonts w:ascii="宋体" w:hAnsi="宋体" w:eastAsia="宋体" w:cs="宋体"/>
                <w:color w:val="auto"/>
                <w:kern w:val="2"/>
                <w:sz w:val="24"/>
                <w:szCs w:val="24"/>
                <w:highlight w:val="none"/>
              </w:rPr>
            </w:pPr>
          </w:p>
        </w:tc>
      </w:tr>
      <w:tr w14:paraId="190DC4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2" w:type="pct"/>
            <w:vAlign w:val="center"/>
          </w:tcPr>
          <w:p w14:paraId="686303E0">
            <w:pPr>
              <w:pStyle w:val="12"/>
              <w:spacing w:line="500" w:lineRule="exact"/>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p>
        </w:tc>
        <w:tc>
          <w:tcPr>
            <w:tcW w:w="502" w:type="pct"/>
            <w:tcBorders>
              <w:right w:val="single" w:color="auto" w:sz="4" w:space="0"/>
            </w:tcBorders>
            <w:vAlign w:val="center"/>
          </w:tcPr>
          <w:p w14:paraId="210F6C4E">
            <w:pPr>
              <w:pStyle w:val="12"/>
              <w:spacing w:line="500" w:lineRule="exact"/>
              <w:ind w:firstLine="0" w:firstLineChars="0"/>
              <w:jc w:val="center"/>
              <w:rPr>
                <w:rFonts w:ascii="宋体" w:hAnsi="宋体" w:eastAsia="宋体" w:cs="宋体"/>
                <w:color w:val="auto"/>
                <w:kern w:val="2"/>
                <w:sz w:val="24"/>
                <w:szCs w:val="24"/>
                <w:highlight w:val="none"/>
              </w:rPr>
            </w:pPr>
          </w:p>
        </w:tc>
        <w:tc>
          <w:tcPr>
            <w:tcW w:w="1670" w:type="pct"/>
            <w:tcBorders>
              <w:left w:val="single" w:color="auto" w:sz="4" w:space="0"/>
            </w:tcBorders>
            <w:vAlign w:val="center"/>
          </w:tcPr>
          <w:p w14:paraId="26024545">
            <w:pPr>
              <w:pStyle w:val="12"/>
              <w:spacing w:line="500" w:lineRule="exact"/>
              <w:ind w:firstLine="0" w:firstLineChars="0"/>
              <w:jc w:val="center"/>
              <w:rPr>
                <w:rFonts w:ascii="宋体" w:hAnsi="宋体" w:eastAsia="宋体" w:cs="宋体"/>
                <w:color w:val="auto"/>
                <w:kern w:val="2"/>
                <w:sz w:val="24"/>
                <w:szCs w:val="24"/>
                <w:highlight w:val="none"/>
              </w:rPr>
            </w:pPr>
          </w:p>
        </w:tc>
        <w:tc>
          <w:tcPr>
            <w:tcW w:w="1503" w:type="pct"/>
            <w:vAlign w:val="center"/>
          </w:tcPr>
          <w:p w14:paraId="3DE43F40">
            <w:pPr>
              <w:pStyle w:val="12"/>
              <w:spacing w:line="500" w:lineRule="exact"/>
              <w:ind w:firstLine="0" w:firstLineChars="0"/>
              <w:jc w:val="center"/>
              <w:rPr>
                <w:rFonts w:ascii="宋体" w:hAnsi="宋体" w:eastAsia="宋体" w:cs="宋体"/>
                <w:color w:val="auto"/>
                <w:kern w:val="2"/>
                <w:sz w:val="24"/>
                <w:szCs w:val="24"/>
                <w:highlight w:val="none"/>
              </w:rPr>
            </w:pPr>
          </w:p>
        </w:tc>
        <w:tc>
          <w:tcPr>
            <w:tcW w:w="820" w:type="pct"/>
            <w:tcBorders>
              <w:right w:val="single" w:color="auto" w:sz="4" w:space="0"/>
            </w:tcBorders>
            <w:vAlign w:val="center"/>
          </w:tcPr>
          <w:p w14:paraId="4819A277">
            <w:pPr>
              <w:pStyle w:val="12"/>
              <w:spacing w:line="500" w:lineRule="exact"/>
              <w:ind w:firstLine="0" w:firstLineChars="0"/>
              <w:jc w:val="center"/>
              <w:rPr>
                <w:rFonts w:ascii="宋体" w:hAnsi="宋体" w:eastAsia="宋体" w:cs="宋体"/>
                <w:color w:val="auto"/>
                <w:kern w:val="2"/>
                <w:sz w:val="24"/>
                <w:szCs w:val="24"/>
                <w:highlight w:val="none"/>
              </w:rPr>
            </w:pPr>
          </w:p>
        </w:tc>
      </w:tr>
    </w:tbl>
    <w:p w14:paraId="62CDCE57">
      <w:pPr>
        <w:pStyle w:val="12"/>
        <w:spacing w:line="360" w:lineRule="auto"/>
        <w:ind w:firstLine="0" w:firstLineChars="0"/>
        <w:contextualSpacing/>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注：</w:t>
      </w:r>
    </w:p>
    <w:p w14:paraId="2A40DB21">
      <w:pPr>
        <w:pStyle w:val="12"/>
        <w:spacing w:line="360" w:lineRule="auto"/>
        <w:ind w:firstLine="480" w:firstLineChars="200"/>
        <w:contextualSpacing/>
        <w:rPr>
          <w:rFonts w:ascii="楷体" w:hAnsi="楷体" w:eastAsia="楷体" w:cs="宋体"/>
          <w:color w:val="auto"/>
          <w:sz w:val="24"/>
          <w:szCs w:val="24"/>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说明：应对照谈判文件“第三章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采购需求”中的技术要求逐条实质性响应，并作出偏离说明。</w:t>
      </w:r>
    </w:p>
    <w:p w14:paraId="67DB85E7">
      <w:pPr>
        <w:pStyle w:val="12"/>
        <w:spacing w:line="360" w:lineRule="auto"/>
        <w:ind w:firstLine="480" w:firstLineChars="200"/>
        <w:contextualSpacing/>
        <w:rPr>
          <w:rFonts w:ascii="楷体" w:hAnsi="楷体" w:eastAsia="楷体" w:cs="宋体"/>
          <w:color w:val="auto"/>
          <w:sz w:val="24"/>
          <w:szCs w:val="24"/>
          <w:highlight w:val="none"/>
        </w:rPr>
      </w:pPr>
      <w:r>
        <w:rPr>
          <w:rFonts w:ascii="楷体" w:hAnsi="楷体" w:eastAsia="楷体" w:cs="宋体"/>
          <w:color w:val="auto"/>
          <w:sz w:val="24"/>
          <w:szCs w:val="24"/>
          <w:highlight w:val="none"/>
        </w:rPr>
        <w:t>2.供应商应根据</w:t>
      </w:r>
      <w:r>
        <w:rPr>
          <w:rFonts w:hint="eastAsia" w:ascii="楷体" w:hAnsi="楷体" w:eastAsia="楷体" w:cs="宋体"/>
          <w:color w:val="auto"/>
          <w:sz w:val="24"/>
          <w:szCs w:val="24"/>
          <w:highlight w:val="none"/>
        </w:rPr>
        <w:t>其参与</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szCs w:val="24"/>
          <w:highlight w:val="none"/>
        </w:rPr>
        <w:t>设备的性能指标，对照谈判文件要求，在“偏离说明”中注明“正偏离”、“负偏离”或者“无偏离”。既不属于“正偏离”也不属于“负偏离”即为“无偏离”。</w:t>
      </w:r>
    </w:p>
    <w:p w14:paraId="2D4F3576">
      <w:pPr>
        <w:pStyle w:val="12"/>
        <w:spacing w:line="360" w:lineRule="auto"/>
        <w:ind w:firstLine="480" w:firstLineChars="200"/>
        <w:contextualSpacing/>
        <w:rPr>
          <w:rFonts w:ascii="楷体" w:hAnsi="楷体" w:eastAsia="楷体" w:cs="宋体"/>
          <w:color w:val="auto"/>
          <w:sz w:val="24"/>
          <w:szCs w:val="24"/>
          <w:highlight w:val="none"/>
        </w:rPr>
      </w:pPr>
      <w:r>
        <w:rPr>
          <w:rFonts w:ascii="楷体" w:hAnsi="楷体" w:eastAsia="楷体" w:cs="宋体"/>
          <w:color w:val="auto"/>
          <w:sz w:val="24"/>
          <w:szCs w:val="24"/>
          <w:highlight w:val="none"/>
        </w:rPr>
        <w:t>3.供应商认为其</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szCs w:val="24"/>
          <w:highlight w:val="none"/>
        </w:rPr>
        <w:t>响应有正偏离的，请在技术偏离表中列明，且在响应文件中提供参与</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szCs w:val="24"/>
          <w:highlight w:val="none"/>
        </w:rPr>
        <w:t>产品的彩页或国家认可有资质的第三方检测机构出具的检测报告复印件或产品生产厂家出具的技术参数说明证明作为佐证，以上佐证材料均需加盖生产厂家或代理商（附生产厂家授权资料）公章。</w:t>
      </w:r>
    </w:p>
    <w:p w14:paraId="7D2CC453">
      <w:pPr>
        <w:pStyle w:val="12"/>
        <w:spacing w:line="360" w:lineRule="auto"/>
        <w:ind w:firstLine="480" w:firstLineChars="200"/>
        <w:contextualSpacing/>
        <w:rPr>
          <w:rFonts w:ascii="楷体" w:hAnsi="楷体" w:eastAsia="楷体" w:cs="宋体"/>
          <w:color w:val="auto"/>
          <w:sz w:val="24"/>
          <w:szCs w:val="24"/>
          <w:highlight w:val="none"/>
        </w:rPr>
      </w:pPr>
      <w:r>
        <w:rPr>
          <w:rFonts w:ascii="楷体" w:hAnsi="楷体" w:eastAsia="楷体" w:cs="宋体"/>
          <w:color w:val="auto"/>
          <w:sz w:val="24"/>
          <w:szCs w:val="24"/>
          <w:highlight w:val="none"/>
        </w:rPr>
        <w:t>4.</w:t>
      </w:r>
      <w:r>
        <w:rPr>
          <w:rFonts w:hint="eastAsia" w:ascii="楷体" w:hAnsi="楷体" w:eastAsia="楷体" w:cs="宋体"/>
          <w:color w:val="auto"/>
          <w:sz w:val="24"/>
          <w:szCs w:val="24"/>
          <w:highlight w:val="none"/>
        </w:rPr>
        <w:t>如技术偏离表中的</w:t>
      </w:r>
      <w:r>
        <w:rPr>
          <w:rFonts w:hint="eastAsia" w:ascii="楷体" w:hAnsi="楷体" w:eastAsia="楷体" w:cs="宋体"/>
          <w:color w:val="auto"/>
          <w:sz w:val="24"/>
          <w:highlight w:val="none"/>
          <w:lang w:bidi="ar"/>
        </w:rPr>
        <w:t>竞争性谈判</w:t>
      </w:r>
      <w:r>
        <w:rPr>
          <w:rFonts w:hint="eastAsia" w:ascii="楷体" w:hAnsi="楷体" w:eastAsia="楷体" w:cs="宋体"/>
          <w:color w:val="auto"/>
          <w:sz w:val="24"/>
          <w:szCs w:val="24"/>
          <w:highlight w:val="none"/>
        </w:rPr>
        <w:t>响应与佐证材料不一致的，以佐证材料为准。</w:t>
      </w:r>
    </w:p>
    <w:p w14:paraId="6A283E5A">
      <w:pPr>
        <w:pStyle w:val="12"/>
        <w:spacing w:line="360" w:lineRule="auto"/>
        <w:ind w:firstLine="0" w:firstLineChars="0"/>
        <w:contextualSpacing/>
        <w:rPr>
          <w:rFonts w:ascii="宋体" w:hAnsi="宋体" w:eastAsia="宋体" w:cs="宋体"/>
          <w:color w:val="auto"/>
          <w:sz w:val="24"/>
          <w:szCs w:val="24"/>
          <w:highlight w:val="none"/>
        </w:rPr>
      </w:pPr>
    </w:p>
    <w:p w14:paraId="289A677C">
      <w:pPr>
        <w:spacing w:line="360" w:lineRule="auto"/>
        <w:contextualSpacing/>
        <w:rPr>
          <w:rFonts w:ascii="宋体" w:hAnsi="宋体" w:cs="宋体"/>
          <w:color w:val="auto"/>
          <w:sz w:val="24"/>
          <w:highlight w:val="none"/>
        </w:rPr>
      </w:pPr>
    </w:p>
    <w:p w14:paraId="5EEEE571">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法定代表人或者委托代理人（签字）：</w:t>
      </w:r>
    </w:p>
    <w:p w14:paraId="22E68D71">
      <w:pPr>
        <w:spacing w:line="360" w:lineRule="auto"/>
        <w:ind w:firstLine="2880" w:firstLineChars="1200"/>
        <w:contextualSpacing/>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19F9EEDC">
      <w:pPr>
        <w:spacing w:line="360" w:lineRule="auto"/>
        <w:ind w:firstLine="2880" w:firstLineChars="1200"/>
        <w:contextualSpacing/>
        <w:rPr>
          <w:rFonts w:ascii="宋体" w:hAnsi="宋体" w:cs="宋体"/>
          <w:color w:val="auto"/>
          <w:sz w:val="32"/>
          <w:szCs w:val="32"/>
          <w:highlight w:val="none"/>
        </w:rPr>
      </w:pPr>
      <w:r>
        <w:rPr>
          <w:rFonts w:hint="eastAsia" w:ascii="宋体" w:hAnsi="宋体" w:cs="宋体"/>
          <w:color w:val="auto"/>
          <w:sz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1E9F3C15">
      <w:pPr>
        <w:spacing w:line="360" w:lineRule="auto"/>
        <w:ind w:firstLine="482" w:firstLineChars="200"/>
        <w:contextualSpacing/>
        <w:rPr>
          <w:rFonts w:ascii="楷体" w:hAnsi="楷体" w:eastAsia="楷体" w:cs="宋体"/>
          <w:color w:val="auto"/>
          <w:sz w:val="24"/>
          <w:highlight w:val="none"/>
        </w:rPr>
      </w:pPr>
      <w:r>
        <w:rPr>
          <w:rFonts w:hint="eastAsia" w:ascii="宋体" w:hAnsi="宋体" w:cs="宋体"/>
          <w:b/>
          <w:bCs/>
          <w:color w:val="auto"/>
          <w:sz w:val="24"/>
          <w:highlight w:val="none"/>
        </w:rPr>
        <w:br w:type="page"/>
      </w:r>
    </w:p>
    <w:p w14:paraId="320048D4">
      <w:pPr>
        <w:spacing w:line="360" w:lineRule="auto"/>
        <w:jc w:val="center"/>
        <w:rPr>
          <w:rFonts w:ascii="宋体" w:hAnsi="宋体" w:cs="宋体"/>
          <w:b/>
          <w:bCs/>
          <w:color w:val="auto"/>
          <w:sz w:val="32"/>
          <w:szCs w:val="32"/>
          <w:highlight w:val="none"/>
        </w:rPr>
      </w:pPr>
      <w:r>
        <w:rPr>
          <w:rFonts w:hint="eastAsia" w:ascii="宋体" w:hAnsi="宋体" w:cs="宋体"/>
          <w:b/>
          <w:color w:val="auto"/>
          <w:sz w:val="44"/>
          <w:szCs w:val="44"/>
          <w:highlight w:val="none"/>
        </w:rPr>
        <w:t>质疑函</w:t>
      </w:r>
      <w:r>
        <w:rPr>
          <w:rFonts w:hint="eastAsia" w:ascii="宋体" w:hAnsi="宋体" w:cs="宋体"/>
          <w:color w:val="auto"/>
          <w:sz w:val="28"/>
          <w:szCs w:val="28"/>
          <w:highlight w:val="none"/>
        </w:rPr>
        <w:t>（格式）</w:t>
      </w:r>
    </w:p>
    <w:p w14:paraId="4ADC0B52">
      <w:pPr>
        <w:spacing w:line="360" w:lineRule="auto"/>
        <w:jc w:val="center"/>
        <w:rPr>
          <w:rFonts w:ascii="宋体" w:hAnsi="宋体" w:cs="宋体"/>
          <w:b/>
          <w:bCs/>
          <w:color w:val="auto"/>
          <w:sz w:val="32"/>
          <w:szCs w:val="32"/>
          <w:highlight w:val="none"/>
        </w:rPr>
      </w:pPr>
    </w:p>
    <w:p w14:paraId="1E23F5A4">
      <w:pPr>
        <w:pStyle w:val="15"/>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35CAEED">
      <w:pPr>
        <w:pStyle w:val="15"/>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1751B48">
      <w:pPr>
        <w:pStyle w:val="15"/>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491C185">
      <w:pPr>
        <w:pStyle w:val="15"/>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8154BD2">
      <w:pPr>
        <w:pStyle w:val="15"/>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2BF134A5">
      <w:pPr>
        <w:pStyle w:val="15"/>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23422EA">
      <w:pPr>
        <w:pStyle w:val="15"/>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070DB48">
      <w:pPr>
        <w:pStyle w:val="15"/>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63C9D5F6">
      <w:pPr>
        <w:pStyle w:val="15"/>
        <w:spacing w:line="360" w:lineRule="auto"/>
        <w:ind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70967F53">
      <w:pPr>
        <w:pStyle w:val="15"/>
        <w:spacing w:line="360" w:lineRule="auto"/>
        <w:ind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6385AEE0">
      <w:pPr>
        <w:pStyle w:val="15"/>
        <w:spacing w:line="360" w:lineRule="auto"/>
        <w:ind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AFAC32B">
      <w:pPr>
        <w:pStyle w:val="15"/>
        <w:spacing w:line="360" w:lineRule="auto"/>
        <w:ind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13C3C561">
      <w:pPr>
        <w:pStyle w:val="15"/>
        <w:spacing w:line="360" w:lineRule="auto"/>
        <w:ind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6538E6B0">
      <w:pPr>
        <w:pStyle w:val="15"/>
        <w:spacing w:line="360" w:lineRule="auto"/>
        <w:ind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3D9D409D">
      <w:pPr>
        <w:pStyle w:val="15"/>
        <w:spacing w:line="360" w:lineRule="auto"/>
        <w:ind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0A05A156">
      <w:pPr>
        <w:pStyle w:val="15"/>
        <w:spacing w:line="360" w:lineRule="auto"/>
        <w:ind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3A5B36FB">
      <w:pPr>
        <w:pStyle w:val="15"/>
        <w:spacing w:line="360" w:lineRule="auto"/>
        <w:ind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44777C2A">
      <w:pPr>
        <w:pStyle w:val="15"/>
        <w:spacing w:line="360" w:lineRule="auto"/>
        <w:ind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62CAF0F6">
      <w:pPr>
        <w:pStyle w:val="15"/>
        <w:spacing w:line="360" w:lineRule="auto"/>
        <w:ind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58F17EBB">
      <w:pPr>
        <w:pStyle w:val="15"/>
        <w:spacing w:line="360" w:lineRule="auto"/>
        <w:ind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699DC9AA">
      <w:pPr>
        <w:pStyle w:val="15"/>
        <w:spacing w:line="360" w:lineRule="auto"/>
        <w:ind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301B3E24">
      <w:pPr>
        <w:pStyle w:val="15"/>
        <w:spacing w:line="360" w:lineRule="auto"/>
        <w:ind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7E9CFBE8">
      <w:pPr>
        <w:pStyle w:val="15"/>
        <w:spacing w:line="360" w:lineRule="auto"/>
        <w:ind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2B7C5158">
      <w:pPr>
        <w:pStyle w:val="15"/>
        <w:spacing w:line="360" w:lineRule="auto"/>
        <w:ind w:firstLine="352" w:firstLineChars="147"/>
        <w:contextualSpacing/>
        <w:rPr>
          <w:rFonts w:hAnsi="宋体" w:cs="宋体"/>
          <w:color w:val="auto"/>
          <w:sz w:val="24"/>
          <w:szCs w:val="24"/>
          <w:highlight w:val="none"/>
        </w:rPr>
      </w:pPr>
    </w:p>
    <w:p w14:paraId="02FA26DC">
      <w:pPr>
        <w:pStyle w:val="15"/>
        <w:spacing w:line="360" w:lineRule="auto"/>
        <w:ind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30F567DD">
      <w:pPr>
        <w:pStyle w:val="15"/>
        <w:spacing w:line="360" w:lineRule="auto"/>
        <w:ind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r>
        <w:rPr>
          <w:rFonts w:hint="eastAsia" w:cs="宋体" w:asciiTheme="minorEastAsia" w:hAnsiTheme="minorEastAsia" w:eastAsiaTheme="minorEastAsia"/>
          <w:color w:val="auto"/>
          <w:spacing w:val="20"/>
          <w:sz w:val="24"/>
          <w:highlight w:val="none"/>
          <w:u w:val="single"/>
        </w:rPr>
        <w:t xml:space="preserve"> </w:t>
      </w:r>
      <w:r>
        <w:rPr>
          <w:rFonts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年</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月</w:t>
      </w:r>
      <w:r>
        <w:rPr>
          <w:rFonts w:hint="eastAsia" w:cs="宋体" w:asciiTheme="minorEastAsia" w:hAnsiTheme="minorEastAsia" w:eastAsiaTheme="minorEastAsia"/>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1B39B264">
      <w:pPr>
        <w:pStyle w:val="15"/>
        <w:spacing w:line="360" w:lineRule="auto"/>
        <w:contextualSpacing/>
        <w:rPr>
          <w:rFonts w:hAnsi="宋体" w:cs="宋体"/>
          <w:b/>
          <w:color w:val="auto"/>
          <w:sz w:val="24"/>
          <w:szCs w:val="24"/>
          <w:highlight w:val="none"/>
        </w:rPr>
      </w:pPr>
    </w:p>
    <w:p w14:paraId="2D5B8B8B">
      <w:pPr>
        <w:pStyle w:val="15"/>
        <w:spacing w:line="360" w:lineRule="auto"/>
        <w:contextualSpacing/>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6A9B7BF1">
      <w:pPr>
        <w:pStyle w:val="15"/>
        <w:spacing w:line="360" w:lineRule="auto"/>
        <w:ind w:firstLine="354" w:firstLineChars="147"/>
        <w:contextualSpacing/>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14:paraId="047A6875">
      <w:pPr>
        <w:pStyle w:val="15"/>
        <w:spacing w:line="360" w:lineRule="auto"/>
        <w:ind w:firstLine="354" w:firstLineChars="147"/>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9F2FEF2">
      <w:pPr>
        <w:pStyle w:val="15"/>
        <w:spacing w:line="360" w:lineRule="auto"/>
        <w:ind w:firstLine="354" w:firstLineChars="147"/>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14:paraId="62021702">
      <w:pPr>
        <w:pStyle w:val="15"/>
        <w:spacing w:line="360" w:lineRule="auto"/>
        <w:ind w:firstLine="354" w:firstLineChars="147"/>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14:paraId="7A10BBED">
      <w:pPr>
        <w:pStyle w:val="15"/>
        <w:spacing w:line="360" w:lineRule="auto"/>
        <w:ind w:firstLine="354" w:firstLineChars="147"/>
        <w:contextualSpacing/>
        <w:rPr>
          <w:rFonts w:ascii="楷体" w:hAnsi="楷体" w:eastAsia="楷体" w:cs="宋体"/>
          <w:b/>
          <w:color w:val="auto"/>
          <w:highlight w:val="none"/>
        </w:rPr>
      </w:pPr>
      <w:r>
        <w:rPr>
          <w:rFonts w:ascii="楷体" w:hAnsi="楷体" w:eastAsia="楷体" w:cs="宋体"/>
          <w:b/>
          <w:color w:val="auto"/>
          <w:sz w:val="24"/>
          <w:szCs w:val="24"/>
          <w:highlight w:val="none"/>
        </w:rPr>
        <w:t>5.质疑供应商为法人或者其他组织的，质疑函应由法定代表人、主要负责人，或者其授权代表签字或者盖章，并加盖公章。</w:t>
      </w:r>
    </w:p>
    <w:p w14:paraId="5203E992">
      <w:pPr>
        <w:pStyle w:val="15"/>
        <w:snapToGrid w:val="0"/>
        <w:spacing w:line="360" w:lineRule="auto"/>
        <w:rPr>
          <w:rFonts w:hAnsi="宋体" w:cs="宋体"/>
          <w:b/>
          <w:color w:val="auto"/>
          <w:sz w:val="24"/>
          <w:szCs w:val="24"/>
          <w:highlight w:val="none"/>
        </w:rPr>
      </w:pPr>
    </w:p>
    <w:p w14:paraId="2666EC97">
      <w:pPr>
        <w:spacing w:line="360" w:lineRule="auto"/>
        <w:rPr>
          <w:rFonts w:ascii="宋体" w:hAnsi="宋体" w:cs="宋体"/>
          <w:color w:val="auto"/>
          <w:highlight w:val="none"/>
        </w:rPr>
      </w:pPr>
      <w:r>
        <w:rPr>
          <w:rFonts w:hint="eastAsia" w:ascii="宋体" w:hAnsi="宋体" w:cs="宋体"/>
          <w:color w:val="auto"/>
          <w:highlight w:val="none"/>
        </w:rPr>
        <w:br w:type="page"/>
      </w:r>
    </w:p>
    <w:p w14:paraId="36BEFFB3">
      <w:pPr>
        <w:pStyle w:val="3"/>
        <w:bidi w:val="0"/>
        <w:jc w:val="center"/>
        <w:rPr>
          <w:rFonts w:hint="eastAsia"/>
          <w:color w:val="auto"/>
          <w:highlight w:val="none"/>
        </w:rPr>
      </w:pPr>
      <w:bookmarkStart w:id="30" w:name="_Toc31409"/>
    </w:p>
    <w:p w14:paraId="06BB0C77">
      <w:pPr>
        <w:pStyle w:val="3"/>
        <w:bidi w:val="0"/>
        <w:jc w:val="center"/>
        <w:rPr>
          <w:rFonts w:hint="eastAsia"/>
          <w:color w:val="auto"/>
          <w:highlight w:val="none"/>
        </w:rPr>
      </w:pPr>
    </w:p>
    <w:p w14:paraId="5F1B9E07">
      <w:pPr>
        <w:pStyle w:val="3"/>
        <w:bidi w:val="0"/>
        <w:jc w:val="center"/>
        <w:rPr>
          <w:rFonts w:hint="eastAsia"/>
          <w:color w:val="auto"/>
          <w:highlight w:val="none"/>
        </w:rPr>
      </w:pPr>
    </w:p>
    <w:p w14:paraId="1906B5C3">
      <w:pPr>
        <w:pStyle w:val="3"/>
        <w:bidi w:val="0"/>
        <w:jc w:val="center"/>
        <w:rPr>
          <w:rFonts w:hint="eastAsia"/>
          <w:color w:val="auto"/>
          <w:highlight w:val="none"/>
        </w:rPr>
      </w:pPr>
    </w:p>
    <w:p w14:paraId="3A44ED6B">
      <w:pPr>
        <w:pStyle w:val="3"/>
        <w:bidi w:val="0"/>
        <w:jc w:val="center"/>
        <w:rPr>
          <w:rFonts w:hint="eastAsia"/>
          <w:color w:val="auto"/>
          <w:highlight w:val="none"/>
        </w:rPr>
      </w:pPr>
    </w:p>
    <w:p w14:paraId="2B08AA0F">
      <w:pPr>
        <w:pStyle w:val="3"/>
        <w:bidi w:val="0"/>
        <w:jc w:val="center"/>
        <w:rPr>
          <w:color w:val="auto"/>
          <w:highlight w:val="none"/>
        </w:rPr>
      </w:pPr>
      <w:r>
        <w:rPr>
          <w:rFonts w:hint="eastAsia"/>
          <w:color w:val="auto"/>
          <w:highlight w:val="none"/>
        </w:rPr>
        <w:t>第六章 合同文本</w:t>
      </w:r>
      <w:bookmarkEnd w:id="30"/>
    </w:p>
    <w:p w14:paraId="23C1ED47">
      <w:pPr>
        <w:spacing w:line="440" w:lineRule="exact"/>
        <w:rPr>
          <w:rFonts w:hint="eastAsia" w:ascii="宋体" w:hAnsi="宋体" w:cs="宋体"/>
          <w:color w:val="auto"/>
          <w:sz w:val="24"/>
          <w:highlight w:val="none"/>
        </w:rPr>
        <w:sectPr>
          <w:pgSz w:w="11905" w:h="16838"/>
          <w:pgMar w:top="1417" w:right="1417" w:bottom="1417" w:left="1417" w:header="850" w:footer="992" w:gutter="0"/>
          <w:pgNumType w:fmt="decimal"/>
          <w:cols w:space="720" w:num="1"/>
          <w:titlePg/>
          <w:docGrid w:type="lines" w:linePitch="318" w:charSpace="0"/>
        </w:sectPr>
      </w:pPr>
    </w:p>
    <w:p w14:paraId="74ACC7DA">
      <w:pPr>
        <w:spacing w:line="600" w:lineRule="exact"/>
        <w:rPr>
          <w:rFonts w:hint="eastAsia" w:ascii="宋体" w:hAnsi="宋体" w:cs="宋体"/>
          <w:color w:val="auto"/>
          <w:sz w:val="28"/>
          <w:szCs w:val="28"/>
        </w:rPr>
      </w:pPr>
      <w:r>
        <w:rPr>
          <w:rFonts w:hint="eastAsia" w:ascii="宋体" w:hAnsi="宋体" w:cs="宋体"/>
          <w:color w:val="auto"/>
          <w:sz w:val="28"/>
          <w:szCs w:val="28"/>
        </w:rPr>
        <w:t>合同编号：</w:t>
      </w:r>
      <w:r>
        <w:rPr>
          <w:rFonts w:hint="eastAsia" w:ascii="宋体" w:hAnsi="宋体" w:cs="宋体"/>
          <w:color w:val="auto"/>
          <w:kern w:val="0"/>
          <w:sz w:val="28"/>
          <w:szCs w:val="28"/>
        </w:rPr>
        <w:t xml:space="preserve">            </w:t>
      </w:r>
    </w:p>
    <w:p w14:paraId="2F41FFD6">
      <w:pPr>
        <w:spacing w:line="600" w:lineRule="exact"/>
        <w:rPr>
          <w:rFonts w:hint="eastAsia" w:ascii="宋体" w:hAnsi="宋体" w:cs="宋体"/>
          <w:color w:val="auto"/>
          <w:sz w:val="28"/>
          <w:szCs w:val="28"/>
        </w:rPr>
      </w:pPr>
    </w:p>
    <w:p w14:paraId="01B6BD30">
      <w:pPr>
        <w:spacing w:line="600" w:lineRule="exact"/>
        <w:jc w:val="center"/>
        <w:rPr>
          <w:rFonts w:hint="eastAsia" w:ascii="宋体" w:hAnsi="宋体" w:cs="宋体"/>
          <w:color w:val="auto"/>
          <w:kern w:val="0"/>
          <w:sz w:val="44"/>
          <w:szCs w:val="44"/>
        </w:rPr>
      </w:pPr>
      <w:bookmarkStart w:id="32" w:name="_GoBack"/>
      <w:bookmarkEnd w:id="32"/>
      <w:r>
        <w:rPr>
          <w:rFonts w:hint="eastAsia" w:ascii="宋体" w:hAnsi="宋体" w:cs="宋体"/>
          <w:color w:val="auto"/>
          <w:kern w:val="0"/>
          <w:sz w:val="44"/>
          <w:szCs w:val="44"/>
        </w:rPr>
        <w:t>采购</w:t>
      </w:r>
      <w:r>
        <w:rPr>
          <w:rFonts w:hint="eastAsia" w:ascii="宋体" w:hAnsi="宋体" w:cs="宋体"/>
          <w:color w:val="auto"/>
          <w:kern w:val="0"/>
          <w:sz w:val="44"/>
          <w:szCs w:val="44"/>
          <w:lang w:eastAsia="zh-CN"/>
        </w:rPr>
        <w:t>货物</w:t>
      </w:r>
      <w:r>
        <w:rPr>
          <w:rFonts w:hint="eastAsia" w:ascii="宋体" w:hAnsi="宋体" w:cs="宋体"/>
          <w:color w:val="auto"/>
          <w:kern w:val="0"/>
          <w:sz w:val="44"/>
          <w:szCs w:val="44"/>
        </w:rPr>
        <w:t>合同</w:t>
      </w:r>
    </w:p>
    <w:p w14:paraId="2D1DF282">
      <w:pPr>
        <w:spacing w:line="600" w:lineRule="exact"/>
        <w:rPr>
          <w:rFonts w:hint="eastAsia" w:ascii="宋体" w:hAnsi="宋体" w:cs="宋体"/>
          <w:color w:val="auto"/>
          <w:kern w:val="0"/>
          <w:sz w:val="28"/>
          <w:szCs w:val="28"/>
        </w:rPr>
      </w:pPr>
    </w:p>
    <w:p w14:paraId="502F19CC">
      <w:pPr>
        <w:spacing w:line="600" w:lineRule="exact"/>
        <w:rPr>
          <w:rFonts w:hint="eastAsia" w:ascii="宋体" w:hAnsi="宋体" w:cs="宋体"/>
          <w:color w:val="auto"/>
          <w:kern w:val="0"/>
          <w:sz w:val="28"/>
          <w:szCs w:val="28"/>
        </w:rPr>
      </w:pPr>
      <w:r>
        <w:rPr>
          <w:rFonts w:hint="eastAsia" w:ascii="宋体" w:hAnsi="宋体" w:cs="宋体"/>
          <w:color w:val="auto"/>
          <w:sz w:val="28"/>
          <w:szCs w:val="28"/>
        </w:rPr>
        <w:t xml:space="preserve">                                           </w:t>
      </w:r>
    </w:p>
    <w:p w14:paraId="43893A47">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项目名称：</w:t>
      </w:r>
      <w:r>
        <w:rPr>
          <w:rFonts w:hint="eastAsia" w:ascii="宋体" w:hAnsi="宋体" w:cs="宋体"/>
          <w:color w:val="auto"/>
          <w:sz w:val="28"/>
          <w:szCs w:val="28"/>
          <w:u w:val="single"/>
        </w:rPr>
        <w:t xml:space="preserve">                                              </w:t>
      </w:r>
    </w:p>
    <w:p w14:paraId="6AC773F4">
      <w:pPr>
        <w:spacing w:line="600" w:lineRule="exact"/>
        <w:rPr>
          <w:rFonts w:hint="eastAsia" w:ascii="宋体" w:hAnsi="宋体" w:cs="宋体"/>
          <w:color w:val="auto"/>
          <w:kern w:val="0"/>
          <w:sz w:val="28"/>
          <w:szCs w:val="28"/>
          <w:u w:val="single"/>
        </w:rPr>
      </w:pPr>
      <w:r>
        <w:rPr>
          <w:rFonts w:hint="eastAsia" w:ascii="宋体" w:hAnsi="宋体" w:cs="宋体"/>
          <w:color w:val="auto"/>
          <w:kern w:val="0"/>
          <w:sz w:val="28"/>
          <w:szCs w:val="28"/>
        </w:rPr>
        <w:t>项目编号：</w:t>
      </w:r>
      <w:r>
        <w:rPr>
          <w:rFonts w:hint="eastAsia" w:ascii="宋体" w:hAnsi="宋体" w:cs="宋体"/>
          <w:color w:val="auto"/>
          <w:kern w:val="0"/>
          <w:sz w:val="28"/>
          <w:szCs w:val="28"/>
          <w:u w:val="single"/>
        </w:rPr>
        <w:t xml:space="preserve"> </w:t>
      </w:r>
      <w:r>
        <w:rPr>
          <w:rFonts w:hint="eastAsia" w:ascii="宋体" w:hAnsi="宋体" w:cs="宋体"/>
          <w:color w:val="auto"/>
          <w:sz w:val="28"/>
          <w:szCs w:val="28"/>
          <w:u w:val="single"/>
        </w:rPr>
        <w:t xml:space="preserve">                                             </w:t>
      </w:r>
    </w:p>
    <w:p w14:paraId="0AD4E4A2">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签订地点：</w:t>
      </w:r>
      <w:r>
        <w:rPr>
          <w:rFonts w:hint="eastAsia" w:ascii="宋体" w:hAnsi="宋体" w:cs="宋体"/>
          <w:color w:val="auto"/>
          <w:sz w:val="28"/>
          <w:szCs w:val="28"/>
          <w:u w:val="single"/>
        </w:rPr>
        <w:t xml:space="preserve">                                              </w:t>
      </w:r>
    </w:p>
    <w:p w14:paraId="3F220453">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签订时间：</w:t>
      </w:r>
      <w:r>
        <w:rPr>
          <w:rFonts w:hint="eastAsia" w:ascii="宋体" w:hAnsi="宋体" w:cs="宋体"/>
          <w:color w:val="auto"/>
          <w:sz w:val="28"/>
          <w:szCs w:val="28"/>
          <w:u w:val="single"/>
        </w:rPr>
        <w:t xml:space="preserve">                                              </w:t>
      </w:r>
    </w:p>
    <w:p w14:paraId="565DFE39">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甲方（采购人）：</w:t>
      </w:r>
      <w:r>
        <w:rPr>
          <w:rFonts w:hint="eastAsia" w:ascii="宋体" w:hAnsi="宋体" w:cs="宋体"/>
          <w:color w:val="auto"/>
          <w:kern w:val="0"/>
          <w:sz w:val="28"/>
          <w:szCs w:val="28"/>
          <w:u w:val="single"/>
        </w:rPr>
        <w:t xml:space="preserve">                                        </w:t>
      </w:r>
    </w:p>
    <w:p w14:paraId="48C127EF">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住所地：</w:t>
      </w:r>
      <w:r>
        <w:rPr>
          <w:rFonts w:hint="eastAsia" w:ascii="宋体" w:hAnsi="宋体" w:cs="宋体"/>
          <w:color w:val="auto"/>
          <w:kern w:val="0"/>
          <w:sz w:val="28"/>
          <w:szCs w:val="28"/>
          <w:u w:val="single"/>
        </w:rPr>
        <w:t xml:space="preserve">                                                </w:t>
      </w:r>
    </w:p>
    <w:p w14:paraId="77200175">
      <w:pPr>
        <w:spacing w:line="600" w:lineRule="exact"/>
        <w:rPr>
          <w:rFonts w:hint="eastAsia" w:ascii="宋体" w:hAnsi="宋体" w:cs="宋体"/>
          <w:color w:val="auto"/>
          <w:kern w:val="0"/>
          <w:sz w:val="28"/>
          <w:szCs w:val="28"/>
          <w:u w:val="single"/>
        </w:rPr>
      </w:pPr>
      <w:r>
        <w:rPr>
          <w:rFonts w:hint="eastAsia" w:ascii="宋体" w:hAnsi="宋体" w:cs="宋体"/>
          <w:color w:val="auto"/>
          <w:kern w:val="0"/>
          <w:sz w:val="28"/>
          <w:szCs w:val="28"/>
        </w:rPr>
        <w:t>法定代表人：</w:t>
      </w:r>
      <w:r>
        <w:rPr>
          <w:rFonts w:hint="eastAsia" w:ascii="宋体" w:hAnsi="宋体" w:cs="宋体"/>
          <w:color w:val="auto"/>
          <w:kern w:val="0"/>
          <w:sz w:val="28"/>
          <w:szCs w:val="28"/>
          <w:u w:val="single"/>
        </w:rPr>
        <w:t xml:space="preserve">                                            </w:t>
      </w:r>
    </w:p>
    <w:p w14:paraId="0CF3343E">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通讯地址：</w:t>
      </w:r>
      <w:r>
        <w:rPr>
          <w:rFonts w:hint="eastAsia" w:ascii="宋体" w:hAnsi="宋体" w:cs="宋体"/>
          <w:color w:val="auto"/>
          <w:kern w:val="0"/>
          <w:sz w:val="28"/>
          <w:szCs w:val="28"/>
          <w:u w:val="single"/>
        </w:rPr>
        <w:t xml:space="preserve">                                              </w:t>
      </w:r>
    </w:p>
    <w:p w14:paraId="6BB3A8F9">
      <w:pPr>
        <w:spacing w:line="600" w:lineRule="exact"/>
        <w:rPr>
          <w:rFonts w:hint="eastAsia" w:ascii="宋体" w:hAnsi="宋体" w:cs="宋体"/>
          <w:color w:val="auto"/>
          <w:kern w:val="0"/>
          <w:sz w:val="28"/>
          <w:szCs w:val="28"/>
          <w:u w:val="single"/>
        </w:rPr>
      </w:pPr>
      <w:r>
        <w:rPr>
          <w:rFonts w:hint="eastAsia" w:ascii="宋体" w:hAnsi="宋体" w:cs="宋体"/>
          <w:color w:val="auto"/>
          <w:kern w:val="0"/>
          <w:sz w:val="28"/>
          <w:szCs w:val="28"/>
        </w:rPr>
        <w:t>联系电话：</w:t>
      </w:r>
      <w:r>
        <w:rPr>
          <w:rFonts w:hint="eastAsia" w:ascii="宋体" w:hAnsi="宋体" w:cs="宋体"/>
          <w:color w:val="auto"/>
          <w:kern w:val="0"/>
          <w:sz w:val="28"/>
          <w:szCs w:val="28"/>
          <w:u w:val="single"/>
        </w:rPr>
        <w:t xml:space="preserve">                                              </w:t>
      </w:r>
    </w:p>
    <w:p w14:paraId="294D0253">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电子邮箱：</w:t>
      </w:r>
      <w:r>
        <w:rPr>
          <w:rFonts w:hint="eastAsia" w:ascii="宋体" w:hAnsi="宋体" w:cs="宋体"/>
          <w:color w:val="auto"/>
          <w:kern w:val="0"/>
          <w:sz w:val="28"/>
          <w:szCs w:val="28"/>
          <w:u w:val="single"/>
        </w:rPr>
        <w:t xml:space="preserve">                                              </w:t>
      </w:r>
    </w:p>
    <w:p w14:paraId="4B462806">
      <w:pPr>
        <w:spacing w:line="600" w:lineRule="exact"/>
        <w:rPr>
          <w:rFonts w:hint="eastAsia" w:ascii="宋体" w:hAnsi="宋体" w:cs="宋体"/>
          <w:color w:val="auto"/>
          <w:kern w:val="0"/>
          <w:sz w:val="28"/>
          <w:szCs w:val="28"/>
          <w:u w:val="single"/>
        </w:rPr>
      </w:pPr>
      <w:r>
        <w:rPr>
          <w:rFonts w:hint="eastAsia" w:ascii="宋体" w:hAnsi="宋体" w:cs="宋体"/>
          <w:color w:val="auto"/>
          <w:kern w:val="0"/>
          <w:sz w:val="28"/>
          <w:szCs w:val="28"/>
        </w:rPr>
        <w:t>乙方（供应商）：</w:t>
      </w:r>
      <w:r>
        <w:rPr>
          <w:rFonts w:hint="eastAsia" w:ascii="宋体" w:hAnsi="宋体" w:cs="宋体"/>
          <w:color w:val="auto"/>
          <w:kern w:val="0"/>
          <w:sz w:val="28"/>
          <w:szCs w:val="28"/>
          <w:u w:val="single"/>
        </w:rPr>
        <w:t xml:space="preserve">                                        </w:t>
      </w:r>
    </w:p>
    <w:p w14:paraId="1FC43BA2">
      <w:pPr>
        <w:spacing w:line="600" w:lineRule="exact"/>
        <w:rPr>
          <w:rFonts w:hint="eastAsia" w:ascii="宋体" w:hAnsi="宋体" w:cs="宋体"/>
          <w:color w:val="auto"/>
          <w:kern w:val="0"/>
          <w:sz w:val="28"/>
          <w:szCs w:val="28"/>
          <w:u w:val="single"/>
        </w:rPr>
      </w:pPr>
      <w:r>
        <w:rPr>
          <w:rFonts w:hint="eastAsia" w:ascii="宋体" w:hAnsi="宋体" w:cs="宋体"/>
          <w:color w:val="auto"/>
          <w:kern w:val="0"/>
          <w:sz w:val="28"/>
          <w:szCs w:val="28"/>
        </w:rPr>
        <w:t>住所地：</w:t>
      </w:r>
      <w:r>
        <w:rPr>
          <w:rFonts w:hint="eastAsia" w:ascii="宋体" w:hAnsi="宋体" w:cs="宋体"/>
          <w:color w:val="auto"/>
          <w:kern w:val="0"/>
          <w:sz w:val="28"/>
          <w:szCs w:val="28"/>
          <w:u w:val="single"/>
        </w:rPr>
        <w:t xml:space="preserve">                                                </w:t>
      </w:r>
    </w:p>
    <w:p w14:paraId="70DFCE7E">
      <w:pPr>
        <w:spacing w:line="600" w:lineRule="exact"/>
        <w:rPr>
          <w:rFonts w:hint="eastAsia" w:ascii="宋体" w:hAnsi="宋体" w:cs="宋体"/>
          <w:color w:val="auto"/>
          <w:kern w:val="0"/>
          <w:sz w:val="28"/>
          <w:szCs w:val="28"/>
          <w:u w:val="single"/>
        </w:rPr>
      </w:pPr>
      <w:r>
        <w:rPr>
          <w:rFonts w:hint="eastAsia" w:ascii="宋体" w:hAnsi="宋体" w:cs="宋体"/>
          <w:color w:val="auto"/>
          <w:kern w:val="0"/>
          <w:sz w:val="28"/>
          <w:szCs w:val="28"/>
        </w:rPr>
        <w:t>法定代表人：</w:t>
      </w:r>
      <w:r>
        <w:rPr>
          <w:rFonts w:hint="eastAsia" w:ascii="宋体" w:hAnsi="宋体" w:cs="宋体"/>
          <w:color w:val="auto"/>
          <w:kern w:val="0"/>
          <w:sz w:val="28"/>
          <w:szCs w:val="28"/>
          <w:u w:val="single"/>
        </w:rPr>
        <w:t xml:space="preserve">                                            </w:t>
      </w:r>
    </w:p>
    <w:p w14:paraId="40084B9D">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通讯地址：</w:t>
      </w:r>
      <w:r>
        <w:rPr>
          <w:rFonts w:hint="eastAsia" w:ascii="宋体" w:hAnsi="宋体" w:cs="宋体"/>
          <w:color w:val="auto"/>
          <w:kern w:val="0"/>
          <w:sz w:val="28"/>
          <w:szCs w:val="28"/>
          <w:u w:val="single"/>
        </w:rPr>
        <w:t xml:space="preserve">                                              </w:t>
      </w:r>
    </w:p>
    <w:p w14:paraId="41A0FE1A">
      <w:pPr>
        <w:spacing w:line="600" w:lineRule="exact"/>
        <w:rPr>
          <w:rFonts w:hint="eastAsia" w:ascii="宋体" w:hAnsi="宋体" w:cs="宋体"/>
          <w:color w:val="auto"/>
          <w:kern w:val="0"/>
          <w:sz w:val="28"/>
          <w:szCs w:val="28"/>
        </w:rPr>
      </w:pPr>
      <w:r>
        <w:rPr>
          <w:rFonts w:hint="eastAsia" w:ascii="宋体" w:hAnsi="宋体" w:cs="宋体"/>
          <w:color w:val="auto"/>
          <w:kern w:val="0"/>
          <w:sz w:val="28"/>
          <w:szCs w:val="28"/>
        </w:rPr>
        <w:t>联系电话：</w:t>
      </w:r>
      <w:r>
        <w:rPr>
          <w:rFonts w:hint="eastAsia" w:ascii="宋体" w:hAnsi="宋体" w:cs="宋体"/>
          <w:color w:val="auto"/>
          <w:kern w:val="0"/>
          <w:sz w:val="28"/>
          <w:szCs w:val="28"/>
          <w:u w:val="single"/>
        </w:rPr>
        <w:t xml:space="preserve">                                              </w:t>
      </w:r>
    </w:p>
    <w:p w14:paraId="593F4DA2">
      <w:pPr>
        <w:spacing w:line="600" w:lineRule="exact"/>
        <w:rPr>
          <w:rFonts w:hint="eastAsia" w:ascii="宋体" w:hAnsi="宋体" w:cs="宋体"/>
          <w:color w:val="auto"/>
          <w:kern w:val="0"/>
          <w:szCs w:val="21"/>
          <w:u w:val="single"/>
        </w:rPr>
      </w:pPr>
      <w:r>
        <w:rPr>
          <w:rFonts w:hint="eastAsia" w:ascii="宋体" w:hAnsi="宋体" w:cs="宋体"/>
          <w:color w:val="auto"/>
          <w:kern w:val="0"/>
          <w:sz w:val="28"/>
          <w:szCs w:val="28"/>
        </w:rPr>
        <w:t>电子邮箱：</w:t>
      </w:r>
      <w:r>
        <w:rPr>
          <w:rFonts w:hint="eastAsia" w:ascii="宋体" w:hAnsi="宋体" w:cs="宋体"/>
          <w:color w:val="auto"/>
          <w:kern w:val="0"/>
          <w:sz w:val="28"/>
          <w:szCs w:val="28"/>
          <w:u w:val="single"/>
        </w:rPr>
        <w:t xml:space="preserve">                   </w:t>
      </w:r>
      <w:r>
        <w:rPr>
          <w:rFonts w:hint="eastAsia" w:ascii="宋体" w:hAnsi="宋体" w:cs="宋体"/>
          <w:color w:val="auto"/>
          <w:kern w:val="0"/>
          <w:szCs w:val="21"/>
          <w:u w:val="single"/>
        </w:rPr>
        <w:t xml:space="preserve">                           </w:t>
      </w:r>
    </w:p>
    <w:p w14:paraId="779B47A9">
      <w:pPr>
        <w:spacing w:line="600" w:lineRule="exact"/>
        <w:jc w:val="left"/>
        <w:rPr>
          <w:rFonts w:hint="eastAsia" w:ascii="宋体" w:hAnsi="宋体" w:cs="宋体"/>
          <w:color w:val="auto"/>
          <w:szCs w:val="21"/>
        </w:rPr>
        <w:sectPr>
          <w:pgSz w:w="11906" w:h="16838"/>
          <w:pgMar w:top="1435" w:right="1435" w:bottom="1435" w:left="1435" w:header="851" w:footer="992" w:gutter="0"/>
          <w:pgNumType w:fmt="decimal"/>
          <w:cols w:space="720" w:num="1"/>
          <w:docGrid w:type="lines" w:linePitch="312" w:charSpace="0"/>
        </w:sectPr>
      </w:pPr>
    </w:p>
    <w:p w14:paraId="1CA436F2">
      <w:pPr>
        <w:spacing w:line="440" w:lineRule="exact"/>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lang w:val="en-US" w:eastAsia="zh-CN"/>
        </w:rPr>
        <w:t>广西壮族自治区来宾生态环境监测中心应急监测车购置项目</w:t>
      </w:r>
    </w:p>
    <w:p w14:paraId="6D5AE263">
      <w:pPr>
        <w:spacing w:line="440" w:lineRule="exac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合同编号：</w:t>
      </w:r>
    </w:p>
    <w:p w14:paraId="4B16E274">
      <w:pPr>
        <w:spacing w:line="440" w:lineRule="exact"/>
        <w:rPr>
          <w:rFonts w:ascii="宋体" w:hAnsi="宋体" w:cs="宋体"/>
          <w:color w:val="auto"/>
          <w:sz w:val="24"/>
          <w:highlight w:val="none"/>
        </w:rPr>
      </w:pPr>
      <w:r>
        <w:rPr>
          <w:rFonts w:hint="eastAsia" w:ascii="宋体" w:hAnsi="宋体" w:cs="宋体"/>
          <w:color w:val="auto"/>
          <w:sz w:val="24"/>
          <w:highlight w:val="none"/>
        </w:rPr>
        <w:t>采购人（甲方）：</w:t>
      </w:r>
      <w:r>
        <w:rPr>
          <w:rFonts w:hint="eastAsia" w:ascii="宋体" w:hAnsi="宋体" w:cs="宋体"/>
          <w:color w:val="auto"/>
          <w:sz w:val="24"/>
          <w:highlight w:val="none"/>
          <w:lang w:eastAsia="zh-CN"/>
        </w:rPr>
        <w:t>广西壮族自治区来宾生态环境监测中心</w:t>
      </w:r>
      <w:r>
        <w:rPr>
          <w:rFonts w:hint="eastAsia" w:ascii="宋体" w:hAnsi="宋体" w:cs="宋体"/>
          <w:color w:val="auto"/>
          <w:sz w:val="24"/>
          <w:highlight w:val="none"/>
        </w:rPr>
        <w:t xml:space="preserve">                      </w:t>
      </w:r>
    </w:p>
    <w:p w14:paraId="7FC13AD0">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供应商（乙方）：   </w:t>
      </w:r>
    </w:p>
    <w:p w14:paraId="486FD44B">
      <w:pPr>
        <w:spacing w:line="440" w:lineRule="exact"/>
        <w:rPr>
          <w:rFonts w:ascii="宋体" w:hAnsi="宋体" w:cs="宋体"/>
          <w:color w:val="auto"/>
          <w:sz w:val="24"/>
          <w:highlight w:val="none"/>
        </w:rPr>
      </w:pPr>
      <w:r>
        <w:rPr>
          <w:rFonts w:hint="eastAsia" w:ascii="宋体" w:hAnsi="宋体" w:cs="宋体"/>
          <w:color w:val="auto"/>
          <w:sz w:val="24"/>
          <w:highlight w:val="none"/>
        </w:rPr>
        <w:t>签订地点：</w:t>
      </w:r>
      <w:r>
        <w:rPr>
          <w:rFonts w:hint="eastAsia" w:ascii="宋体" w:hAnsi="宋体" w:cs="宋体"/>
          <w:color w:val="auto"/>
          <w:sz w:val="24"/>
          <w:highlight w:val="none"/>
          <w:u w:val="single"/>
          <w:lang w:val="en-US" w:eastAsia="zh-CN"/>
        </w:rPr>
        <w:t>采购人指定地点</w:t>
      </w:r>
      <w:r>
        <w:rPr>
          <w:rFonts w:hint="eastAsia" w:ascii="宋体" w:hAnsi="宋体" w:cs="宋体"/>
          <w:color w:val="auto"/>
          <w:sz w:val="24"/>
          <w:highlight w:val="none"/>
        </w:rPr>
        <w:t xml:space="preserve"> </w:t>
      </w:r>
    </w:p>
    <w:p w14:paraId="0E87682B">
      <w:pPr>
        <w:snapToGrid w:val="0"/>
        <w:spacing w:line="360" w:lineRule="auto"/>
        <w:ind w:firstLine="480" w:firstLineChars="200"/>
        <w:rPr>
          <w:rFonts w:ascii="宋体" w:hAnsi="宋体" w:cs="宋体"/>
          <w:color w:val="auto"/>
          <w:sz w:val="24"/>
          <w:highlight w:val="none"/>
        </w:rPr>
      </w:pPr>
      <w:bookmarkStart w:id="31" w:name="_Hlk55381736"/>
    </w:p>
    <w:p w14:paraId="2834DE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根据《中华人民共和国政府采购法》《中华人民共和国民法典》等法律、法规规定，按照采购文件规定条款和</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及承诺，甲乙双方签订本合同。</w:t>
      </w:r>
    </w:p>
    <w:p w14:paraId="6C4700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第一条　合同标的</w:t>
      </w:r>
    </w:p>
    <w:p w14:paraId="0D7224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供货一览表</w:t>
      </w:r>
    </w:p>
    <w:tbl>
      <w:tblPr>
        <w:tblStyle w:val="27"/>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500"/>
        <w:gridCol w:w="1636"/>
        <w:gridCol w:w="1023"/>
        <w:gridCol w:w="1391"/>
        <w:gridCol w:w="627"/>
        <w:gridCol w:w="559"/>
        <w:gridCol w:w="1146"/>
        <w:gridCol w:w="1091"/>
      </w:tblGrid>
      <w:tr w14:paraId="5320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17" w:type="dxa"/>
            <w:noWrap w:val="0"/>
            <w:vAlign w:val="center"/>
          </w:tcPr>
          <w:p w14:paraId="666199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00" w:type="dxa"/>
            <w:noWrap w:val="0"/>
            <w:vAlign w:val="center"/>
          </w:tcPr>
          <w:p w14:paraId="06EBB3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产品名称</w:t>
            </w:r>
          </w:p>
        </w:tc>
        <w:tc>
          <w:tcPr>
            <w:tcW w:w="1636" w:type="dxa"/>
            <w:noWrap w:val="0"/>
            <w:vAlign w:val="center"/>
          </w:tcPr>
          <w:p w14:paraId="0CC83C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商标品牌</w:t>
            </w:r>
          </w:p>
        </w:tc>
        <w:tc>
          <w:tcPr>
            <w:tcW w:w="1023" w:type="dxa"/>
            <w:noWrap w:val="0"/>
            <w:vAlign w:val="center"/>
          </w:tcPr>
          <w:p w14:paraId="4C4208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1391" w:type="dxa"/>
            <w:noWrap w:val="0"/>
            <w:vAlign w:val="center"/>
          </w:tcPr>
          <w:p w14:paraId="787B91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pacing w:val="-17"/>
                <w:sz w:val="24"/>
                <w:szCs w:val="24"/>
              </w:rPr>
              <w:t>生产厂家</w:t>
            </w:r>
          </w:p>
        </w:tc>
        <w:tc>
          <w:tcPr>
            <w:tcW w:w="627" w:type="dxa"/>
            <w:noWrap w:val="0"/>
            <w:vAlign w:val="center"/>
          </w:tcPr>
          <w:p w14:paraId="445B13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59" w:type="dxa"/>
            <w:noWrap w:val="0"/>
            <w:vAlign w:val="center"/>
          </w:tcPr>
          <w:p w14:paraId="0CD249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146" w:type="dxa"/>
            <w:noWrap w:val="0"/>
            <w:vAlign w:val="center"/>
          </w:tcPr>
          <w:p w14:paraId="3C89FC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w:t>
            </w:r>
            <w:r>
              <w:rPr>
                <w:rFonts w:hint="eastAsia" w:ascii="宋体" w:hAnsi="宋体" w:eastAsia="宋体" w:cs="宋体"/>
                <w:color w:val="auto"/>
                <w:sz w:val="24"/>
                <w:szCs w:val="24"/>
                <w:lang w:val="en"/>
              </w:rPr>
              <w:t xml:space="preserve"> </w:t>
            </w:r>
            <w:r>
              <w:rPr>
                <w:rFonts w:hint="eastAsia" w:ascii="宋体" w:hAnsi="宋体" w:eastAsia="宋体" w:cs="宋体"/>
                <w:color w:val="auto"/>
                <w:sz w:val="24"/>
                <w:szCs w:val="24"/>
              </w:rPr>
              <w:t>价</w:t>
            </w:r>
          </w:p>
          <w:p w14:paraId="0DED4B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1091" w:type="dxa"/>
            <w:noWrap w:val="0"/>
            <w:vAlign w:val="center"/>
          </w:tcPr>
          <w:p w14:paraId="340764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金 额</w:t>
            </w:r>
          </w:p>
          <w:p w14:paraId="064223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（元）</w:t>
            </w:r>
          </w:p>
        </w:tc>
      </w:tr>
      <w:tr w14:paraId="70D4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17" w:type="dxa"/>
            <w:noWrap w:val="0"/>
            <w:vAlign w:val="center"/>
          </w:tcPr>
          <w:p w14:paraId="40FA91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00" w:type="dxa"/>
            <w:noWrap w:val="0"/>
            <w:vAlign w:val="center"/>
          </w:tcPr>
          <w:p w14:paraId="7B1515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636" w:type="dxa"/>
            <w:noWrap w:val="0"/>
            <w:vAlign w:val="center"/>
          </w:tcPr>
          <w:p w14:paraId="460F25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023" w:type="dxa"/>
            <w:noWrap w:val="0"/>
            <w:vAlign w:val="center"/>
          </w:tcPr>
          <w:p w14:paraId="01F3E0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391" w:type="dxa"/>
            <w:noWrap w:val="0"/>
            <w:vAlign w:val="top"/>
          </w:tcPr>
          <w:p w14:paraId="1D2648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627" w:type="dxa"/>
            <w:noWrap w:val="0"/>
            <w:vAlign w:val="top"/>
          </w:tcPr>
          <w:p w14:paraId="41CE09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559" w:type="dxa"/>
            <w:noWrap w:val="0"/>
            <w:vAlign w:val="top"/>
          </w:tcPr>
          <w:p w14:paraId="05FD6A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146" w:type="dxa"/>
            <w:noWrap w:val="0"/>
            <w:vAlign w:val="center"/>
          </w:tcPr>
          <w:p w14:paraId="0A8EFE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091" w:type="dxa"/>
            <w:noWrap w:val="0"/>
            <w:vAlign w:val="center"/>
          </w:tcPr>
          <w:p w14:paraId="77E257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r>
      <w:tr w14:paraId="05DC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17" w:type="dxa"/>
            <w:noWrap w:val="0"/>
            <w:vAlign w:val="center"/>
          </w:tcPr>
          <w:p w14:paraId="2A6F97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00" w:type="dxa"/>
            <w:noWrap w:val="0"/>
            <w:vAlign w:val="center"/>
          </w:tcPr>
          <w:p w14:paraId="50A5F2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636" w:type="dxa"/>
            <w:noWrap w:val="0"/>
            <w:vAlign w:val="center"/>
          </w:tcPr>
          <w:p w14:paraId="154E03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023" w:type="dxa"/>
            <w:noWrap w:val="0"/>
            <w:vAlign w:val="center"/>
          </w:tcPr>
          <w:p w14:paraId="703F524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391" w:type="dxa"/>
            <w:noWrap w:val="0"/>
            <w:vAlign w:val="top"/>
          </w:tcPr>
          <w:p w14:paraId="69E99E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627" w:type="dxa"/>
            <w:noWrap w:val="0"/>
            <w:vAlign w:val="top"/>
          </w:tcPr>
          <w:p w14:paraId="573311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559" w:type="dxa"/>
            <w:noWrap w:val="0"/>
            <w:vAlign w:val="top"/>
          </w:tcPr>
          <w:p w14:paraId="29B2B2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146" w:type="dxa"/>
            <w:noWrap w:val="0"/>
            <w:vAlign w:val="center"/>
          </w:tcPr>
          <w:p w14:paraId="1CD0A9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091" w:type="dxa"/>
            <w:noWrap w:val="0"/>
            <w:vAlign w:val="center"/>
          </w:tcPr>
          <w:p w14:paraId="44D752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r>
      <w:tr w14:paraId="45F8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17" w:type="dxa"/>
            <w:noWrap w:val="0"/>
            <w:vAlign w:val="center"/>
          </w:tcPr>
          <w:p w14:paraId="48B709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00" w:type="dxa"/>
            <w:noWrap w:val="0"/>
            <w:vAlign w:val="center"/>
          </w:tcPr>
          <w:p w14:paraId="2E09B7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636" w:type="dxa"/>
            <w:noWrap w:val="0"/>
            <w:vAlign w:val="center"/>
          </w:tcPr>
          <w:p w14:paraId="3ED5A4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023" w:type="dxa"/>
            <w:noWrap w:val="0"/>
            <w:vAlign w:val="center"/>
          </w:tcPr>
          <w:p w14:paraId="207517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391" w:type="dxa"/>
            <w:noWrap w:val="0"/>
            <w:vAlign w:val="top"/>
          </w:tcPr>
          <w:p w14:paraId="688BBA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627" w:type="dxa"/>
            <w:noWrap w:val="0"/>
            <w:vAlign w:val="top"/>
          </w:tcPr>
          <w:p w14:paraId="4B9562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559" w:type="dxa"/>
            <w:noWrap w:val="0"/>
            <w:vAlign w:val="top"/>
          </w:tcPr>
          <w:p w14:paraId="6FF8D6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146" w:type="dxa"/>
            <w:noWrap w:val="0"/>
            <w:vAlign w:val="center"/>
          </w:tcPr>
          <w:p w14:paraId="143978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c>
          <w:tcPr>
            <w:tcW w:w="1091" w:type="dxa"/>
            <w:noWrap w:val="0"/>
            <w:vAlign w:val="center"/>
          </w:tcPr>
          <w:p w14:paraId="391EE3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tc>
      </w:tr>
      <w:tr w14:paraId="7384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490" w:type="dxa"/>
            <w:gridSpan w:val="9"/>
            <w:noWrap w:val="0"/>
            <w:vAlign w:val="center"/>
          </w:tcPr>
          <w:p w14:paraId="4EDA0D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合同合计金额（人民币，大写）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tc>
      </w:tr>
    </w:tbl>
    <w:p w14:paraId="748C47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合同合计金额包括</w:t>
      </w:r>
      <w:r>
        <w:rPr>
          <w:rFonts w:hint="eastAsia" w:ascii="宋体" w:hAnsi="宋体" w:eastAsia="宋体" w:cs="宋体"/>
          <w:color w:val="auto"/>
          <w:kern w:val="0"/>
          <w:sz w:val="24"/>
          <w:szCs w:val="24"/>
        </w:rPr>
        <w:t>货物到达甲方并能正常使用所需的一切费用，包括但不限于</w:t>
      </w:r>
      <w:r>
        <w:rPr>
          <w:rFonts w:hint="eastAsia" w:ascii="宋体" w:hAnsi="宋体" w:eastAsia="宋体" w:cs="宋体"/>
          <w:color w:val="auto"/>
          <w:kern w:val="0"/>
          <w:sz w:val="24"/>
          <w:szCs w:val="24"/>
          <w:lang w:eastAsia="zh-CN"/>
        </w:rPr>
        <w:t>报价包含</w:t>
      </w:r>
      <w:r>
        <w:rPr>
          <w:rFonts w:hint="eastAsia" w:ascii="宋体" w:hAnsi="宋体" w:eastAsia="宋体" w:cs="宋体"/>
          <w:color w:val="auto"/>
          <w:kern w:val="0"/>
          <w:sz w:val="24"/>
          <w:szCs w:val="24"/>
          <w:lang w:val="en-US" w:eastAsia="zh-CN"/>
        </w:rPr>
        <w:t>车辆及改装、配送交货、</w:t>
      </w:r>
      <w:r>
        <w:rPr>
          <w:rFonts w:hint="eastAsia" w:ascii="宋体" w:hAnsi="宋体" w:eastAsia="宋体" w:cs="宋体"/>
          <w:color w:val="auto"/>
          <w:kern w:val="0"/>
          <w:sz w:val="24"/>
          <w:szCs w:val="24"/>
          <w:lang w:eastAsia="zh-CN"/>
        </w:rPr>
        <w:t>培训、调试及验收的各种费用和质量保证期内服务、售后服务、人工费、税费及其他所有成本费用的总和。成交供应商必须自行考虑项目需要的其他设备和材料，合同履行过程中，采购人不再支付合同以外的其他费用。</w:t>
      </w:r>
    </w:p>
    <w:p w14:paraId="1C7D6D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第二条　质量保证</w:t>
      </w:r>
    </w:p>
    <w:p w14:paraId="0078FE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乙方所提供的产品名称、商标品牌、生产厂家、规格型号、技术参数、质量等必须与</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规定、</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及承诺相一致，并符合国家标准和行业标准对货物质量的规定。未制定国家标准、行业标准的，按照通常标准或者符合合同目的的特定标准确定，符合保障人体健康和人身、财产安全的要求。</w:t>
      </w:r>
    </w:p>
    <w:p w14:paraId="5CE258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乙方提供的节能和环保产品必须是列入政府采购品目清单的产品。</w:t>
      </w:r>
    </w:p>
    <w:p w14:paraId="03FC95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single"/>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乙方所提供的货物必须是全新、未使用的原装产品，且在正常安装、使用和保养条件下，其使用寿命期内各项指标均达到</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规定或者</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及承诺的质量要求。</w:t>
      </w:r>
    </w:p>
    <w:p w14:paraId="19EB0B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第三条　权利保证</w:t>
      </w:r>
    </w:p>
    <w:p w14:paraId="30A220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乙方应保证所提供货物在使用时不会侵犯任何第三方的专利权、商标权、工业设计权或者其他权利。</w:t>
      </w:r>
      <w:r>
        <w:rPr>
          <w:rFonts w:hint="eastAsia" w:ascii="宋体" w:hAnsi="宋体" w:eastAsia="宋体" w:cs="宋体"/>
          <w:color w:val="auto"/>
          <w:kern w:val="0"/>
          <w:sz w:val="24"/>
          <w:szCs w:val="24"/>
        </w:rPr>
        <w:t>如乙方违反上述规定，则乙方应负责消除甲方拥有并使用乙方交付的货物、软件、技术资料等所存在的全部法律障碍，并赔偿甲方的损失。</w:t>
      </w:r>
      <w:r>
        <w:rPr>
          <w:rFonts w:hint="eastAsia" w:ascii="宋体" w:hAnsi="宋体" w:eastAsia="宋体" w:cs="宋体"/>
          <w:color w:val="auto"/>
          <w:sz w:val="24"/>
          <w:szCs w:val="24"/>
        </w:rPr>
        <w:t>如甲方因使用乙方交付的货物构成侵权的，则由乙方承担全部责任。</w:t>
      </w:r>
    </w:p>
    <w:p w14:paraId="4CA7DF4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乙方应按</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规定或者</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承诺的时间向甲方提供使用货物的有关技术资料。</w:t>
      </w:r>
    </w:p>
    <w:p w14:paraId="2832DA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078788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乙方保证将要交付的货物的所有权完全属于乙方且无任何抵押、质押、查封等产权瑕疵。</w:t>
      </w:r>
    </w:p>
    <w:p w14:paraId="0A45E3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第四条　包装和运输</w:t>
      </w:r>
    </w:p>
    <w:p w14:paraId="1B40B2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乙方提供的货物均应按</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规定或者</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承诺的要求的包装材料、包装标准、包装方式进行包装，有原厂家包装的均应采用原厂家包装，每一包装单元内应附详细的装箱单和质量合格证。</w:t>
      </w:r>
    </w:p>
    <w:p w14:paraId="30779B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货物的运输方式：</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，乙方应采用保证货物安全的运输方式进行运输，运费、装卸费等由乙方承担，由于包装或运输不当所造成的损坏或损失均由乙方承担。</w:t>
      </w:r>
    </w:p>
    <w:p w14:paraId="59A980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货物的包装应适于长途运输和反复装卸，并且乙方应根据货物不同的特性和要求采取防潮、防雨、防锈、防震、防腐等保护措施，以保证货物安全无损地到达甲方指定地点。</w:t>
      </w:r>
    </w:p>
    <w:p w14:paraId="624623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乙方在货物发运手续办理完毕后24小时内或者货到甲方48小时前通知甲方，以准备接货。</w:t>
      </w:r>
    </w:p>
    <w:p w14:paraId="763120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货物应在规定的交付期限内由乙方送达甲方指定的地点，乙方同时需通知甲方货物已送达。</w:t>
      </w:r>
    </w:p>
    <w:p w14:paraId="1C3FD8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第五条　交付和验收</w:t>
      </w:r>
    </w:p>
    <w:p w14:paraId="139A4B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交付时间：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5062A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交付地点：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1EFF5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10"/>
          <w:sz w:val="24"/>
          <w:szCs w:val="24"/>
          <w:highlight w:val="non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本合同中所称的交付，指货物安装调试完毕后的交付。如</w:t>
      </w:r>
      <w:r>
        <w:rPr>
          <w:rFonts w:hint="eastAsia" w:ascii="宋体" w:hAnsi="宋体" w:eastAsia="宋体" w:cs="宋体"/>
          <w:color w:val="auto"/>
          <w:kern w:val="10"/>
          <w:sz w:val="24"/>
          <w:szCs w:val="24"/>
        </w:rPr>
        <w:t>无需安装调试，货物运至甲方指定地点，</w:t>
      </w:r>
      <w:r>
        <w:rPr>
          <w:rFonts w:hint="eastAsia" w:ascii="宋体" w:hAnsi="宋体" w:eastAsia="宋体" w:cs="宋体"/>
          <w:color w:val="auto"/>
          <w:kern w:val="10"/>
          <w:sz w:val="24"/>
          <w:szCs w:val="24"/>
          <w:highlight w:val="none"/>
        </w:rPr>
        <w:t>甲方或甲方指定的第三人签署接收单后即为交付。</w:t>
      </w:r>
    </w:p>
    <w:p w14:paraId="6DE53C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乙方提供不符合</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规定或者</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承诺的和本合同规定的货物，甲方有权拒绝接受。</w:t>
      </w:r>
    </w:p>
    <w:p w14:paraId="4785F2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
        </w:rPr>
        <w:t>.</w:t>
      </w:r>
      <w:r>
        <w:rPr>
          <w:rFonts w:hint="eastAsia" w:ascii="宋体" w:hAnsi="宋体" w:eastAsia="宋体" w:cs="宋体"/>
          <w:color w:val="auto"/>
          <w:kern w:val="0"/>
          <w:sz w:val="24"/>
          <w:szCs w:val="24"/>
        </w:rPr>
        <w:t>乙方在交付货物的同时需向甲方提供有关货物的附随资料，包括但不限于：</w:t>
      </w:r>
      <w:r>
        <w:rPr>
          <w:rFonts w:hint="eastAsia" w:ascii="宋体" w:hAnsi="宋体" w:eastAsia="宋体" w:cs="宋体"/>
          <w:color w:val="auto"/>
          <w:sz w:val="24"/>
          <w:szCs w:val="24"/>
        </w:rPr>
        <w:t>货物目录、装箱清单、用户手册、质量合格证书、质保证书、</w:t>
      </w:r>
      <w:r>
        <w:rPr>
          <w:rFonts w:hint="eastAsia" w:ascii="宋体" w:hAnsi="宋体" w:eastAsia="宋体" w:cs="宋体"/>
          <w:color w:val="auto"/>
          <w:kern w:val="0"/>
          <w:sz w:val="24"/>
          <w:szCs w:val="24"/>
        </w:rPr>
        <w:t>安装图纸、使用说明书、技术资料、</w:t>
      </w:r>
      <w:r>
        <w:rPr>
          <w:rFonts w:hint="eastAsia" w:ascii="宋体" w:hAnsi="宋体" w:eastAsia="宋体" w:cs="宋体"/>
          <w:color w:val="auto"/>
          <w:sz w:val="24"/>
          <w:szCs w:val="24"/>
        </w:rPr>
        <w:t>原厂保修卡、工具和备品、备件等，货物属于进口产品的，供货时应同时附上货物原装进口的有关凭证和中文使用说明书，如有缺失应在合理的规定时间内补齐，否则视为逾期交货。</w:t>
      </w:r>
    </w:p>
    <w:p w14:paraId="1D0BDA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货物需要</w:t>
      </w:r>
      <w:r>
        <w:rPr>
          <w:rFonts w:hint="eastAsia" w:ascii="宋体" w:hAnsi="宋体" w:eastAsia="宋体" w:cs="宋体"/>
          <w:color w:val="auto"/>
          <w:sz w:val="24"/>
          <w:szCs w:val="24"/>
          <w:lang w:eastAsia="zh-CN"/>
        </w:rPr>
        <w:t>安装</w:t>
      </w:r>
      <w:r>
        <w:rPr>
          <w:rFonts w:hint="eastAsia" w:ascii="宋体" w:hAnsi="宋体" w:eastAsia="宋体" w:cs="宋体"/>
          <w:color w:val="auto"/>
          <w:sz w:val="24"/>
          <w:szCs w:val="24"/>
        </w:rPr>
        <w:t>调试的，</w:t>
      </w:r>
      <w:r>
        <w:rPr>
          <w:rFonts w:hint="eastAsia" w:ascii="宋体" w:hAnsi="宋体" w:eastAsia="宋体" w:cs="宋体"/>
          <w:color w:val="auto"/>
          <w:kern w:val="10"/>
          <w:sz w:val="24"/>
          <w:szCs w:val="24"/>
        </w:rPr>
        <w:t>乙方应在货物运到甲方指定地点后</w:t>
      </w:r>
      <w:r>
        <w:rPr>
          <w:rFonts w:hint="eastAsia" w:ascii="宋体" w:hAnsi="宋体" w:eastAsia="宋体" w:cs="宋体"/>
          <w:color w:val="auto"/>
          <w:sz w:val="24"/>
          <w:szCs w:val="24"/>
        </w:rPr>
        <w:t>3</w:t>
      </w:r>
      <w:r>
        <w:rPr>
          <w:rFonts w:hint="eastAsia" w:ascii="宋体" w:hAnsi="宋体" w:eastAsia="宋体" w:cs="宋体"/>
          <w:color w:val="auto"/>
          <w:kern w:val="10"/>
          <w:sz w:val="24"/>
          <w:szCs w:val="24"/>
        </w:rPr>
        <w:t>个工作日内</w:t>
      </w:r>
      <w:r>
        <w:rPr>
          <w:rFonts w:hint="eastAsia" w:ascii="宋体" w:hAnsi="宋体" w:eastAsia="宋体" w:cs="宋体"/>
          <w:color w:val="auto"/>
          <w:kern w:val="0"/>
          <w:sz w:val="24"/>
          <w:szCs w:val="24"/>
        </w:rPr>
        <w:t>，按照甲方的要求完成货物的安装调试</w:t>
      </w:r>
      <w:r>
        <w:rPr>
          <w:rFonts w:hint="eastAsia" w:ascii="宋体" w:hAnsi="宋体" w:eastAsia="宋体" w:cs="宋体"/>
          <w:color w:val="auto"/>
          <w:kern w:val="10"/>
          <w:sz w:val="24"/>
          <w:szCs w:val="24"/>
        </w:rPr>
        <w:t>并向甲方交付。</w:t>
      </w:r>
    </w:p>
    <w:p w14:paraId="3AE519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7.</w:t>
      </w:r>
      <w:r>
        <w:rPr>
          <w:rFonts w:hint="eastAsia" w:ascii="宋体" w:hAnsi="宋体" w:eastAsia="宋体" w:cs="宋体"/>
          <w:color w:val="auto"/>
          <w:sz w:val="24"/>
          <w:szCs w:val="24"/>
        </w:rPr>
        <w:t>甲方应当在到货（安装、调试完）后七个工作日内进行验收，逾期不验收的，乙方可视同验收合格。验收合格后由甲乙双方签署货物验收合格单并加盖</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公章，甲乙双方各执一份。</w:t>
      </w:r>
    </w:p>
    <w:p w14:paraId="3F76F5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8.</w:t>
      </w:r>
      <w:r>
        <w:rPr>
          <w:rFonts w:hint="eastAsia" w:ascii="宋体" w:hAnsi="宋体" w:eastAsia="宋体" w:cs="宋体"/>
          <w:color w:val="auto"/>
          <w:sz w:val="24"/>
          <w:szCs w:val="24"/>
        </w:rPr>
        <w:t>甲方对乙方提交的货物依据</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上的技术规格要求、</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及承诺、国家有关质量标准进行现场初步验收，外观、说明书符合要求的，给予签收，初步验收不合格的不予签收。</w:t>
      </w:r>
    </w:p>
    <w:p w14:paraId="62702F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9.</w:t>
      </w:r>
      <w:r>
        <w:rPr>
          <w:rFonts w:hint="eastAsia" w:ascii="宋体" w:hAnsi="宋体" w:eastAsia="宋体" w:cs="宋体"/>
          <w:color w:val="auto"/>
          <w:sz w:val="24"/>
          <w:szCs w:val="24"/>
        </w:rPr>
        <w:t>乙方交货前应对货物作出全面检查和对验收文件进行整理，并列出清单，作为甲方收货验收和使用的技术条件依据，检验的结果应随货物交甲方。</w:t>
      </w:r>
    </w:p>
    <w:p w14:paraId="1584EA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10.</w:t>
      </w:r>
      <w:r>
        <w:rPr>
          <w:rFonts w:hint="eastAsia" w:ascii="宋体" w:hAnsi="宋体" w:eastAsia="宋体" w:cs="宋体"/>
          <w:color w:val="auto"/>
          <w:sz w:val="24"/>
          <w:szCs w:val="24"/>
        </w:rPr>
        <w:t>甲方对乙方提供的货物在使用前进行调试时，乙方需负责安装并培训甲方的使用操作人员，并协助甲方一起调试，直到符合技术要求，甲方才做最终验收。</w:t>
      </w:r>
    </w:p>
    <w:p w14:paraId="54270C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11.</w:t>
      </w:r>
      <w:r>
        <w:rPr>
          <w:rFonts w:hint="eastAsia" w:ascii="宋体" w:hAnsi="宋体" w:eastAsia="宋体" w:cs="宋体"/>
          <w:color w:val="auto"/>
          <w:sz w:val="24"/>
          <w:szCs w:val="24"/>
        </w:rPr>
        <w:t>对技术复杂的货物，甲方应请国家认可的专业检测机构参与初步验收及最终验收，并由其出具质量检测报告。</w:t>
      </w:r>
    </w:p>
    <w:p w14:paraId="40E01F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12.</w:t>
      </w:r>
      <w:r>
        <w:rPr>
          <w:rFonts w:hint="eastAsia" w:ascii="宋体" w:hAnsi="宋体" w:eastAsia="宋体" w:cs="宋体"/>
          <w:color w:val="auto"/>
          <w:sz w:val="24"/>
          <w:szCs w:val="24"/>
        </w:rPr>
        <w:t>验收时乙方必须在现场，验收完毕后作出验收结果报告；验收费用由乙方负责承担。</w:t>
      </w:r>
    </w:p>
    <w:p w14:paraId="5BE739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13.</w:t>
      </w:r>
      <w:r>
        <w:rPr>
          <w:rFonts w:hint="eastAsia" w:ascii="宋体" w:hAnsi="宋体" w:eastAsia="宋体" w:cs="宋体"/>
          <w:color w:val="auto"/>
          <w:sz w:val="24"/>
          <w:szCs w:val="24"/>
        </w:rPr>
        <w:t>甲方在验收过程中发现乙方提供的货物不满足</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及合同规定的，可暂缓资金结算，直到乙方及时改正并经甲方验收合格后，方可办理资金结算事宜。</w:t>
      </w:r>
    </w:p>
    <w:p w14:paraId="52D1C1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14.</w:t>
      </w:r>
      <w:r>
        <w:rPr>
          <w:rFonts w:hint="eastAsia" w:ascii="宋体" w:hAnsi="宋体" w:eastAsia="宋体" w:cs="宋体"/>
          <w:color w:val="auto"/>
          <w:sz w:val="24"/>
          <w:szCs w:val="24"/>
        </w:rPr>
        <w:t>甲方在验收中，如发现货物的品种、型号、规格、数量、质量等不符合合同、</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及承诺规定或附件关于货物配置的描述或存在其他问题的，有权拒绝接收货物，并可以在验收后五个工作日内以书面形式向乙方提出，乙方应在收到甲方书面通知后在甲方指定的期限内按照甲方的要求采取补足、更换或退货等处理措施予以解决。因补足、更换货物造成逾期的，按乙方逾期交付处理。</w:t>
      </w:r>
    </w:p>
    <w:p w14:paraId="3C0E58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第六条　售后服务、服务质量保证期及培训</w:t>
      </w:r>
    </w:p>
    <w:p w14:paraId="29AD2E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乙方应按</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规定的产品名称、商标品牌、生产厂家、规格型号、技术参数、质量标准向甲方提供未经使用的全新产品。不符合要求的，根据实际情况，经</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双方协商，可按以下办法处理：</w:t>
      </w:r>
    </w:p>
    <w:p w14:paraId="4A83E8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 w:eastAsia="zh-CN"/>
        </w:rPr>
        <w:t>1）</w:t>
      </w:r>
      <w:r>
        <w:rPr>
          <w:rFonts w:hint="eastAsia" w:ascii="宋体" w:hAnsi="宋体" w:eastAsia="宋体" w:cs="宋体"/>
          <w:color w:val="auto"/>
          <w:sz w:val="24"/>
          <w:szCs w:val="24"/>
        </w:rPr>
        <w:t>更换：由乙方承担所发生的全部费用。</w:t>
      </w:r>
    </w:p>
    <w:p w14:paraId="4C0426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 w:eastAsia="zh-CN"/>
        </w:rPr>
        <w:t>2）</w:t>
      </w:r>
      <w:r>
        <w:rPr>
          <w:rFonts w:hint="eastAsia" w:ascii="宋体" w:hAnsi="宋体" w:eastAsia="宋体" w:cs="宋体"/>
          <w:color w:val="auto"/>
          <w:sz w:val="24"/>
          <w:szCs w:val="24"/>
        </w:rPr>
        <w:t>贬值处理：由甲乙双方合议定价。</w:t>
      </w:r>
    </w:p>
    <w:p w14:paraId="65E9CF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 w:eastAsia="zh-CN"/>
        </w:rPr>
        <w:t>3）</w:t>
      </w:r>
      <w:r>
        <w:rPr>
          <w:rFonts w:hint="eastAsia" w:ascii="宋体" w:hAnsi="宋体" w:eastAsia="宋体" w:cs="宋体"/>
          <w:color w:val="auto"/>
          <w:sz w:val="24"/>
          <w:szCs w:val="24"/>
        </w:rPr>
        <w:t>退货处理：乙方应退还甲方支付的合同款，同时应承担该货物的直接费用（运输、保险、检验、货款利息及银行手续费等）。</w:t>
      </w:r>
    </w:p>
    <w:p w14:paraId="7FD1BB5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乙方应按照国家有关法律法规、</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和合同所附的《售后服务承诺》要求为甲方提供相应的售后服务。</w:t>
      </w:r>
    </w:p>
    <w:p w14:paraId="2CD450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在质保期内，乙方应对货物出现的质量及安全问题负责处理解决并承担一切费用。</w:t>
      </w:r>
    </w:p>
    <w:p w14:paraId="677D69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质保期为自货物交付并验收合格签署验收合格单之日起</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日。货物自身有质保期且该质保期超过约定质保期的，按照货物质保期计算，货物自身的质保期比约定的质保期短的，按约定的质保期计算。</w:t>
      </w:r>
    </w:p>
    <w:p w14:paraId="5A6953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大型或复杂的采购项目，其质保期限自动适用国家有关规定中最长的质保期限。</w:t>
      </w:r>
    </w:p>
    <w:p w14:paraId="76FD26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
        </w:rPr>
        <w:t>.</w:t>
      </w:r>
      <w:r>
        <w:rPr>
          <w:rFonts w:hint="eastAsia" w:ascii="宋体" w:hAnsi="宋体" w:eastAsia="宋体" w:cs="宋体"/>
          <w:color w:val="auto"/>
          <w:kern w:val="0"/>
          <w:sz w:val="24"/>
          <w:szCs w:val="24"/>
        </w:rPr>
        <w:t>质保期内，乙方应当提供每周7天、每天24小时</w:t>
      </w:r>
      <w:r>
        <w:rPr>
          <w:rFonts w:hint="eastAsia" w:ascii="宋体" w:hAnsi="宋体" w:eastAsia="宋体" w:cs="宋体"/>
          <w:color w:val="auto"/>
          <w:kern w:val="0"/>
          <w:sz w:val="24"/>
          <w:szCs w:val="24"/>
          <w:lang w:eastAsia="zh-CN"/>
        </w:rPr>
        <w:t>的</w:t>
      </w:r>
      <w:r>
        <w:rPr>
          <w:rFonts w:hint="eastAsia" w:ascii="宋体" w:hAnsi="宋体" w:eastAsia="宋体" w:cs="宋体"/>
          <w:color w:val="auto"/>
          <w:kern w:val="0"/>
          <w:sz w:val="24"/>
          <w:szCs w:val="24"/>
        </w:rPr>
        <w:t>电话支持服务。乙方接到甲方保修通知后2个小时内响应，</w:t>
      </w:r>
      <w:r>
        <w:rPr>
          <w:rFonts w:hint="eastAsia" w:ascii="宋体" w:hAnsi="宋体" w:cs="宋体"/>
          <w:color w:val="auto"/>
          <w:kern w:val="0"/>
          <w:sz w:val="24"/>
          <w:szCs w:val="24"/>
          <w:lang w:val="en-US" w:eastAsia="zh-CN"/>
        </w:rPr>
        <w:t>48</w:t>
      </w:r>
      <w:r>
        <w:rPr>
          <w:rFonts w:hint="eastAsia" w:ascii="宋体" w:hAnsi="宋体" w:eastAsia="宋体" w:cs="宋体"/>
          <w:color w:val="auto"/>
          <w:kern w:val="0"/>
          <w:sz w:val="24"/>
          <w:szCs w:val="24"/>
        </w:rPr>
        <w:t>个小时内排除故障。</w:t>
      </w:r>
      <w:r>
        <w:rPr>
          <w:rFonts w:hint="eastAsia" w:ascii="宋体" w:hAnsi="宋体" w:eastAsia="宋体" w:cs="宋体"/>
          <w:color w:val="auto"/>
          <w:spacing w:val="-10"/>
          <w:sz w:val="24"/>
          <w:szCs w:val="24"/>
        </w:rPr>
        <w:t>货物出现重大故障或维修时限超过</w:t>
      </w:r>
      <w:r>
        <w:rPr>
          <w:rFonts w:hint="eastAsia" w:ascii="宋体" w:hAnsi="宋体" w:eastAsia="宋体" w:cs="宋体"/>
          <w:color w:val="auto"/>
          <w:sz w:val="24"/>
          <w:szCs w:val="24"/>
        </w:rPr>
        <w:t>2日的，</w:t>
      </w:r>
      <w:r>
        <w:rPr>
          <w:rFonts w:hint="eastAsia" w:ascii="宋体" w:hAnsi="宋体" w:eastAsia="宋体" w:cs="宋体"/>
          <w:color w:val="auto"/>
          <w:kern w:val="0"/>
          <w:sz w:val="24"/>
          <w:szCs w:val="24"/>
        </w:rPr>
        <w:t>乙方应在24个小时内免费更换备品备件。</w:t>
      </w:r>
    </w:p>
    <w:p w14:paraId="313DA6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
        </w:rPr>
        <w:t>.</w:t>
      </w:r>
      <w:r>
        <w:rPr>
          <w:rFonts w:hint="eastAsia" w:ascii="宋体" w:hAnsi="宋体" w:eastAsia="宋体" w:cs="宋体"/>
          <w:color w:val="auto"/>
          <w:kern w:val="0"/>
          <w:sz w:val="24"/>
          <w:szCs w:val="24"/>
        </w:rPr>
        <w:t>质保期届满后，乙方对本合同项下货物提供终身维修服务，且维修时只收取所需维修部件的成本费，服务内容应与质保期内的要求相一致。</w:t>
      </w:r>
    </w:p>
    <w:p w14:paraId="081698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甲方应提供必要安装条件（如场地、电源、水源等）。</w:t>
      </w:r>
    </w:p>
    <w:p w14:paraId="7A8D0E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承诺负责甲方有关人员的培训。</w:t>
      </w:r>
    </w:p>
    <w:p w14:paraId="73F036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培训时间：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B17E9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color w:val="auto"/>
          <w:sz w:val="24"/>
          <w:szCs w:val="24"/>
        </w:rPr>
        <w:t>培训地点：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EC2D9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第</w:t>
      </w:r>
      <w:r>
        <w:rPr>
          <w:rFonts w:hint="eastAsia" w:ascii="宋体" w:hAnsi="宋体" w:eastAsia="宋体" w:cs="宋体"/>
          <w:b w:val="0"/>
          <w:bCs/>
          <w:color w:val="auto"/>
          <w:sz w:val="24"/>
          <w:szCs w:val="24"/>
          <w:lang w:eastAsia="zh-CN"/>
        </w:rPr>
        <w:t>七</w:t>
      </w:r>
      <w:r>
        <w:rPr>
          <w:rFonts w:hint="eastAsia" w:ascii="宋体" w:hAnsi="宋体" w:eastAsia="宋体" w:cs="宋体"/>
          <w:b w:val="0"/>
          <w:bCs/>
          <w:color w:val="auto"/>
          <w:sz w:val="24"/>
          <w:szCs w:val="24"/>
        </w:rPr>
        <w:t>条</w:t>
      </w:r>
      <w:r>
        <w:rPr>
          <w:rFonts w:hint="eastAsia" w:ascii="宋体" w:hAnsi="宋体" w:eastAsia="宋体" w:cs="宋体"/>
          <w:b w:val="0"/>
          <w:bCs/>
          <w:color w:val="auto"/>
          <w:sz w:val="24"/>
          <w:szCs w:val="24"/>
          <w:lang w:eastAsia="zh-CN"/>
        </w:rPr>
        <w:t>　</w:t>
      </w:r>
      <w:r>
        <w:rPr>
          <w:rFonts w:hint="eastAsia" w:ascii="宋体" w:hAnsi="宋体" w:eastAsia="宋体" w:cs="宋体"/>
          <w:b w:val="0"/>
          <w:bCs/>
          <w:color w:val="auto"/>
          <w:sz w:val="24"/>
          <w:szCs w:val="24"/>
        </w:rPr>
        <w:t>辅助服务</w:t>
      </w:r>
    </w:p>
    <w:p w14:paraId="68656C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乙方应提供下列服务：</w:t>
      </w:r>
    </w:p>
    <w:p w14:paraId="5EC9D6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（1）货物的现场移动、安装、调试、启动监督及技术支持；</w:t>
      </w:r>
    </w:p>
    <w:p w14:paraId="27DF98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（2）提供货物组装和维修所需的专用工具和辅助材料；</w:t>
      </w:r>
    </w:p>
    <w:p w14:paraId="3C8E60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（3）在甲方指定的期限内对所有的货物实施运行监督、维修，但该服务并不能免除乙方在质量保证期内所承担的义务；</w:t>
      </w:r>
    </w:p>
    <w:p w14:paraId="2C45BE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（4）在现场就货物的安装、启动、运营、维护，按照甲方的要求，对甲方的相关人员免费进行必要的培训。培训目标为受训者能够独立、熟练地完成操作，实现货物的使用目标和功能。</w:t>
      </w:r>
    </w:p>
    <w:p w14:paraId="6CC5D0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（5）免费提供车辆上牌服务。车辆完成监测仪器及配套设施装配后，</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于2025年10月底前负责联系办理</w:t>
      </w:r>
      <w:r>
        <w:rPr>
          <w:rFonts w:hint="eastAsia" w:ascii="宋体" w:hAnsi="宋体" w:cs="宋体"/>
          <w:color w:val="auto"/>
          <w:sz w:val="24"/>
          <w:szCs w:val="24"/>
          <w:lang w:val="en-US" w:eastAsia="zh-CN"/>
        </w:rPr>
        <w:t>来宾</w:t>
      </w:r>
      <w:r>
        <w:rPr>
          <w:rFonts w:hint="eastAsia" w:ascii="宋体" w:hAnsi="宋体" w:eastAsia="宋体" w:cs="宋体"/>
          <w:color w:val="auto"/>
          <w:sz w:val="24"/>
          <w:szCs w:val="24"/>
          <w:lang w:val="en-US" w:eastAsia="zh-CN"/>
        </w:rPr>
        <w:t>市机动车牌照，并取得机动车登记证和行驶证。</w:t>
      </w:r>
    </w:p>
    <w:p w14:paraId="0935B8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（6）免费送车服务。车辆完成监测仪器及配套设施装配并取得</w:t>
      </w:r>
      <w:r>
        <w:rPr>
          <w:rFonts w:hint="eastAsia" w:ascii="宋体" w:hAnsi="宋体" w:cs="宋体"/>
          <w:color w:val="auto"/>
          <w:sz w:val="24"/>
          <w:szCs w:val="24"/>
          <w:lang w:val="en-US" w:eastAsia="zh-CN"/>
        </w:rPr>
        <w:t>来宾</w:t>
      </w:r>
      <w:r>
        <w:rPr>
          <w:rFonts w:hint="eastAsia" w:ascii="宋体" w:hAnsi="宋体" w:eastAsia="宋体" w:cs="宋体"/>
          <w:color w:val="auto"/>
          <w:sz w:val="24"/>
          <w:szCs w:val="24"/>
          <w:lang w:val="en-US" w:eastAsia="zh-CN"/>
        </w:rPr>
        <w:t>市机动车牌照后，整车配送至</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val="en-US" w:eastAsia="zh-CN"/>
        </w:rPr>
        <w:t>指定地点。</w:t>
      </w:r>
    </w:p>
    <w:p w14:paraId="46E8D3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辅助服务的费用已经包含在合同总价中，甲方不再另行支付。</w:t>
      </w:r>
    </w:p>
    <w:p w14:paraId="219AAF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第</w:t>
      </w:r>
      <w:r>
        <w:rPr>
          <w:rFonts w:hint="eastAsia" w:ascii="宋体" w:hAnsi="宋体" w:eastAsia="宋体" w:cs="宋体"/>
          <w:b w:val="0"/>
          <w:bCs/>
          <w:color w:val="auto"/>
          <w:sz w:val="24"/>
          <w:szCs w:val="24"/>
          <w:lang w:eastAsia="zh-CN"/>
        </w:rPr>
        <w:t>八</w:t>
      </w:r>
      <w:r>
        <w:rPr>
          <w:rFonts w:hint="eastAsia" w:ascii="宋体" w:hAnsi="宋体" w:eastAsia="宋体" w:cs="宋体"/>
          <w:b w:val="0"/>
          <w:bCs/>
          <w:color w:val="auto"/>
          <w:sz w:val="24"/>
          <w:szCs w:val="24"/>
        </w:rPr>
        <w:t>条</w:t>
      </w:r>
      <w:r>
        <w:rPr>
          <w:rFonts w:hint="eastAsia" w:ascii="宋体" w:hAnsi="宋体" w:eastAsia="宋体" w:cs="宋体"/>
          <w:b w:val="0"/>
          <w:bCs/>
          <w:color w:val="auto"/>
          <w:sz w:val="24"/>
          <w:szCs w:val="24"/>
          <w:lang w:eastAsia="zh-CN"/>
        </w:rPr>
        <w:t>　</w:t>
      </w:r>
      <w:r>
        <w:rPr>
          <w:rFonts w:hint="eastAsia" w:ascii="宋体" w:hAnsi="宋体" w:eastAsia="宋体" w:cs="宋体"/>
          <w:b w:val="0"/>
          <w:bCs/>
          <w:color w:val="auto"/>
          <w:sz w:val="24"/>
          <w:szCs w:val="24"/>
        </w:rPr>
        <w:t>货物保管及风险承担</w:t>
      </w:r>
    </w:p>
    <w:p w14:paraId="3FB9DF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在货物</w:t>
      </w:r>
      <w:r>
        <w:rPr>
          <w:rFonts w:hint="eastAsia" w:ascii="宋体" w:hAnsi="宋体" w:eastAsia="宋体" w:cs="宋体"/>
          <w:color w:val="auto"/>
          <w:sz w:val="24"/>
          <w:szCs w:val="24"/>
          <w:highlight w:val="none"/>
          <w:lang w:eastAsia="zh-CN"/>
        </w:rPr>
        <w:t>交付</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4"/>
        </w:rPr>
        <w:t>，货物保管责任及损毁、灭失的风险由乙方承担，货物验收合格后的风险转由甲方承担。</w:t>
      </w:r>
    </w:p>
    <w:p w14:paraId="03DCAF51">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eastAsia="zh-CN"/>
        </w:rPr>
        <w:t>第九条</w:t>
      </w:r>
      <w:r>
        <w:rPr>
          <w:rFonts w:hint="eastAsia" w:ascii="宋体" w:hAnsi="宋体" w:eastAsia="宋体" w:cs="宋体"/>
          <w:color w:val="000000" w:themeColor="text1"/>
          <w:sz w:val="24"/>
          <w:szCs w:val="24"/>
          <w:lang w:eastAsia="zh-CN"/>
          <w14:textFill>
            <w14:solidFill>
              <w14:schemeClr w14:val="tx1"/>
            </w14:solidFill>
          </w14:textFill>
        </w:rPr>
        <w:t>　</w:t>
      </w:r>
      <w:r>
        <w:rPr>
          <w:rFonts w:hint="eastAsia" w:ascii="宋体" w:hAnsi="宋体" w:cs="宋体"/>
          <w:color w:val="000000" w:themeColor="text1"/>
          <w:sz w:val="24"/>
          <w:szCs w:val="24"/>
          <w:lang w:val="en-US" w:eastAsia="zh-CN"/>
          <w14:textFill>
            <w14:solidFill>
              <w14:schemeClr w14:val="tx1"/>
            </w14:solidFill>
          </w14:textFill>
        </w:rPr>
        <w:t>付款方式</w:t>
      </w:r>
    </w:p>
    <w:p w14:paraId="406549A1">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shd w:val="clear" w:color="auto" w:fill="auto"/>
          <w:lang w:val="en" w:eastAsia="zh-CN"/>
          <w14:textFill>
            <w14:solidFill>
              <w14:schemeClr w14:val="tx1"/>
            </w14:solidFill>
          </w14:textFill>
        </w:rPr>
      </w:pP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1</w:t>
      </w:r>
      <w:r>
        <w:rPr>
          <w:rFonts w:hint="eastAsia" w:ascii="宋体" w:hAnsi="宋体" w:eastAsia="宋体" w:cs="宋体"/>
          <w:color w:val="000000" w:themeColor="text1"/>
          <w:sz w:val="24"/>
          <w:szCs w:val="24"/>
          <w:shd w:val="clear" w:color="auto" w:fill="auto"/>
          <w:lang w:val="en"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1</w:t>
      </w:r>
      <w:r>
        <w:rPr>
          <w:rFonts w:hint="eastAsia" w:ascii="宋体" w:hAnsi="宋体" w:eastAsia="宋体" w:cs="宋体"/>
          <w:color w:val="000000" w:themeColor="text1"/>
          <w:sz w:val="24"/>
          <w:szCs w:val="24"/>
          <w:shd w:val="clear" w:color="auto" w:fill="auto"/>
          <w:lang w:val="en"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2025年10月底前，</w:t>
      </w:r>
      <w:r>
        <w:rPr>
          <w:rFonts w:hint="eastAsia" w:ascii="宋体" w:hAnsi="宋体" w:eastAsia="宋体" w:cs="宋体"/>
          <w:color w:val="000000" w:themeColor="text1"/>
          <w:sz w:val="24"/>
          <w:szCs w:val="24"/>
          <w:shd w:val="clear" w:color="auto" w:fill="auto"/>
          <w:lang w:val="en" w:eastAsia="zh-CN"/>
          <w14:textFill>
            <w14:solidFill>
              <w14:schemeClr w14:val="tx1"/>
            </w14:solidFill>
          </w14:textFill>
        </w:rPr>
        <w:t>乙方将完成监测仪器及配套设施装配后的整车交付甲方并经</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确认合格</w:t>
      </w:r>
      <w:r>
        <w:rPr>
          <w:rFonts w:hint="eastAsia" w:ascii="宋体" w:hAnsi="宋体" w:eastAsia="宋体" w:cs="宋体"/>
          <w:color w:val="000000" w:themeColor="text1"/>
          <w:sz w:val="24"/>
          <w:szCs w:val="24"/>
          <w:shd w:val="clear" w:color="auto" w:fill="auto"/>
          <w:lang w:val="en" w:eastAsia="zh-CN"/>
          <w14:textFill>
            <w14:solidFill>
              <w14:schemeClr w14:val="tx1"/>
            </w14:solidFill>
          </w14:textFill>
        </w:rPr>
        <w:t>后，甲方向乙方支付合同总金额的50%；</w:t>
      </w:r>
    </w:p>
    <w:p w14:paraId="4F9B53FF">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shd w:val="clear" w:color="auto" w:fill="auto"/>
          <w:lang w:val="en" w:eastAsia="zh-CN"/>
          <w14:textFill>
            <w14:solidFill>
              <w14:schemeClr w14:val="tx1"/>
            </w14:solidFill>
          </w14:textFill>
        </w:rPr>
      </w:pPr>
      <w:r>
        <w:rPr>
          <w:rFonts w:hint="eastAsia" w:ascii="宋体" w:hAnsi="宋体" w:eastAsia="宋体" w:cs="宋体"/>
          <w:color w:val="000000" w:themeColor="text1"/>
          <w:sz w:val="24"/>
          <w:szCs w:val="24"/>
          <w:shd w:val="clear" w:color="auto" w:fill="auto"/>
          <w:lang w:val="en"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2</w:t>
      </w:r>
      <w:r>
        <w:rPr>
          <w:rFonts w:hint="eastAsia" w:ascii="宋体" w:hAnsi="宋体" w:eastAsia="宋体" w:cs="宋体"/>
          <w:color w:val="000000" w:themeColor="text1"/>
          <w:sz w:val="24"/>
          <w:szCs w:val="24"/>
          <w:shd w:val="clear" w:color="auto" w:fill="auto"/>
          <w:lang w:val="en" w:eastAsia="zh-CN"/>
          <w14:textFill>
            <w14:solidFill>
              <w14:schemeClr w14:val="tx1"/>
            </w14:solidFill>
          </w14:textFill>
        </w:rPr>
        <w:t>）乙方完成车辆上牌并经甲方验收后，甲方向乙方支付合同总金额的50%；</w:t>
      </w:r>
    </w:p>
    <w:p w14:paraId="3715534D">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lang w:val="en" w:eastAsia="zh-CN"/>
          <w14:textFill>
            <w14:solidFill>
              <w14:schemeClr w14:val="tx1"/>
            </w14:solidFill>
          </w14:textFill>
        </w:rPr>
      </w:pPr>
      <w:r>
        <w:rPr>
          <w:rFonts w:hint="eastAsia" w:ascii="宋体" w:hAnsi="宋体" w:eastAsia="宋体" w:cs="宋体"/>
          <w:color w:val="000000" w:themeColor="text1"/>
          <w:sz w:val="24"/>
          <w:szCs w:val="24"/>
          <w:shd w:val="clear" w:color="auto" w:fill="auto"/>
          <w:lang w:val="en"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3</w:t>
      </w:r>
      <w:r>
        <w:rPr>
          <w:rFonts w:hint="eastAsia" w:ascii="宋体" w:hAnsi="宋体" w:eastAsia="宋体" w:cs="宋体"/>
          <w:color w:val="000000" w:themeColor="text1"/>
          <w:sz w:val="24"/>
          <w:szCs w:val="24"/>
          <w:shd w:val="clear" w:color="auto" w:fill="auto"/>
          <w:lang w:val="en" w:eastAsia="zh-CN"/>
          <w14:textFill>
            <w14:solidFill>
              <w14:schemeClr w14:val="tx1"/>
            </w14:solidFill>
          </w14:textFill>
        </w:rPr>
        <w:t>）每次付款前，乙方须提供对应金额的增值税普通发票</w:t>
      </w:r>
      <w:r>
        <w:rPr>
          <w:rFonts w:hint="eastAsia" w:ascii="宋体" w:hAnsi="宋体" w:eastAsia="宋体" w:cs="宋体"/>
          <w:color w:val="000000" w:themeColor="text1"/>
          <w:sz w:val="24"/>
          <w:szCs w:val="24"/>
          <w:lang w:val="en" w:eastAsia="zh-CN"/>
          <w14:textFill>
            <w14:solidFill>
              <w14:schemeClr w14:val="tx1"/>
            </w14:solidFill>
          </w14:textFill>
        </w:rPr>
        <w:t>。</w:t>
      </w:r>
    </w:p>
    <w:p w14:paraId="754673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乙方指定以下账户为接受本合同价款的账户，并对其指定的下列账户信息真实性、安全性、准确性负责。</w:t>
      </w:r>
    </w:p>
    <w:p w14:paraId="6751C71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账户名称：</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u w:val="none"/>
          <w:lang w:eastAsia="zh-CN"/>
        </w:rPr>
        <w:t>；</w:t>
      </w:r>
    </w:p>
    <w:p w14:paraId="0362E7B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none"/>
          <w:lang w:eastAsia="zh-CN"/>
        </w:rPr>
        <w:t>开户银行：</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u w:val="none"/>
          <w:lang w:eastAsia="zh-CN"/>
        </w:rPr>
        <w:t>；</w:t>
      </w:r>
    </w:p>
    <w:p w14:paraId="2351E53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none"/>
          <w:lang w:eastAsia="zh-CN"/>
        </w:rPr>
        <w:t>银行账号：</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u w:val="none"/>
          <w:lang w:eastAsia="zh-CN"/>
        </w:rPr>
        <w:t>；</w:t>
      </w:r>
    </w:p>
    <w:p w14:paraId="02B5853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none"/>
          <w:lang w:eastAsia="zh-CN"/>
        </w:rPr>
        <w:t>联系人：</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u w:val="none"/>
          <w:lang w:eastAsia="zh-CN"/>
        </w:rPr>
        <w:t>；</w:t>
      </w:r>
    </w:p>
    <w:p w14:paraId="290DF34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联系电话：</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u w:val="none"/>
          <w:lang w:eastAsia="zh-CN"/>
        </w:rPr>
        <w:t>。</w:t>
      </w:r>
    </w:p>
    <w:p w14:paraId="0C0974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如乙方上述账户信息发生变更，乙方应提前向甲方发送书面通知，未能提前书面通知而产生的不利后果由乙方自行承担。</w:t>
      </w:r>
    </w:p>
    <w:p w14:paraId="64581F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乙方应持甲方签字确认的验收合格单结算货款。</w:t>
      </w:r>
    </w:p>
    <w:p w14:paraId="2FCFF5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6"/>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甲方在支付每笔款项前，乙方应当提供可供政府审计并且符合税务规定的正式发票，</w:t>
      </w:r>
      <w:r>
        <w:rPr>
          <w:rFonts w:hint="eastAsia" w:ascii="宋体" w:hAnsi="宋体" w:eastAsia="宋体" w:cs="宋体"/>
          <w:color w:val="auto"/>
          <w:spacing w:val="-6"/>
          <w:sz w:val="24"/>
          <w:szCs w:val="24"/>
        </w:rPr>
        <w:t>否则甲方有权拒付相应款项直至乙方能提供符合规定的发票为止，因乙方提供不符合甲方要求的发票导致付款逾期，甲方不构成违约，相应的付款期限自甲方收到乙方符合要求发票重新计算。</w:t>
      </w:r>
    </w:p>
    <w:p w14:paraId="6536B3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第十条　履约保证金</w:t>
      </w:r>
    </w:p>
    <w:p w14:paraId="1B9700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lang w:eastAsia="zh-CN"/>
        </w:rPr>
        <w:t>乙方提供的履约保证金金额为：</w:t>
      </w:r>
      <w:r>
        <w:rPr>
          <w:rFonts w:hint="eastAsia" w:ascii="宋体" w:hAnsi="宋体" w:eastAsia="宋体" w:cs="宋体"/>
          <w:color w:val="auto"/>
          <w:sz w:val="24"/>
          <w:szCs w:val="24"/>
          <w:u w:val="single"/>
          <w:lang w:eastAsia="zh-CN"/>
        </w:rPr>
        <w:t>　</w:t>
      </w:r>
      <w:r>
        <w:rPr>
          <w:rFonts w:hint="eastAsia" w:ascii="宋体" w:hAnsi="宋体" w:cs="宋体"/>
          <w:color w:val="auto"/>
          <w:sz w:val="24"/>
          <w:szCs w:val="24"/>
          <w:u w:val="single"/>
          <w:lang w:val="en-US" w:eastAsia="zh-CN"/>
        </w:rPr>
        <w:t>本项目不收取</w:t>
      </w:r>
      <w:r>
        <w:rPr>
          <w:rFonts w:hint="eastAsia" w:ascii="宋体" w:hAnsi="宋体" w:eastAsia="宋体" w:cs="宋体"/>
          <w:color w:val="auto"/>
          <w:sz w:val="24"/>
          <w:szCs w:val="24"/>
          <w:u w:val="single"/>
          <w:lang w:eastAsia="zh-CN"/>
        </w:rPr>
        <w:t>履约保证金　</w:t>
      </w:r>
      <w:r>
        <w:rPr>
          <w:rFonts w:hint="eastAsia" w:ascii="宋体" w:hAnsi="宋体" w:eastAsia="宋体" w:cs="宋体"/>
          <w:color w:val="auto"/>
          <w:sz w:val="24"/>
          <w:szCs w:val="24"/>
          <w:u w:val="none"/>
          <w:lang w:eastAsia="zh-CN"/>
        </w:rPr>
        <w:t>。</w:t>
      </w:r>
    </w:p>
    <w:p w14:paraId="4878D4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履约保证金递交方式：支票、汇票、本票或者金融、担保机构出具的保函等非现金方式。</w:t>
      </w:r>
    </w:p>
    <w:p w14:paraId="5434FA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履约保证金退付方式、时间及条件：由</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向</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提供《广西壮族自治区政府采购项目合同验收书》及《政府采购项目履约保证金退付意见书》，</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在收到合格材料后</w:t>
      </w:r>
      <w:r>
        <w:rPr>
          <w:rFonts w:hint="eastAsia" w:ascii="宋体" w:hAnsi="宋体" w:cs="宋体"/>
          <w:color w:val="auto"/>
          <w:sz w:val="24"/>
          <w:szCs w:val="24"/>
          <w:lang w:eastAsia="zh-CN"/>
        </w:rPr>
        <w:t>十</w:t>
      </w:r>
      <w:r>
        <w:rPr>
          <w:rFonts w:hint="eastAsia" w:ascii="宋体" w:hAnsi="宋体" w:eastAsia="宋体" w:cs="宋体"/>
          <w:color w:val="auto"/>
          <w:sz w:val="24"/>
          <w:szCs w:val="24"/>
        </w:rPr>
        <w:t>个工作日内办理退还手续（不计利息）。</w:t>
      </w:r>
    </w:p>
    <w:p w14:paraId="339750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第十一条　税费</w:t>
      </w:r>
    </w:p>
    <w:p w14:paraId="0561ED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本合同执行中相关的一切税费均由乙方负担。</w:t>
      </w:r>
    </w:p>
    <w:p w14:paraId="5FC31F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第十二条　违约责任</w:t>
      </w:r>
    </w:p>
    <w:p w14:paraId="7D67D3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仅交付部分货物的，甲方有权解除合同，退还已收货物，乙方应退还已经收取的货款，并按合同合计金额的30％承担违约金；甲方不退还已收货物的，有权要求乙方退还已收取的未交付货物的货款，并要求乙方按合同合计金额的30％承担违约金。</w:t>
      </w:r>
    </w:p>
    <w:p w14:paraId="3620BB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逾期交付货物的，每逾期一日，应按合同合计金额的3%向甲方支付逾期交付的违约金；逾期超过十日的，甲方有权单方解除合同，并要求乙方退还已收取的款项，同时乙方应按照合同合计金额的30%向甲方支付违约金并承担因此给甲方造成的经济损失。</w:t>
      </w:r>
    </w:p>
    <w:p w14:paraId="6DB4801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所提供的产品名称、商标品牌、生产厂家、规格型号、技术参数、质量等不合格的，应按甲方的要求、在甲方指定的期限内更换，乙方因更换造成货物逾期交付的，按乙方逾期交付承担违约责任；因质量问题甲方不同意接收的或者特殊情况甲方同意接收的，乙方应向甲方支付合同合计金额30％的违约金并赔偿甲方经济损失。</w:t>
      </w:r>
    </w:p>
    <w:p w14:paraId="11A1F6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提供的货物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％的违约金并赔偿甲方经济损失。</w:t>
      </w:r>
    </w:p>
    <w:p w14:paraId="554A22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乙方明示不履行或不能履行合同，或交付的货物存在严重瑕疵，不具有正常使用功能或不能满足本合同目的，甲方有权解除合同，要求乙方退还已收取的货款，并要求乙方按合同合计金额的30％支付违约金。</w:t>
      </w:r>
    </w:p>
    <w:p w14:paraId="052BCE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因包装、运输引起的货物损坏，按质量不合格处罚。</w:t>
      </w:r>
    </w:p>
    <w:p w14:paraId="383073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乙方未按本合同和</w:t>
      </w:r>
      <w:r>
        <w:rPr>
          <w:rFonts w:hint="eastAsia" w:ascii="宋体" w:hAnsi="宋体" w:cs="宋体"/>
          <w:color w:val="auto"/>
          <w:sz w:val="24"/>
          <w:szCs w:val="24"/>
          <w:lang w:eastAsia="zh-CN"/>
        </w:rPr>
        <w:t>采购文件</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中规定的服务承诺提供售后服务的，每违约一次，应按合同合计金额的10%向甲方支付违约金。</w:t>
      </w:r>
    </w:p>
    <w:p w14:paraId="067961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乙方提供的货物在质量保证期内，因设计、工艺或者材料的缺陷和其它质量原因造成的问题，由乙方负责，费用从余款或者履约保证金中扣除，不足另补。</w:t>
      </w:r>
    </w:p>
    <w:p w14:paraId="39AB7B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乙方支付的违约金不足以弥补甲方损失的，应承担赔偿责任，甲方有权继续向乙方追偿。乙方应支付给甲方的任何款项，甲方有权从任何应支付未支付给乙方的款项中直接抵扣。</w:t>
      </w:r>
    </w:p>
    <w:p w14:paraId="25C905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甲方延期付货款的，每天向乙方偿付延期货款额3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的违约金，但违约金累计不得超过延期货款额的5%。</w:t>
      </w:r>
    </w:p>
    <w:p w14:paraId="0ED0D6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本合同所称的甲方经济损失或者甲方损失，包括甲方遭受的全部直接经济损失及为此支出的合理费用（包括</w:t>
      </w:r>
      <w:r>
        <w:rPr>
          <w:rFonts w:hint="eastAsia" w:ascii="宋体" w:hAnsi="宋体" w:eastAsia="宋体" w:cs="宋体"/>
          <w:color w:val="auto"/>
          <w:sz w:val="24"/>
          <w:szCs w:val="24"/>
          <w:lang w:eastAsia="zh-CN"/>
        </w:rPr>
        <w:t>但</w:t>
      </w:r>
      <w:r>
        <w:rPr>
          <w:rFonts w:hint="eastAsia" w:ascii="宋体" w:hAnsi="宋体" w:eastAsia="宋体" w:cs="宋体"/>
          <w:color w:val="auto"/>
          <w:sz w:val="24"/>
          <w:szCs w:val="24"/>
        </w:rPr>
        <w:t>不限于为此支出的调查费、诉讼费、保全费、保全保险费、垫付资金占用费、律师费、差旅费等）。</w:t>
      </w:r>
    </w:p>
    <w:p w14:paraId="0CCB77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第十三条　不可抗力事件处理</w:t>
      </w:r>
    </w:p>
    <w:p w14:paraId="3435E8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在合同有效期内，任何一方因不可抗力事件导致不能履行合同，则合同履行期可延长，其延长期与不可抗力影响期相同。</w:t>
      </w:r>
    </w:p>
    <w:p w14:paraId="41FE6C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不可抗力事件发生后，应立即通知对方，并寄送有关权威机构出具的证明。</w:t>
      </w:r>
    </w:p>
    <w:p w14:paraId="72484F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不可抗力事件延续一百二十天以上，</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双方应通过友好协商，确定是否继续履行合同。</w:t>
      </w:r>
    </w:p>
    <w:p w14:paraId="507272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合同履行过程中，因接受政府行政指令而无法履行的，接受政府行政指令的一方可以免除责任。</w:t>
      </w:r>
    </w:p>
    <w:p w14:paraId="4B5CAC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第十四条　合同争议解决</w:t>
      </w:r>
    </w:p>
    <w:p w14:paraId="782D5F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因货物质量问题发生争议的，应</w:t>
      </w:r>
      <w:r>
        <w:rPr>
          <w:rFonts w:hint="eastAsia" w:ascii="宋体" w:hAnsi="宋体" w:eastAsia="宋体" w:cs="宋体"/>
          <w:color w:val="auto"/>
          <w:sz w:val="24"/>
          <w:szCs w:val="24"/>
          <w:lang w:eastAsia="zh-CN"/>
        </w:rPr>
        <w:t>提交具有相应资质的机构</w:t>
      </w:r>
      <w:r>
        <w:rPr>
          <w:rFonts w:hint="eastAsia" w:ascii="宋体" w:hAnsi="宋体" w:eastAsia="宋体" w:cs="宋体"/>
          <w:color w:val="auto"/>
          <w:sz w:val="24"/>
          <w:szCs w:val="24"/>
        </w:rPr>
        <w:t>进行鉴定。货物符合标准的，鉴定费由甲方承担；货物不符合标准的，鉴定费由乙方承担。</w:t>
      </w:r>
    </w:p>
    <w:p w14:paraId="6805C4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因履行本合同引起的或者与本合同有关的争议，甲乙双方应首先通过友好协商解决，如果协商不能解决，可向甲方所在地有管辖权的人民法院提起诉讼。</w:t>
      </w:r>
    </w:p>
    <w:p w14:paraId="5F7E3B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第十五条　合同生效及其他</w:t>
      </w:r>
    </w:p>
    <w:p w14:paraId="5E362E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合同经</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双方法定代表人或者授权代表签字并加盖单位公章后生效。</w:t>
      </w:r>
    </w:p>
    <w:p w14:paraId="550ACA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合同执行中涉及采购资金和采购内容修改或者补充的，</w:t>
      </w:r>
      <w:r>
        <w:rPr>
          <w:rFonts w:hint="eastAsia" w:ascii="宋体" w:hAnsi="宋体" w:cs="宋体"/>
          <w:color w:val="auto"/>
          <w:sz w:val="24"/>
          <w:szCs w:val="24"/>
          <w:lang w:eastAsia="zh-CN"/>
        </w:rPr>
        <w:t>须</w:t>
      </w:r>
      <w:r>
        <w:rPr>
          <w:rFonts w:hint="eastAsia" w:ascii="宋体" w:hAnsi="宋体" w:eastAsia="宋体" w:cs="宋体"/>
          <w:color w:val="auto"/>
          <w:sz w:val="24"/>
          <w:szCs w:val="24"/>
        </w:rPr>
        <w:t>签书面补充协议报</w:t>
      </w:r>
      <w:r>
        <w:rPr>
          <w:rFonts w:hint="eastAsia" w:ascii="宋体" w:hAnsi="宋体" w:eastAsia="宋体" w:cs="宋体"/>
          <w:color w:val="auto"/>
          <w:sz w:val="24"/>
          <w:szCs w:val="24"/>
          <w:lang w:eastAsia="zh-CN"/>
        </w:rPr>
        <w:t>政府采购监管部门</w:t>
      </w:r>
      <w:r>
        <w:rPr>
          <w:rFonts w:hint="eastAsia" w:ascii="宋体" w:hAnsi="宋体" w:eastAsia="宋体" w:cs="宋体"/>
          <w:color w:val="auto"/>
          <w:sz w:val="24"/>
          <w:szCs w:val="24"/>
        </w:rPr>
        <w:t>备案，方可作为主合同不可分割的一部分。</w:t>
      </w:r>
    </w:p>
    <w:p w14:paraId="0FEE3D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合同未尽事宜，遵照《中华人民共和国民法典》</w:t>
      </w:r>
      <w:r>
        <w:rPr>
          <w:rFonts w:hint="eastAsia" w:ascii="宋体" w:hAnsi="宋体" w:eastAsia="宋体" w:cs="宋体"/>
          <w:color w:val="auto"/>
          <w:sz w:val="24"/>
          <w:szCs w:val="24"/>
          <w:lang w:eastAsia="zh-CN"/>
        </w:rPr>
        <w:t>等相关法律、法规规定</w:t>
      </w:r>
      <w:r>
        <w:rPr>
          <w:rFonts w:hint="eastAsia" w:ascii="宋体" w:hAnsi="宋体" w:eastAsia="宋体" w:cs="宋体"/>
          <w:color w:val="auto"/>
          <w:sz w:val="24"/>
          <w:szCs w:val="24"/>
        </w:rPr>
        <w:t>有关条文执行。</w:t>
      </w:r>
    </w:p>
    <w:p w14:paraId="2669ED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第十六条　合同的变更、终止与转让</w:t>
      </w:r>
    </w:p>
    <w:p w14:paraId="7BF23E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除《中华人民共和国政府采购法》第五十条规定的情形外，本合同一经签订，甲乙双方不得擅自变更、中止或者终止。</w:t>
      </w:r>
    </w:p>
    <w:p w14:paraId="5F9B56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未经甲方书面同意，乙方不得擅自转让其应履行的合同义务。</w:t>
      </w:r>
    </w:p>
    <w:p w14:paraId="21D208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第十七条　本合同与下列文件一起构成合同文件</w:t>
      </w:r>
    </w:p>
    <w:p w14:paraId="70DCB5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553186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cs="宋体"/>
          <w:color w:val="auto"/>
          <w:sz w:val="24"/>
          <w:szCs w:val="24"/>
          <w:lang w:eastAsia="zh-CN"/>
        </w:rPr>
        <w:t>竞争性谈判</w:t>
      </w: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表；</w:t>
      </w:r>
    </w:p>
    <w:p w14:paraId="41B835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采购需求；</w:t>
      </w:r>
    </w:p>
    <w:p w14:paraId="1FEB5A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
        </w:rPr>
        <w:t>.</w:t>
      </w:r>
      <w:r>
        <w:rPr>
          <w:rFonts w:hint="eastAsia" w:ascii="宋体" w:hAnsi="宋体" w:cs="宋体"/>
          <w:color w:val="auto"/>
          <w:sz w:val="24"/>
          <w:highlight w:val="none"/>
        </w:rPr>
        <w:t>竞争性谈判声明</w:t>
      </w:r>
      <w:r>
        <w:rPr>
          <w:rFonts w:hint="eastAsia" w:ascii="宋体" w:hAnsi="宋体" w:eastAsia="宋体" w:cs="宋体"/>
          <w:color w:val="auto"/>
          <w:sz w:val="24"/>
          <w:szCs w:val="24"/>
        </w:rPr>
        <w:t>；</w:t>
      </w:r>
    </w:p>
    <w:p w14:paraId="682AD5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商务</w:t>
      </w:r>
      <w:r>
        <w:rPr>
          <w:rFonts w:hint="eastAsia" w:ascii="宋体" w:hAnsi="宋体" w:cs="宋体"/>
          <w:color w:val="auto"/>
          <w:sz w:val="24"/>
          <w:szCs w:val="24"/>
          <w:lang w:eastAsia="zh-CN"/>
        </w:rPr>
        <w:t>要求</w:t>
      </w:r>
      <w:r>
        <w:rPr>
          <w:rFonts w:hint="eastAsia" w:ascii="宋体" w:hAnsi="宋体" w:eastAsia="宋体" w:cs="宋体"/>
          <w:color w:val="auto"/>
          <w:sz w:val="24"/>
          <w:szCs w:val="24"/>
        </w:rPr>
        <w:t>条款偏离表和技术</w:t>
      </w:r>
      <w:r>
        <w:rPr>
          <w:rFonts w:hint="eastAsia" w:ascii="宋体" w:hAnsi="宋体" w:cs="宋体"/>
          <w:color w:val="auto"/>
          <w:sz w:val="24"/>
          <w:szCs w:val="24"/>
          <w:lang w:eastAsia="zh-CN"/>
        </w:rPr>
        <w:t>要求</w:t>
      </w:r>
      <w:r>
        <w:rPr>
          <w:rFonts w:hint="eastAsia" w:ascii="宋体" w:hAnsi="宋体" w:eastAsia="宋体" w:cs="宋体"/>
          <w:color w:val="auto"/>
          <w:sz w:val="24"/>
          <w:szCs w:val="24"/>
          <w:lang w:eastAsia="zh-CN"/>
        </w:rPr>
        <w:t>需求</w:t>
      </w:r>
      <w:r>
        <w:rPr>
          <w:rFonts w:hint="eastAsia" w:ascii="宋体" w:hAnsi="宋体" w:eastAsia="宋体" w:cs="宋体"/>
          <w:color w:val="auto"/>
          <w:sz w:val="24"/>
          <w:szCs w:val="24"/>
        </w:rPr>
        <w:t>偏离表；</w:t>
      </w:r>
    </w:p>
    <w:p w14:paraId="26A50AC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设备性能配置清单；</w:t>
      </w:r>
    </w:p>
    <w:p w14:paraId="783FD4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
        </w:rPr>
        <w:t>.</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中的其他相关文件。</w:t>
      </w:r>
    </w:p>
    <w:p w14:paraId="4C9E34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上述合同文件互相补充和解释。如果合同文件之间存在矛盾或者不一致之处，以本合同、上述文件的排列顺序在先者为准。</w:t>
      </w:r>
    </w:p>
    <w:p w14:paraId="1BAC32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第十八条　其他约定事项</w:t>
      </w:r>
    </w:p>
    <w:p w14:paraId="3E1C39D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本合同所有附件及相关文件均为本合同的有效组成部分，与本合同具有同等法律效力。若合同附件与本合同存在不一致的，则以本合同为准。</w:t>
      </w:r>
    </w:p>
    <w:p w14:paraId="6B8E95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
        </w:rPr>
        <w:t>.</w:t>
      </w:r>
      <w:r>
        <w:rPr>
          <w:rFonts w:hint="eastAsia" w:ascii="宋体" w:hAnsi="宋体" w:eastAsia="宋体" w:cs="宋体"/>
          <w:color w:val="auto"/>
          <w:sz w:val="24"/>
          <w:szCs w:val="24"/>
        </w:rPr>
        <w:t>在履行本合同过程中，所有经</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双方签署确认的文件（包括会议纪要、补充协议、往来信函、电子邮件等）即成为本合同的有效组成部分。</w:t>
      </w:r>
    </w:p>
    <w:p w14:paraId="2D9BE6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
        </w:rPr>
        <w:t>.</w:t>
      </w:r>
      <w:r>
        <w:rPr>
          <w:rFonts w:hint="eastAsia" w:ascii="宋体" w:hAnsi="宋体" w:eastAsia="宋体" w:cs="宋体"/>
          <w:color w:val="auto"/>
          <w:sz w:val="24"/>
          <w:szCs w:val="24"/>
          <w:lang w:val="en" w:eastAsia="zh-CN"/>
        </w:rPr>
        <w:t>甲乙</w:t>
      </w:r>
      <w:r>
        <w:rPr>
          <w:rFonts w:hint="eastAsia" w:ascii="宋体" w:hAnsi="宋体" w:eastAsia="宋体" w:cs="宋体"/>
          <w:color w:val="auto"/>
          <w:sz w:val="24"/>
          <w:szCs w:val="24"/>
        </w:rPr>
        <w:t>双方确认，以下为各方真实有效通讯地址：</w:t>
      </w:r>
    </w:p>
    <w:p w14:paraId="389D23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，收件人：</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，电子邮箱：</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w:t>
      </w:r>
    </w:p>
    <w:p w14:paraId="761501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，收件人：</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，电子邮箱：</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w:t>
      </w:r>
    </w:p>
    <w:p w14:paraId="5792A4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2A749F6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
        </w:rPr>
        <w:t>4.</w:t>
      </w: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份，具有同等法律效力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甲乙双方各</w:t>
      </w:r>
      <w:r>
        <w:rPr>
          <w:rFonts w:hint="eastAsia" w:ascii="宋体" w:hAnsi="宋体" w:eastAsia="宋体" w:cs="宋体"/>
          <w:color w:val="auto"/>
          <w:sz w:val="24"/>
          <w:szCs w:val="24"/>
          <w:u w:val="single"/>
          <w:lang w:eastAsia="zh-CN"/>
        </w:rPr>
        <w:t>　　　</w:t>
      </w:r>
      <w:r>
        <w:rPr>
          <w:rFonts w:hint="eastAsia" w:ascii="宋体" w:hAnsi="宋体" w:eastAsia="宋体" w:cs="宋体"/>
          <w:color w:val="auto"/>
          <w:sz w:val="24"/>
          <w:szCs w:val="24"/>
        </w:rPr>
        <w:t>份</w:t>
      </w:r>
      <w:r>
        <w:rPr>
          <w:rFonts w:hint="eastAsia" w:ascii="宋体" w:hAnsi="宋体" w:cs="宋体"/>
          <w:color w:val="auto"/>
          <w:sz w:val="24"/>
          <w:szCs w:val="24"/>
          <w:lang w:eastAsia="zh-CN"/>
        </w:rPr>
        <w:t>，</w:t>
      </w: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份。</w:t>
      </w:r>
    </w:p>
    <w:p w14:paraId="7A62D9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本条款不因合同的变更、解除和终止而失效。</w:t>
      </w:r>
    </w:p>
    <w:p w14:paraId="3C36F6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val="0"/>
          <w:bCs/>
          <w:color w:val="auto"/>
          <w:sz w:val="24"/>
          <w:szCs w:val="24"/>
        </w:rPr>
        <w:t>第</w:t>
      </w:r>
      <w:r>
        <w:rPr>
          <w:rFonts w:hint="eastAsia" w:ascii="宋体" w:hAnsi="宋体" w:eastAsia="宋体" w:cs="宋体"/>
          <w:b w:val="0"/>
          <w:bCs/>
          <w:color w:val="auto"/>
          <w:sz w:val="24"/>
          <w:szCs w:val="24"/>
          <w:lang w:eastAsia="zh-CN"/>
        </w:rPr>
        <w:t>十九</w:t>
      </w:r>
      <w:r>
        <w:rPr>
          <w:rFonts w:hint="eastAsia" w:ascii="宋体" w:hAnsi="宋体" w:eastAsia="宋体" w:cs="宋体"/>
          <w:b w:val="0"/>
          <w:bCs/>
          <w:color w:val="auto"/>
          <w:sz w:val="24"/>
          <w:szCs w:val="24"/>
        </w:rPr>
        <w:t>条</w:t>
      </w:r>
      <w:r>
        <w:rPr>
          <w:rFonts w:hint="eastAsia" w:ascii="宋体" w:hAnsi="宋体" w:eastAsia="宋体" w:cs="宋体"/>
          <w:b w:val="0"/>
          <w:bCs/>
          <w:color w:val="auto"/>
          <w:sz w:val="24"/>
          <w:szCs w:val="24"/>
          <w:lang w:eastAsia="zh-CN"/>
        </w:rPr>
        <w:t>　</w:t>
      </w:r>
      <w:r>
        <w:rPr>
          <w:rFonts w:hint="eastAsia" w:ascii="宋体" w:hAnsi="宋体" w:eastAsia="宋体" w:cs="宋体"/>
          <w:b w:val="0"/>
          <w:bCs/>
          <w:color w:val="auto"/>
          <w:sz w:val="24"/>
          <w:szCs w:val="24"/>
        </w:rPr>
        <w:t>合同附件</w:t>
      </w:r>
    </w:p>
    <w:p w14:paraId="2E6A0E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附件一：</w:t>
      </w:r>
    </w:p>
    <w:p w14:paraId="28D4C2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ascii="宋体" w:hAnsi="宋体" w:eastAsia="宋体" w:cs="宋体"/>
          <w:color w:val="auto"/>
          <w:sz w:val="24"/>
          <w:szCs w:val="24"/>
        </w:rPr>
        <w:t>附件二：</w:t>
      </w:r>
      <w:bookmarkEnd w:id="31"/>
    </w:p>
    <w:tbl>
      <w:tblPr>
        <w:tblStyle w:val="27"/>
        <w:tblW w:w="9034" w:type="dxa"/>
        <w:tblInd w:w="122" w:type="dxa"/>
        <w:tblLayout w:type="fixed"/>
        <w:tblCellMar>
          <w:top w:w="0" w:type="dxa"/>
          <w:left w:w="108" w:type="dxa"/>
          <w:bottom w:w="0" w:type="dxa"/>
          <w:right w:w="108" w:type="dxa"/>
        </w:tblCellMar>
      </w:tblPr>
      <w:tblGrid>
        <w:gridCol w:w="4817"/>
        <w:gridCol w:w="4217"/>
      </w:tblGrid>
      <w:tr w14:paraId="757A6C17">
        <w:tblPrEx>
          <w:tblCellMar>
            <w:top w:w="0" w:type="dxa"/>
            <w:left w:w="108" w:type="dxa"/>
            <w:bottom w:w="0" w:type="dxa"/>
            <w:right w:w="108" w:type="dxa"/>
          </w:tblCellMar>
        </w:tblPrEx>
        <w:trPr>
          <w:trHeight w:val="981" w:hRule="atLeast"/>
        </w:trPr>
        <w:tc>
          <w:tcPr>
            <w:tcW w:w="4817" w:type="dxa"/>
            <w:noWrap w:val="0"/>
            <w:vAlign w:val="top"/>
          </w:tcPr>
          <w:p w14:paraId="452D3302">
            <w:pPr>
              <w:pStyle w:val="18"/>
              <w:spacing w:line="400" w:lineRule="exact"/>
              <w:rPr>
                <w:rFonts w:hint="eastAsia" w:ascii="宋体" w:hAnsi="宋体" w:cs="宋体"/>
                <w:sz w:val="21"/>
                <w:szCs w:val="21"/>
                <w:lang w:val="en-US" w:eastAsia="zh-CN"/>
              </w:rPr>
            </w:pPr>
            <w:r>
              <w:rPr>
                <w:rFonts w:hint="eastAsia" w:ascii="宋体" w:hAnsi="宋体" w:cs="宋体"/>
                <w:b/>
                <w:bCs/>
                <w:sz w:val="21"/>
                <w:szCs w:val="21"/>
                <w:lang w:val="en-US" w:eastAsia="zh-CN"/>
              </w:rPr>
              <w:t>甲方：广西壮族自治区来宾生态环境监测中心</w:t>
            </w:r>
          </w:p>
        </w:tc>
        <w:tc>
          <w:tcPr>
            <w:tcW w:w="4217" w:type="dxa"/>
            <w:noWrap w:val="0"/>
            <w:vAlign w:val="top"/>
          </w:tcPr>
          <w:p w14:paraId="1CA928F1">
            <w:pPr>
              <w:pStyle w:val="18"/>
              <w:spacing w:line="400" w:lineRule="exact"/>
              <w:rPr>
                <w:rFonts w:hint="eastAsia" w:ascii="宋体" w:hAnsi="宋体" w:cs="宋体"/>
                <w:sz w:val="21"/>
                <w:szCs w:val="21"/>
                <w:lang w:val="en-US" w:eastAsia="zh-CN"/>
              </w:rPr>
            </w:pPr>
            <w:r>
              <w:rPr>
                <w:rFonts w:hint="eastAsia" w:ascii="宋体" w:hAnsi="宋体" w:cs="宋体"/>
                <w:b/>
                <w:bCs/>
                <w:sz w:val="21"/>
                <w:szCs w:val="21"/>
                <w:lang w:val="en-US" w:eastAsia="zh-CN"/>
              </w:rPr>
              <w:t>乙方：</w:t>
            </w:r>
          </w:p>
        </w:tc>
      </w:tr>
      <w:tr w14:paraId="0D1580FF">
        <w:tblPrEx>
          <w:tblCellMar>
            <w:top w:w="0" w:type="dxa"/>
            <w:left w:w="108" w:type="dxa"/>
            <w:bottom w:w="0" w:type="dxa"/>
            <w:right w:w="108" w:type="dxa"/>
          </w:tblCellMar>
        </w:tblPrEx>
        <w:trPr>
          <w:trHeight w:val="883" w:hRule="atLeast"/>
        </w:trPr>
        <w:tc>
          <w:tcPr>
            <w:tcW w:w="4817" w:type="dxa"/>
            <w:noWrap w:val="0"/>
            <w:vAlign w:val="top"/>
          </w:tcPr>
          <w:p w14:paraId="71D50B23">
            <w:pPr>
              <w:pStyle w:val="18"/>
              <w:spacing w:line="400" w:lineRule="exact"/>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法定代表人（负责人）： </w:t>
            </w:r>
          </w:p>
          <w:p w14:paraId="110F9F29">
            <w:pPr>
              <w:pStyle w:val="18"/>
              <w:spacing w:line="400" w:lineRule="exact"/>
              <w:rPr>
                <w:rFonts w:hint="eastAsia" w:ascii="宋体" w:hAnsi="宋体" w:cs="宋体"/>
                <w:b/>
                <w:bCs/>
                <w:sz w:val="21"/>
                <w:szCs w:val="21"/>
                <w:lang w:val="en-US" w:eastAsia="zh-CN"/>
              </w:rPr>
            </w:pPr>
          </w:p>
        </w:tc>
        <w:tc>
          <w:tcPr>
            <w:tcW w:w="4217" w:type="dxa"/>
            <w:noWrap w:val="0"/>
            <w:vAlign w:val="top"/>
          </w:tcPr>
          <w:p w14:paraId="2CD85E31">
            <w:pPr>
              <w:pStyle w:val="18"/>
              <w:spacing w:line="400" w:lineRule="exact"/>
              <w:rPr>
                <w:rFonts w:hint="eastAsia" w:ascii="宋体" w:hAnsi="宋体" w:cs="宋体"/>
                <w:b/>
                <w:bCs/>
                <w:sz w:val="21"/>
                <w:szCs w:val="21"/>
                <w:lang w:val="en-US" w:eastAsia="zh-CN"/>
              </w:rPr>
            </w:pPr>
            <w:r>
              <w:rPr>
                <w:rFonts w:hint="eastAsia" w:ascii="宋体" w:hAnsi="宋体" w:cs="宋体"/>
                <w:b/>
                <w:bCs/>
                <w:sz w:val="21"/>
                <w:szCs w:val="21"/>
                <w:lang w:val="en-US" w:eastAsia="zh-CN"/>
              </w:rPr>
              <w:t>法定代表人（负责人）：</w:t>
            </w:r>
          </w:p>
        </w:tc>
      </w:tr>
      <w:tr w14:paraId="1F749653">
        <w:tblPrEx>
          <w:tblCellMar>
            <w:top w:w="0" w:type="dxa"/>
            <w:left w:w="108" w:type="dxa"/>
            <w:bottom w:w="0" w:type="dxa"/>
            <w:right w:w="108" w:type="dxa"/>
          </w:tblCellMar>
        </w:tblPrEx>
        <w:trPr>
          <w:trHeight w:val="738" w:hRule="atLeast"/>
        </w:trPr>
        <w:tc>
          <w:tcPr>
            <w:tcW w:w="4817" w:type="dxa"/>
            <w:noWrap w:val="0"/>
            <w:vAlign w:val="top"/>
          </w:tcPr>
          <w:p w14:paraId="31653FB9">
            <w:pPr>
              <w:pStyle w:val="18"/>
              <w:spacing w:line="400" w:lineRule="exact"/>
              <w:rPr>
                <w:rFonts w:hint="eastAsia" w:ascii="宋体" w:hAnsi="宋体" w:cs="宋体"/>
                <w:sz w:val="21"/>
                <w:szCs w:val="21"/>
                <w:lang w:val="en-US" w:eastAsia="zh-CN"/>
              </w:rPr>
            </w:pPr>
            <w:r>
              <w:rPr>
                <w:rFonts w:hint="eastAsia" w:ascii="宋体" w:hAnsi="宋体" w:cs="宋体"/>
                <w:b/>
                <w:bCs/>
                <w:sz w:val="21"/>
                <w:szCs w:val="21"/>
                <w:lang w:val="en-US" w:eastAsia="zh-CN"/>
              </w:rPr>
              <w:t>授权代表：</w:t>
            </w:r>
          </w:p>
        </w:tc>
        <w:tc>
          <w:tcPr>
            <w:tcW w:w="4217" w:type="dxa"/>
            <w:noWrap w:val="0"/>
            <w:vAlign w:val="top"/>
          </w:tcPr>
          <w:p w14:paraId="57D0913F">
            <w:pPr>
              <w:pStyle w:val="18"/>
              <w:spacing w:line="400" w:lineRule="exact"/>
              <w:rPr>
                <w:rFonts w:hint="eastAsia" w:ascii="宋体" w:hAnsi="宋体" w:cs="宋体"/>
                <w:sz w:val="21"/>
                <w:szCs w:val="21"/>
                <w:lang w:val="en-US" w:eastAsia="zh-CN"/>
              </w:rPr>
            </w:pPr>
            <w:r>
              <w:rPr>
                <w:rFonts w:hint="eastAsia" w:ascii="宋体" w:hAnsi="宋体" w:cs="宋体"/>
                <w:b/>
                <w:bCs/>
                <w:sz w:val="21"/>
                <w:szCs w:val="21"/>
                <w:lang w:val="en-US" w:eastAsia="zh-CN"/>
              </w:rPr>
              <w:t>授权代表：</w:t>
            </w:r>
          </w:p>
        </w:tc>
      </w:tr>
      <w:tr w14:paraId="074D8784">
        <w:tblPrEx>
          <w:tblCellMar>
            <w:top w:w="0" w:type="dxa"/>
            <w:left w:w="108" w:type="dxa"/>
            <w:bottom w:w="0" w:type="dxa"/>
            <w:right w:w="108" w:type="dxa"/>
          </w:tblCellMar>
        </w:tblPrEx>
        <w:trPr>
          <w:trHeight w:val="721" w:hRule="atLeast"/>
        </w:trPr>
        <w:tc>
          <w:tcPr>
            <w:tcW w:w="4817" w:type="dxa"/>
            <w:noWrap w:val="0"/>
            <w:vAlign w:val="top"/>
          </w:tcPr>
          <w:p w14:paraId="06137859">
            <w:pPr>
              <w:pStyle w:val="18"/>
              <w:spacing w:line="400" w:lineRule="exact"/>
              <w:jc w:val="right"/>
              <w:rPr>
                <w:rFonts w:hint="eastAsia" w:ascii="宋体" w:hAnsi="宋体" w:cs="宋体"/>
                <w:b/>
                <w:bCs/>
                <w:sz w:val="21"/>
                <w:szCs w:val="21"/>
                <w:lang w:val="en-US" w:eastAsia="zh-CN"/>
              </w:rPr>
            </w:pPr>
            <w:r>
              <w:rPr>
                <w:rFonts w:hint="eastAsia" w:ascii="宋体" w:hAnsi="宋体" w:cs="宋体"/>
                <w:b/>
                <w:bCs/>
                <w:sz w:val="21"/>
                <w:szCs w:val="21"/>
                <w:lang w:val="en-US" w:eastAsia="zh-CN"/>
              </w:rPr>
              <w:t>年  月  日</w:t>
            </w:r>
          </w:p>
        </w:tc>
        <w:tc>
          <w:tcPr>
            <w:tcW w:w="4217" w:type="dxa"/>
            <w:noWrap w:val="0"/>
            <w:vAlign w:val="top"/>
          </w:tcPr>
          <w:p w14:paraId="05692416">
            <w:pPr>
              <w:pStyle w:val="18"/>
              <w:spacing w:line="400" w:lineRule="exact"/>
              <w:jc w:val="right"/>
              <w:rPr>
                <w:rFonts w:hint="eastAsia" w:ascii="宋体" w:hAnsi="宋体" w:cs="宋体"/>
                <w:b/>
                <w:bCs/>
                <w:sz w:val="21"/>
                <w:szCs w:val="21"/>
                <w:lang w:val="en-US" w:eastAsia="zh-CN"/>
              </w:rPr>
            </w:pPr>
            <w:r>
              <w:rPr>
                <w:rFonts w:hint="eastAsia" w:ascii="宋体" w:hAnsi="宋体" w:cs="宋体"/>
                <w:b/>
                <w:bCs/>
                <w:sz w:val="21"/>
                <w:szCs w:val="21"/>
                <w:lang w:val="en-US" w:eastAsia="zh-CN"/>
              </w:rPr>
              <w:t>年  月  日</w:t>
            </w:r>
          </w:p>
        </w:tc>
      </w:tr>
    </w:tbl>
    <w:p w14:paraId="0A688BF2">
      <w:pPr>
        <w:pStyle w:val="79"/>
        <w:spacing w:after="156" w:line="336" w:lineRule="auto"/>
        <w:ind w:firstLine="420"/>
        <w:rPr>
          <w:rFonts w:hint="eastAsia" w:ascii="宋体" w:hAnsi="宋体" w:cs="宋体"/>
          <w:sz w:val="21"/>
          <w:szCs w:val="21"/>
        </w:rPr>
      </w:pPr>
    </w:p>
    <w:p w14:paraId="6B60924C">
      <w:pPr>
        <w:spacing w:line="460" w:lineRule="exact"/>
        <w:rPr>
          <w:rFonts w:ascii="宋体" w:hAnsi="宋体" w:cs="宋体"/>
          <w:b/>
          <w:bCs/>
          <w:color w:val="auto"/>
          <w:kern w:val="0"/>
          <w:sz w:val="24"/>
          <w:highlight w:val="none"/>
        </w:rPr>
      </w:pPr>
    </w:p>
    <w:sectPr>
      <w:pgSz w:w="11905" w:h="16838"/>
      <w:pgMar w:top="1417" w:right="1417" w:bottom="1417" w:left="1417" w:header="850" w:footer="992" w:gutter="0"/>
      <w:pgNumType w:fmt="decimal"/>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8AD78">
    <w:pPr>
      <w:pStyle w:val="18"/>
      <w:framePr w:wrap="around" w:vAnchor="text" w:hAnchor="margin" w:xAlign="center" w:y="1"/>
      <w:rPr>
        <w:rStyle w:val="30"/>
      </w:rPr>
    </w:pPr>
    <w:r>
      <w:fldChar w:fldCharType="begin"/>
    </w:r>
    <w:r>
      <w:rPr>
        <w:rStyle w:val="30"/>
      </w:rPr>
      <w:instrText xml:space="preserve">PAGE  </w:instrText>
    </w:r>
    <w:r>
      <w:fldChar w:fldCharType="separate"/>
    </w:r>
    <w:r>
      <w:rPr>
        <w:rStyle w:val="30"/>
      </w:rPr>
      <w:t>1</w:t>
    </w:r>
    <w:r>
      <w:fldChar w:fldCharType="end"/>
    </w:r>
  </w:p>
  <w:p w14:paraId="3C77A27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1205">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52749">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2323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E2323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95D02">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08202">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908202">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F16A">
    <w:pPr>
      <w:pStyle w:val="1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710C">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7DC75"/>
    <w:multiLevelType w:val="singleLevel"/>
    <w:tmpl w:val="C1F7DC75"/>
    <w:lvl w:ilvl="0" w:tentative="0">
      <w:start w:val="7"/>
      <w:numFmt w:val="chineseCounting"/>
      <w:suff w:val="nothing"/>
      <w:lvlText w:val="%1、"/>
      <w:lvlJc w:val="left"/>
      <w:rPr>
        <w:rFonts w:hint="eastAsia"/>
      </w:rPr>
    </w:lvl>
  </w:abstractNum>
  <w:abstractNum w:abstractNumId="1">
    <w:nsid w:val="61BF1AE8"/>
    <w:multiLevelType w:val="multilevel"/>
    <w:tmpl w:val="61BF1AE8"/>
    <w:lvl w:ilvl="0" w:tentative="0">
      <w:start w:val="1"/>
      <w:numFmt w:val="japaneseCounting"/>
      <w:lvlText w:val="第%1章"/>
      <w:lvlJc w:val="left"/>
      <w:pPr>
        <w:ind w:left="1545" w:hanging="15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ZDk5YzUzMDQwZDY3NmU4YjQ1N2NjYTA0MThlNzgifQ=="/>
  </w:docVars>
  <w:rsids>
    <w:rsidRoot w:val="00F34B14"/>
    <w:rsid w:val="00000672"/>
    <w:rsid w:val="00001799"/>
    <w:rsid w:val="000022D9"/>
    <w:rsid w:val="00002D29"/>
    <w:rsid w:val="000040C5"/>
    <w:rsid w:val="000045C6"/>
    <w:rsid w:val="00004A8A"/>
    <w:rsid w:val="0000574C"/>
    <w:rsid w:val="00005B07"/>
    <w:rsid w:val="00005E55"/>
    <w:rsid w:val="00005FDF"/>
    <w:rsid w:val="00006586"/>
    <w:rsid w:val="000065BA"/>
    <w:rsid w:val="0001045D"/>
    <w:rsid w:val="00010D39"/>
    <w:rsid w:val="000112BB"/>
    <w:rsid w:val="0001149B"/>
    <w:rsid w:val="0001172C"/>
    <w:rsid w:val="00012854"/>
    <w:rsid w:val="00012E50"/>
    <w:rsid w:val="00012EA6"/>
    <w:rsid w:val="000139DC"/>
    <w:rsid w:val="00013D8C"/>
    <w:rsid w:val="00013DFE"/>
    <w:rsid w:val="00013F03"/>
    <w:rsid w:val="000141EA"/>
    <w:rsid w:val="00014385"/>
    <w:rsid w:val="00014D2F"/>
    <w:rsid w:val="000159F6"/>
    <w:rsid w:val="00016960"/>
    <w:rsid w:val="00017396"/>
    <w:rsid w:val="000177DB"/>
    <w:rsid w:val="00020227"/>
    <w:rsid w:val="000203E4"/>
    <w:rsid w:val="00020455"/>
    <w:rsid w:val="00020CCE"/>
    <w:rsid w:val="00022731"/>
    <w:rsid w:val="00022792"/>
    <w:rsid w:val="00022A07"/>
    <w:rsid w:val="000242CE"/>
    <w:rsid w:val="00025382"/>
    <w:rsid w:val="00025636"/>
    <w:rsid w:val="00025E36"/>
    <w:rsid w:val="00026627"/>
    <w:rsid w:val="00026886"/>
    <w:rsid w:val="0002793A"/>
    <w:rsid w:val="00030496"/>
    <w:rsid w:val="000329E0"/>
    <w:rsid w:val="000333A0"/>
    <w:rsid w:val="00034060"/>
    <w:rsid w:val="000352E9"/>
    <w:rsid w:val="00036A07"/>
    <w:rsid w:val="00036E33"/>
    <w:rsid w:val="00036FAD"/>
    <w:rsid w:val="00037363"/>
    <w:rsid w:val="00037E2D"/>
    <w:rsid w:val="00040571"/>
    <w:rsid w:val="0004156E"/>
    <w:rsid w:val="00041597"/>
    <w:rsid w:val="00041800"/>
    <w:rsid w:val="0004440C"/>
    <w:rsid w:val="00045880"/>
    <w:rsid w:val="000462CB"/>
    <w:rsid w:val="00046B5E"/>
    <w:rsid w:val="0004783A"/>
    <w:rsid w:val="000509D9"/>
    <w:rsid w:val="0005398D"/>
    <w:rsid w:val="000552A6"/>
    <w:rsid w:val="00055D41"/>
    <w:rsid w:val="000569C7"/>
    <w:rsid w:val="00057CEC"/>
    <w:rsid w:val="00060DCE"/>
    <w:rsid w:val="00061A5A"/>
    <w:rsid w:val="000623B4"/>
    <w:rsid w:val="000634A3"/>
    <w:rsid w:val="000634A7"/>
    <w:rsid w:val="00063E85"/>
    <w:rsid w:val="00063F81"/>
    <w:rsid w:val="00064847"/>
    <w:rsid w:val="0006484B"/>
    <w:rsid w:val="000673E2"/>
    <w:rsid w:val="000703B6"/>
    <w:rsid w:val="000711E4"/>
    <w:rsid w:val="000719F9"/>
    <w:rsid w:val="0007228C"/>
    <w:rsid w:val="000722D1"/>
    <w:rsid w:val="00072AED"/>
    <w:rsid w:val="00073F47"/>
    <w:rsid w:val="00075B7E"/>
    <w:rsid w:val="00077C70"/>
    <w:rsid w:val="00080B57"/>
    <w:rsid w:val="00081BA3"/>
    <w:rsid w:val="00081D2E"/>
    <w:rsid w:val="00081E30"/>
    <w:rsid w:val="0008267B"/>
    <w:rsid w:val="00082D02"/>
    <w:rsid w:val="000833E9"/>
    <w:rsid w:val="00083B91"/>
    <w:rsid w:val="0008520B"/>
    <w:rsid w:val="000871B8"/>
    <w:rsid w:val="00087DB6"/>
    <w:rsid w:val="000913BE"/>
    <w:rsid w:val="000918F8"/>
    <w:rsid w:val="00092442"/>
    <w:rsid w:val="00094183"/>
    <w:rsid w:val="00095233"/>
    <w:rsid w:val="0009588E"/>
    <w:rsid w:val="000959EE"/>
    <w:rsid w:val="00095B51"/>
    <w:rsid w:val="00097DA0"/>
    <w:rsid w:val="000A0D6B"/>
    <w:rsid w:val="000A1389"/>
    <w:rsid w:val="000A166E"/>
    <w:rsid w:val="000A2B0E"/>
    <w:rsid w:val="000A398F"/>
    <w:rsid w:val="000A509C"/>
    <w:rsid w:val="000A5516"/>
    <w:rsid w:val="000A6007"/>
    <w:rsid w:val="000A65A6"/>
    <w:rsid w:val="000A7275"/>
    <w:rsid w:val="000A7A12"/>
    <w:rsid w:val="000A7CA5"/>
    <w:rsid w:val="000B039A"/>
    <w:rsid w:val="000B1801"/>
    <w:rsid w:val="000B1D0C"/>
    <w:rsid w:val="000B2D03"/>
    <w:rsid w:val="000B3815"/>
    <w:rsid w:val="000B3C7B"/>
    <w:rsid w:val="000B5B24"/>
    <w:rsid w:val="000B6C95"/>
    <w:rsid w:val="000C06D3"/>
    <w:rsid w:val="000C0C58"/>
    <w:rsid w:val="000C1679"/>
    <w:rsid w:val="000C2F89"/>
    <w:rsid w:val="000C30BB"/>
    <w:rsid w:val="000C366E"/>
    <w:rsid w:val="000C3B94"/>
    <w:rsid w:val="000C4635"/>
    <w:rsid w:val="000C548E"/>
    <w:rsid w:val="000C5698"/>
    <w:rsid w:val="000C6DE4"/>
    <w:rsid w:val="000C716B"/>
    <w:rsid w:val="000C7C12"/>
    <w:rsid w:val="000D01EB"/>
    <w:rsid w:val="000D056E"/>
    <w:rsid w:val="000D0675"/>
    <w:rsid w:val="000D0A89"/>
    <w:rsid w:val="000D1389"/>
    <w:rsid w:val="000D1798"/>
    <w:rsid w:val="000D1A2A"/>
    <w:rsid w:val="000D1A53"/>
    <w:rsid w:val="000D2626"/>
    <w:rsid w:val="000D2B7D"/>
    <w:rsid w:val="000D4A06"/>
    <w:rsid w:val="000D73DD"/>
    <w:rsid w:val="000D7D9B"/>
    <w:rsid w:val="000E18E2"/>
    <w:rsid w:val="000E28AB"/>
    <w:rsid w:val="000E28C1"/>
    <w:rsid w:val="000E2E3E"/>
    <w:rsid w:val="000E33C5"/>
    <w:rsid w:val="000E3583"/>
    <w:rsid w:val="000E3AF0"/>
    <w:rsid w:val="000E3D53"/>
    <w:rsid w:val="000E4E04"/>
    <w:rsid w:val="000E684C"/>
    <w:rsid w:val="000E6EC9"/>
    <w:rsid w:val="000E70B4"/>
    <w:rsid w:val="000F06FC"/>
    <w:rsid w:val="000F0742"/>
    <w:rsid w:val="000F3281"/>
    <w:rsid w:val="000F3733"/>
    <w:rsid w:val="000F4D88"/>
    <w:rsid w:val="000F4FC9"/>
    <w:rsid w:val="000F64AA"/>
    <w:rsid w:val="000F7AF4"/>
    <w:rsid w:val="000F7C33"/>
    <w:rsid w:val="000F7F0C"/>
    <w:rsid w:val="00100246"/>
    <w:rsid w:val="001004D6"/>
    <w:rsid w:val="00100D90"/>
    <w:rsid w:val="00102309"/>
    <w:rsid w:val="00102ECA"/>
    <w:rsid w:val="00103918"/>
    <w:rsid w:val="00104889"/>
    <w:rsid w:val="00104897"/>
    <w:rsid w:val="00104D7E"/>
    <w:rsid w:val="00104EDE"/>
    <w:rsid w:val="00105AA1"/>
    <w:rsid w:val="00105FAC"/>
    <w:rsid w:val="00106BEE"/>
    <w:rsid w:val="00110339"/>
    <w:rsid w:val="00110C92"/>
    <w:rsid w:val="00113134"/>
    <w:rsid w:val="00113AC0"/>
    <w:rsid w:val="00114851"/>
    <w:rsid w:val="00115E11"/>
    <w:rsid w:val="00115F56"/>
    <w:rsid w:val="00117CBD"/>
    <w:rsid w:val="0012006A"/>
    <w:rsid w:val="00120990"/>
    <w:rsid w:val="001217B5"/>
    <w:rsid w:val="00121979"/>
    <w:rsid w:val="00122064"/>
    <w:rsid w:val="0012378B"/>
    <w:rsid w:val="00123B26"/>
    <w:rsid w:val="00125004"/>
    <w:rsid w:val="001263B8"/>
    <w:rsid w:val="00126763"/>
    <w:rsid w:val="00130217"/>
    <w:rsid w:val="00130783"/>
    <w:rsid w:val="00130990"/>
    <w:rsid w:val="001312CB"/>
    <w:rsid w:val="001315D9"/>
    <w:rsid w:val="00132B47"/>
    <w:rsid w:val="00132E64"/>
    <w:rsid w:val="00134816"/>
    <w:rsid w:val="001351CB"/>
    <w:rsid w:val="001359A2"/>
    <w:rsid w:val="00135E37"/>
    <w:rsid w:val="00136020"/>
    <w:rsid w:val="00136445"/>
    <w:rsid w:val="0013746E"/>
    <w:rsid w:val="001374F3"/>
    <w:rsid w:val="00140132"/>
    <w:rsid w:val="00141C9C"/>
    <w:rsid w:val="00142668"/>
    <w:rsid w:val="001434BE"/>
    <w:rsid w:val="00144275"/>
    <w:rsid w:val="0014479F"/>
    <w:rsid w:val="001452B4"/>
    <w:rsid w:val="00146EC6"/>
    <w:rsid w:val="001478D2"/>
    <w:rsid w:val="00151C48"/>
    <w:rsid w:val="00152A87"/>
    <w:rsid w:val="00154486"/>
    <w:rsid w:val="00154663"/>
    <w:rsid w:val="00156D0E"/>
    <w:rsid w:val="00156DD9"/>
    <w:rsid w:val="0016086E"/>
    <w:rsid w:val="00160D0C"/>
    <w:rsid w:val="00161172"/>
    <w:rsid w:val="0016139E"/>
    <w:rsid w:val="00161E65"/>
    <w:rsid w:val="00162597"/>
    <w:rsid w:val="001629AF"/>
    <w:rsid w:val="00162C1D"/>
    <w:rsid w:val="001633A3"/>
    <w:rsid w:val="0016428A"/>
    <w:rsid w:val="001647C9"/>
    <w:rsid w:val="00164837"/>
    <w:rsid w:val="001661A3"/>
    <w:rsid w:val="0016782B"/>
    <w:rsid w:val="00170B05"/>
    <w:rsid w:val="00173256"/>
    <w:rsid w:val="001733E1"/>
    <w:rsid w:val="00173F74"/>
    <w:rsid w:val="00175086"/>
    <w:rsid w:val="00175BA6"/>
    <w:rsid w:val="0017617F"/>
    <w:rsid w:val="00176CA7"/>
    <w:rsid w:val="001778C5"/>
    <w:rsid w:val="00177E56"/>
    <w:rsid w:val="00177F0A"/>
    <w:rsid w:val="00185617"/>
    <w:rsid w:val="00186ADE"/>
    <w:rsid w:val="00187F35"/>
    <w:rsid w:val="0019171E"/>
    <w:rsid w:val="0019220F"/>
    <w:rsid w:val="001928B1"/>
    <w:rsid w:val="00194ED5"/>
    <w:rsid w:val="00195424"/>
    <w:rsid w:val="001955FF"/>
    <w:rsid w:val="0019692F"/>
    <w:rsid w:val="00197EDD"/>
    <w:rsid w:val="00197F70"/>
    <w:rsid w:val="001A02B3"/>
    <w:rsid w:val="001A0322"/>
    <w:rsid w:val="001A04BB"/>
    <w:rsid w:val="001A08D0"/>
    <w:rsid w:val="001A14B1"/>
    <w:rsid w:val="001A1B39"/>
    <w:rsid w:val="001A2492"/>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25A7"/>
    <w:rsid w:val="001C318C"/>
    <w:rsid w:val="001C38B0"/>
    <w:rsid w:val="001C4287"/>
    <w:rsid w:val="001C4479"/>
    <w:rsid w:val="001C76B7"/>
    <w:rsid w:val="001C76FB"/>
    <w:rsid w:val="001D1165"/>
    <w:rsid w:val="001D2764"/>
    <w:rsid w:val="001D324F"/>
    <w:rsid w:val="001D3697"/>
    <w:rsid w:val="001D51DE"/>
    <w:rsid w:val="001D540E"/>
    <w:rsid w:val="001D58A1"/>
    <w:rsid w:val="001D5A8A"/>
    <w:rsid w:val="001D735E"/>
    <w:rsid w:val="001D73C8"/>
    <w:rsid w:val="001D74D4"/>
    <w:rsid w:val="001D756D"/>
    <w:rsid w:val="001D778C"/>
    <w:rsid w:val="001D7E1F"/>
    <w:rsid w:val="001E0756"/>
    <w:rsid w:val="001E0A8D"/>
    <w:rsid w:val="001E0FFB"/>
    <w:rsid w:val="001E129E"/>
    <w:rsid w:val="001E1F33"/>
    <w:rsid w:val="001E2B9F"/>
    <w:rsid w:val="001E30C0"/>
    <w:rsid w:val="001E3221"/>
    <w:rsid w:val="001E33BA"/>
    <w:rsid w:val="001E4A8D"/>
    <w:rsid w:val="001E5A94"/>
    <w:rsid w:val="001E7648"/>
    <w:rsid w:val="001F127B"/>
    <w:rsid w:val="001F15A8"/>
    <w:rsid w:val="001F2A2E"/>
    <w:rsid w:val="001F3B72"/>
    <w:rsid w:val="001F3C63"/>
    <w:rsid w:val="001F4460"/>
    <w:rsid w:val="001F5DAF"/>
    <w:rsid w:val="001F637C"/>
    <w:rsid w:val="001F6B6C"/>
    <w:rsid w:val="001F711A"/>
    <w:rsid w:val="001F75B0"/>
    <w:rsid w:val="001F7686"/>
    <w:rsid w:val="0020035F"/>
    <w:rsid w:val="0020072B"/>
    <w:rsid w:val="00200CE5"/>
    <w:rsid w:val="002014DB"/>
    <w:rsid w:val="00201E12"/>
    <w:rsid w:val="00202AEC"/>
    <w:rsid w:val="002031E2"/>
    <w:rsid w:val="002033B5"/>
    <w:rsid w:val="0020382C"/>
    <w:rsid w:val="0020437A"/>
    <w:rsid w:val="00204B5F"/>
    <w:rsid w:val="0020532C"/>
    <w:rsid w:val="00205D23"/>
    <w:rsid w:val="0021064F"/>
    <w:rsid w:val="002114C7"/>
    <w:rsid w:val="00212756"/>
    <w:rsid w:val="0021302C"/>
    <w:rsid w:val="00213045"/>
    <w:rsid w:val="00213483"/>
    <w:rsid w:val="00213B1C"/>
    <w:rsid w:val="00214202"/>
    <w:rsid w:val="002146F3"/>
    <w:rsid w:val="002148E3"/>
    <w:rsid w:val="00215373"/>
    <w:rsid w:val="0021552D"/>
    <w:rsid w:val="002156AE"/>
    <w:rsid w:val="002177BD"/>
    <w:rsid w:val="00217861"/>
    <w:rsid w:val="0022054D"/>
    <w:rsid w:val="00220949"/>
    <w:rsid w:val="002225FA"/>
    <w:rsid w:val="0022413B"/>
    <w:rsid w:val="00224DE1"/>
    <w:rsid w:val="002255B2"/>
    <w:rsid w:val="00225664"/>
    <w:rsid w:val="00226463"/>
    <w:rsid w:val="002269DC"/>
    <w:rsid w:val="00227F2D"/>
    <w:rsid w:val="00231851"/>
    <w:rsid w:val="002319FB"/>
    <w:rsid w:val="00231B89"/>
    <w:rsid w:val="00231B8E"/>
    <w:rsid w:val="00233727"/>
    <w:rsid w:val="002355BE"/>
    <w:rsid w:val="00236D82"/>
    <w:rsid w:val="00236DE9"/>
    <w:rsid w:val="00237D5A"/>
    <w:rsid w:val="00241300"/>
    <w:rsid w:val="00241D3C"/>
    <w:rsid w:val="002439AB"/>
    <w:rsid w:val="002442F6"/>
    <w:rsid w:val="002450D5"/>
    <w:rsid w:val="00245587"/>
    <w:rsid w:val="002458A7"/>
    <w:rsid w:val="00245F2B"/>
    <w:rsid w:val="00246F95"/>
    <w:rsid w:val="0024703E"/>
    <w:rsid w:val="00247676"/>
    <w:rsid w:val="00247F3A"/>
    <w:rsid w:val="00250122"/>
    <w:rsid w:val="00250755"/>
    <w:rsid w:val="00250AE3"/>
    <w:rsid w:val="00251C4A"/>
    <w:rsid w:val="0025271C"/>
    <w:rsid w:val="00252A91"/>
    <w:rsid w:val="00252C5C"/>
    <w:rsid w:val="002533CD"/>
    <w:rsid w:val="002544C1"/>
    <w:rsid w:val="00254EAB"/>
    <w:rsid w:val="002557AF"/>
    <w:rsid w:val="00256474"/>
    <w:rsid w:val="002566B1"/>
    <w:rsid w:val="002575E3"/>
    <w:rsid w:val="002603C1"/>
    <w:rsid w:val="002609A1"/>
    <w:rsid w:val="002612B1"/>
    <w:rsid w:val="0026327C"/>
    <w:rsid w:val="00265600"/>
    <w:rsid w:val="00266165"/>
    <w:rsid w:val="0026782A"/>
    <w:rsid w:val="002708B3"/>
    <w:rsid w:val="0027125E"/>
    <w:rsid w:val="00271767"/>
    <w:rsid w:val="002719C1"/>
    <w:rsid w:val="00272293"/>
    <w:rsid w:val="002723C8"/>
    <w:rsid w:val="00273379"/>
    <w:rsid w:val="00273CBE"/>
    <w:rsid w:val="00277F24"/>
    <w:rsid w:val="00280240"/>
    <w:rsid w:val="002802D7"/>
    <w:rsid w:val="0028232C"/>
    <w:rsid w:val="002827F1"/>
    <w:rsid w:val="00282EC3"/>
    <w:rsid w:val="002835B0"/>
    <w:rsid w:val="0028407E"/>
    <w:rsid w:val="0028410F"/>
    <w:rsid w:val="002854BF"/>
    <w:rsid w:val="00286603"/>
    <w:rsid w:val="00286A98"/>
    <w:rsid w:val="00286FB5"/>
    <w:rsid w:val="00287763"/>
    <w:rsid w:val="00290606"/>
    <w:rsid w:val="00290F9D"/>
    <w:rsid w:val="002918A7"/>
    <w:rsid w:val="00291D6D"/>
    <w:rsid w:val="00291FF1"/>
    <w:rsid w:val="002923F6"/>
    <w:rsid w:val="00293361"/>
    <w:rsid w:val="00294AE8"/>
    <w:rsid w:val="00295137"/>
    <w:rsid w:val="00295287"/>
    <w:rsid w:val="002952B1"/>
    <w:rsid w:val="00295D11"/>
    <w:rsid w:val="00295FA0"/>
    <w:rsid w:val="00297626"/>
    <w:rsid w:val="00297A7A"/>
    <w:rsid w:val="002A0620"/>
    <w:rsid w:val="002A0C3A"/>
    <w:rsid w:val="002A1130"/>
    <w:rsid w:val="002A14D3"/>
    <w:rsid w:val="002A1880"/>
    <w:rsid w:val="002A1D47"/>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B2B"/>
    <w:rsid w:val="002B6D17"/>
    <w:rsid w:val="002B6E71"/>
    <w:rsid w:val="002B6FA5"/>
    <w:rsid w:val="002B7169"/>
    <w:rsid w:val="002C0C1C"/>
    <w:rsid w:val="002C0F5A"/>
    <w:rsid w:val="002C184E"/>
    <w:rsid w:val="002C28F5"/>
    <w:rsid w:val="002C54C2"/>
    <w:rsid w:val="002C5D34"/>
    <w:rsid w:val="002C5EA7"/>
    <w:rsid w:val="002C661A"/>
    <w:rsid w:val="002C7C6E"/>
    <w:rsid w:val="002D0AF5"/>
    <w:rsid w:val="002D1C54"/>
    <w:rsid w:val="002D1FAA"/>
    <w:rsid w:val="002D2231"/>
    <w:rsid w:val="002D25FC"/>
    <w:rsid w:val="002D318B"/>
    <w:rsid w:val="002D3380"/>
    <w:rsid w:val="002D44D6"/>
    <w:rsid w:val="002D4925"/>
    <w:rsid w:val="002D4AC6"/>
    <w:rsid w:val="002D5C7B"/>
    <w:rsid w:val="002D6DFC"/>
    <w:rsid w:val="002D7648"/>
    <w:rsid w:val="002D7909"/>
    <w:rsid w:val="002D7AB7"/>
    <w:rsid w:val="002E109C"/>
    <w:rsid w:val="002E115E"/>
    <w:rsid w:val="002E131F"/>
    <w:rsid w:val="002E1439"/>
    <w:rsid w:val="002E193E"/>
    <w:rsid w:val="002E1D76"/>
    <w:rsid w:val="002E243C"/>
    <w:rsid w:val="002E26C4"/>
    <w:rsid w:val="002E30B3"/>
    <w:rsid w:val="002E33E9"/>
    <w:rsid w:val="002E4B37"/>
    <w:rsid w:val="002E4BF9"/>
    <w:rsid w:val="002E6F5B"/>
    <w:rsid w:val="002F16DD"/>
    <w:rsid w:val="002F199D"/>
    <w:rsid w:val="002F23B2"/>
    <w:rsid w:val="002F2558"/>
    <w:rsid w:val="002F4084"/>
    <w:rsid w:val="002F4672"/>
    <w:rsid w:val="002F4A08"/>
    <w:rsid w:val="002F4ADB"/>
    <w:rsid w:val="002F531E"/>
    <w:rsid w:val="002F5ACC"/>
    <w:rsid w:val="002F6C2C"/>
    <w:rsid w:val="002F704B"/>
    <w:rsid w:val="002F72C3"/>
    <w:rsid w:val="002F768C"/>
    <w:rsid w:val="002F7D1E"/>
    <w:rsid w:val="00301839"/>
    <w:rsid w:val="003026AF"/>
    <w:rsid w:val="00302929"/>
    <w:rsid w:val="00302F0F"/>
    <w:rsid w:val="00303243"/>
    <w:rsid w:val="00303BCC"/>
    <w:rsid w:val="00303F2B"/>
    <w:rsid w:val="00303F8D"/>
    <w:rsid w:val="00304541"/>
    <w:rsid w:val="00304580"/>
    <w:rsid w:val="0030586A"/>
    <w:rsid w:val="003074C5"/>
    <w:rsid w:val="00307A3C"/>
    <w:rsid w:val="00307AF8"/>
    <w:rsid w:val="00307FA4"/>
    <w:rsid w:val="00310CC1"/>
    <w:rsid w:val="00313026"/>
    <w:rsid w:val="00313213"/>
    <w:rsid w:val="00313C14"/>
    <w:rsid w:val="0031421F"/>
    <w:rsid w:val="00314B31"/>
    <w:rsid w:val="00314B36"/>
    <w:rsid w:val="00315158"/>
    <w:rsid w:val="00315346"/>
    <w:rsid w:val="00315A65"/>
    <w:rsid w:val="00316E85"/>
    <w:rsid w:val="00317BA7"/>
    <w:rsid w:val="00320BE2"/>
    <w:rsid w:val="00321886"/>
    <w:rsid w:val="00321902"/>
    <w:rsid w:val="00323694"/>
    <w:rsid w:val="00324D63"/>
    <w:rsid w:val="003255AF"/>
    <w:rsid w:val="003256EB"/>
    <w:rsid w:val="003259DB"/>
    <w:rsid w:val="00325F20"/>
    <w:rsid w:val="00326039"/>
    <w:rsid w:val="003267F2"/>
    <w:rsid w:val="003300EA"/>
    <w:rsid w:val="00331A48"/>
    <w:rsid w:val="003330C9"/>
    <w:rsid w:val="0033364C"/>
    <w:rsid w:val="00334415"/>
    <w:rsid w:val="00335460"/>
    <w:rsid w:val="0033591B"/>
    <w:rsid w:val="0033691E"/>
    <w:rsid w:val="00336CCB"/>
    <w:rsid w:val="0033745F"/>
    <w:rsid w:val="00337631"/>
    <w:rsid w:val="00337F44"/>
    <w:rsid w:val="003401AC"/>
    <w:rsid w:val="003411D1"/>
    <w:rsid w:val="003416BA"/>
    <w:rsid w:val="00341BD6"/>
    <w:rsid w:val="00342A8A"/>
    <w:rsid w:val="00342F99"/>
    <w:rsid w:val="0034339D"/>
    <w:rsid w:val="00344726"/>
    <w:rsid w:val="003454A4"/>
    <w:rsid w:val="00345988"/>
    <w:rsid w:val="00350E6C"/>
    <w:rsid w:val="003518A6"/>
    <w:rsid w:val="00351E7F"/>
    <w:rsid w:val="003526FD"/>
    <w:rsid w:val="00352953"/>
    <w:rsid w:val="00354062"/>
    <w:rsid w:val="003542B0"/>
    <w:rsid w:val="00355C0D"/>
    <w:rsid w:val="0035622C"/>
    <w:rsid w:val="003566A9"/>
    <w:rsid w:val="00356988"/>
    <w:rsid w:val="00356B20"/>
    <w:rsid w:val="00357128"/>
    <w:rsid w:val="0035755E"/>
    <w:rsid w:val="00357A80"/>
    <w:rsid w:val="00361B8B"/>
    <w:rsid w:val="00363F39"/>
    <w:rsid w:val="003643C6"/>
    <w:rsid w:val="00364AB0"/>
    <w:rsid w:val="00365A6E"/>
    <w:rsid w:val="003664B8"/>
    <w:rsid w:val="003667B0"/>
    <w:rsid w:val="003667DD"/>
    <w:rsid w:val="00366842"/>
    <w:rsid w:val="00366B48"/>
    <w:rsid w:val="00367764"/>
    <w:rsid w:val="00370316"/>
    <w:rsid w:val="00370DC7"/>
    <w:rsid w:val="0037156C"/>
    <w:rsid w:val="00371CBD"/>
    <w:rsid w:val="00373CBE"/>
    <w:rsid w:val="003740CC"/>
    <w:rsid w:val="0037435E"/>
    <w:rsid w:val="00374E79"/>
    <w:rsid w:val="00375388"/>
    <w:rsid w:val="00375B7E"/>
    <w:rsid w:val="00375FB9"/>
    <w:rsid w:val="00376851"/>
    <w:rsid w:val="00376FA2"/>
    <w:rsid w:val="00377A3B"/>
    <w:rsid w:val="00377E3C"/>
    <w:rsid w:val="00380B5C"/>
    <w:rsid w:val="00380BBE"/>
    <w:rsid w:val="00381D70"/>
    <w:rsid w:val="00382128"/>
    <w:rsid w:val="0038235E"/>
    <w:rsid w:val="003829D0"/>
    <w:rsid w:val="00382FBA"/>
    <w:rsid w:val="0038444F"/>
    <w:rsid w:val="00384E83"/>
    <w:rsid w:val="00385C34"/>
    <w:rsid w:val="00386B36"/>
    <w:rsid w:val="00387051"/>
    <w:rsid w:val="00387ECF"/>
    <w:rsid w:val="0039021B"/>
    <w:rsid w:val="00390429"/>
    <w:rsid w:val="0039327C"/>
    <w:rsid w:val="003933A2"/>
    <w:rsid w:val="0039366C"/>
    <w:rsid w:val="003938F3"/>
    <w:rsid w:val="00393C4B"/>
    <w:rsid w:val="00393DE7"/>
    <w:rsid w:val="00393EC8"/>
    <w:rsid w:val="00395E42"/>
    <w:rsid w:val="00396052"/>
    <w:rsid w:val="00396A2D"/>
    <w:rsid w:val="00396FC3"/>
    <w:rsid w:val="003A1A94"/>
    <w:rsid w:val="003A204E"/>
    <w:rsid w:val="003A2D25"/>
    <w:rsid w:val="003A4DDB"/>
    <w:rsid w:val="003A60E7"/>
    <w:rsid w:val="003B07DF"/>
    <w:rsid w:val="003B0B6A"/>
    <w:rsid w:val="003B0F79"/>
    <w:rsid w:val="003B29CF"/>
    <w:rsid w:val="003B54DF"/>
    <w:rsid w:val="003B6659"/>
    <w:rsid w:val="003B7733"/>
    <w:rsid w:val="003B7BC8"/>
    <w:rsid w:val="003C0166"/>
    <w:rsid w:val="003C21AA"/>
    <w:rsid w:val="003C2B79"/>
    <w:rsid w:val="003C350C"/>
    <w:rsid w:val="003C3903"/>
    <w:rsid w:val="003C3BA0"/>
    <w:rsid w:val="003C4580"/>
    <w:rsid w:val="003C52D8"/>
    <w:rsid w:val="003C5C5E"/>
    <w:rsid w:val="003C6746"/>
    <w:rsid w:val="003C7133"/>
    <w:rsid w:val="003C7555"/>
    <w:rsid w:val="003C7898"/>
    <w:rsid w:val="003D0FF5"/>
    <w:rsid w:val="003D2D1B"/>
    <w:rsid w:val="003D30AB"/>
    <w:rsid w:val="003D3D94"/>
    <w:rsid w:val="003D48C7"/>
    <w:rsid w:val="003D4C08"/>
    <w:rsid w:val="003D51ED"/>
    <w:rsid w:val="003D7CE8"/>
    <w:rsid w:val="003E1032"/>
    <w:rsid w:val="003E1904"/>
    <w:rsid w:val="003E2114"/>
    <w:rsid w:val="003E285E"/>
    <w:rsid w:val="003E3300"/>
    <w:rsid w:val="003E5B89"/>
    <w:rsid w:val="003E6340"/>
    <w:rsid w:val="003E65AC"/>
    <w:rsid w:val="003E6948"/>
    <w:rsid w:val="003E6E24"/>
    <w:rsid w:val="003E72B9"/>
    <w:rsid w:val="003E755C"/>
    <w:rsid w:val="003E7ED4"/>
    <w:rsid w:val="003F0E52"/>
    <w:rsid w:val="003F0EF2"/>
    <w:rsid w:val="003F0F6B"/>
    <w:rsid w:val="003F1F40"/>
    <w:rsid w:val="003F1FE3"/>
    <w:rsid w:val="003F3865"/>
    <w:rsid w:val="003F3A0A"/>
    <w:rsid w:val="003F4632"/>
    <w:rsid w:val="003F47BA"/>
    <w:rsid w:val="003F5DA1"/>
    <w:rsid w:val="003F6617"/>
    <w:rsid w:val="0040063B"/>
    <w:rsid w:val="00401070"/>
    <w:rsid w:val="004013C0"/>
    <w:rsid w:val="00402332"/>
    <w:rsid w:val="004025C2"/>
    <w:rsid w:val="00403E55"/>
    <w:rsid w:val="00404532"/>
    <w:rsid w:val="00404681"/>
    <w:rsid w:val="0040496D"/>
    <w:rsid w:val="00405010"/>
    <w:rsid w:val="0040595A"/>
    <w:rsid w:val="00406923"/>
    <w:rsid w:val="0040713A"/>
    <w:rsid w:val="0040763D"/>
    <w:rsid w:val="004105B0"/>
    <w:rsid w:val="00410DC1"/>
    <w:rsid w:val="00410EC5"/>
    <w:rsid w:val="00411B1F"/>
    <w:rsid w:val="004133A8"/>
    <w:rsid w:val="00413821"/>
    <w:rsid w:val="00413D43"/>
    <w:rsid w:val="004141A3"/>
    <w:rsid w:val="004143E9"/>
    <w:rsid w:val="00414909"/>
    <w:rsid w:val="00415E66"/>
    <w:rsid w:val="00416112"/>
    <w:rsid w:val="00416DF0"/>
    <w:rsid w:val="00417AE0"/>
    <w:rsid w:val="00417BAA"/>
    <w:rsid w:val="00420BA9"/>
    <w:rsid w:val="00420D7A"/>
    <w:rsid w:val="00420D9E"/>
    <w:rsid w:val="004223DE"/>
    <w:rsid w:val="00422718"/>
    <w:rsid w:val="0042293E"/>
    <w:rsid w:val="00422A10"/>
    <w:rsid w:val="00424D17"/>
    <w:rsid w:val="00425DFD"/>
    <w:rsid w:val="004263A3"/>
    <w:rsid w:val="00426903"/>
    <w:rsid w:val="00427713"/>
    <w:rsid w:val="00427CCC"/>
    <w:rsid w:val="00427D54"/>
    <w:rsid w:val="00427DB8"/>
    <w:rsid w:val="0043013A"/>
    <w:rsid w:val="00430421"/>
    <w:rsid w:val="00430B4F"/>
    <w:rsid w:val="004314B1"/>
    <w:rsid w:val="00431AD0"/>
    <w:rsid w:val="00431E65"/>
    <w:rsid w:val="00432589"/>
    <w:rsid w:val="00432A94"/>
    <w:rsid w:val="00433827"/>
    <w:rsid w:val="00435041"/>
    <w:rsid w:val="004360C8"/>
    <w:rsid w:val="0044006B"/>
    <w:rsid w:val="0044033F"/>
    <w:rsid w:val="00440630"/>
    <w:rsid w:val="00441123"/>
    <w:rsid w:val="0044127B"/>
    <w:rsid w:val="00442095"/>
    <w:rsid w:val="00442965"/>
    <w:rsid w:val="00444157"/>
    <w:rsid w:val="0044417C"/>
    <w:rsid w:val="00444DB3"/>
    <w:rsid w:val="004452B9"/>
    <w:rsid w:val="00445A2F"/>
    <w:rsid w:val="00446328"/>
    <w:rsid w:val="00446341"/>
    <w:rsid w:val="0044684E"/>
    <w:rsid w:val="004479CA"/>
    <w:rsid w:val="004503A4"/>
    <w:rsid w:val="00450555"/>
    <w:rsid w:val="00450DC6"/>
    <w:rsid w:val="004516A5"/>
    <w:rsid w:val="004535AE"/>
    <w:rsid w:val="00453C42"/>
    <w:rsid w:val="0045463A"/>
    <w:rsid w:val="00454AC9"/>
    <w:rsid w:val="004554A3"/>
    <w:rsid w:val="00455A6E"/>
    <w:rsid w:val="004569CD"/>
    <w:rsid w:val="00456F2B"/>
    <w:rsid w:val="004578EB"/>
    <w:rsid w:val="00460303"/>
    <w:rsid w:val="00460697"/>
    <w:rsid w:val="004609AB"/>
    <w:rsid w:val="0046247F"/>
    <w:rsid w:val="00462593"/>
    <w:rsid w:val="00465EEF"/>
    <w:rsid w:val="00466D03"/>
    <w:rsid w:val="0046711B"/>
    <w:rsid w:val="00467312"/>
    <w:rsid w:val="00471156"/>
    <w:rsid w:val="00472429"/>
    <w:rsid w:val="004725E5"/>
    <w:rsid w:val="004726FE"/>
    <w:rsid w:val="00472751"/>
    <w:rsid w:val="00473128"/>
    <w:rsid w:val="0047470A"/>
    <w:rsid w:val="00475078"/>
    <w:rsid w:val="00475226"/>
    <w:rsid w:val="004777F1"/>
    <w:rsid w:val="004779A0"/>
    <w:rsid w:val="004808E3"/>
    <w:rsid w:val="0048097D"/>
    <w:rsid w:val="00481016"/>
    <w:rsid w:val="004814C8"/>
    <w:rsid w:val="004814D3"/>
    <w:rsid w:val="0048204C"/>
    <w:rsid w:val="004821BB"/>
    <w:rsid w:val="00482233"/>
    <w:rsid w:val="004826FE"/>
    <w:rsid w:val="004827D5"/>
    <w:rsid w:val="004830C9"/>
    <w:rsid w:val="00483347"/>
    <w:rsid w:val="00483D06"/>
    <w:rsid w:val="00483E2E"/>
    <w:rsid w:val="00484B69"/>
    <w:rsid w:val="00485406"/>
    <w:rsid w:val="0048590F"/>
    <w:rsid w:val="004867A5"/>
    <w:rsid w:val="00486D60"/>
    <w:rsid w:val="00487C87"/>
    <w:rsid w:val="00492A25"/>
    <w:rsid w:val="0049474A"/>
    <w:rsid w:val="004951C8"/>
    <w:rsid w:val="00496350"/>
    <w:rsid w:val="00496F91"/>
    <w:rsid w:val="00497274"/>
    <w:rsid w:val="0049797C"/>
    <w:rsid w:val="00497C2C"/>
    <w:rsid w:val="00497E9D"/>
    <w:rsid w:val="004A036E"/>
    <w:rsid w:val="004A1405"/>
    <w:rsid w:val="004A1FC6"/>
    <w:rsid w:val="004A3C03"/>
    <w:rsid w:val="004A3DB7"/>
    <w:rsid w:val="004A3FB3"/>
    <w:rsid w:val="004A5088"/>
    <w:rsid w:val="004A5255"/>
    <w:rsid w:val="004A6097"/>
    <w:rsid w:val="004A6CB0"/>
    <w:rsid w:val="004A70FF"/>
    <w:rsid w:val="004B1B84"/>
    <w:rsid w:val="004B29AC"/>
    <w:rsid w:val="004B29E3"/>
    <w:rsid w:val="004B35DF"/>
    <w:rsid w:val="004B3627"/>
    <w:rsid w:val="004B3F3A"/>
    <w:rsid w:val="004B4779"/>
    <w:rsid w:val="004B4922"/>
    <w:rsid w:val="004B57DF"/>
    <w:rsid w:val="004C0238"/>
    <w:rsid w:val="004C03A0"/>
    <w:rsid w:val="004C2138"/>
    <w:rsid w:val="004C2308"/>
    <w:rsid w:val="004C2ED0"/>
    <w:rsid w:val="004C32D4"/>
    <w:rsid w:val="004C3940"/>
    <w:rsid w:val="004C51FD"/>
    <w:rsid w:val="004C65A8"/>
    <w:rsid w:val="004C786C"/>
    <w:rsid w:val="004C7963"/>
    <w:rsid w:val="004D2314"/>
    <w:rsid w:val="004D2F63"/>
    <w:rsid w:val="004D35BA"/>
    <w:rsid w:val="004D45B8"/>
    <w:rsid w:val="004D4701"/>
    <w:rsid w:val="004D47C7"/>
    <w:rsid w:val="004D618D"/>
    <w:rsid w:val="004D6202"/>
    <w:rsid w:val="004D62A9"/>
    <w:rsid w:val="004D6FC3"/>
    <w:rsid w:val="004D7476"/>
    <w:rsid w:val="004E0306"/>
    <w:rsid w:val="004E0572"/>
    <w:rsid w:val="004E0C97"/>
    <w:rsid w:val="004E25A8"/>
    <w:rsid w:val="004E2AA0"/>
    <w:rsid w:val="004E3930"/>
    <w:rsid w:val="004E3ED9"/>
    <w:rsid w:val="004E5866"/>
    <w:rsid w:val="004E6097"/>
    <w:rsid w:val="004E61EF"/>
    <w:rsid w:val="004E6772"/>
    <w:rsid w:val="004E76A7"/>
    <w:rsid w:val="004E7736"/>
    <w:rsid w:val="004E7B03"/>
    <w:rsid w:val="004F0064"/>
    <w:rsid w:val="004F069F"/>
    <w:rsid w:val="004F06AC"/>
    <w:rsid w:val="004F1AE6"/>
    <w:rsid w:val="004F243F"/>
    <w:rsid w:val="004F3E0C"/>
    <w:rsid w:val="004F6929"/>
    <w:rsid w:val="004F6A2D"/>
    <w:rsid w:val="004F7160"/>
    <w:rsid w:val="00500258"/>
    <w:rsid w:val="0050175E"/>
    <w:rsid w:val="00501A99"/>
    <w:rsid w:val="00502CF3"/>
    <w:rsid w:val="00503180"/>
    <w:rsid w:val="0050417C"/>
    <w:rsid w:val="00505450"/>
    <w:rsid w:val="005100B7"/>
    <w:rsid w:val="005111C2"/>
    <w:rsid w:val="005113C9"/>
    <w:rsid w:val="0051280C"/>
    <w:rsid w:val="00512842"/>
    <w:rsid w:val="005128BE"/>
    <w:rsid w:val="00512B7B"/>
    <w:rsid w:val="00512E6C"/>
    <w:rsid w:val="0051356F"/>
    <w:rsid w:val="00513E7C"/>
    <w:rsid w:val="005140BB"/>
    <w:rsid w:val="005143C2"/>
    <w:rsid w:val="00514FD9"/>
    <w:rsid w:val="0051518F"/>
    <w:rsid w:val="0051608F"/>
    <w:rsid w:val="005165E9"/>
    <w:rsid w:val="005210F7"/>
    <w:rsid w:val="00521753"/>
    <w:rsid w:val="00521A44"/>
    <w:rsid w:val="00521D16"/>
    <w:rsid w:val="005222BE"/>
    <w:rsid w:val="005224EE"/>
    <w:rsid w:val="00523BB1"/>
    <w:rsid w:val="00524401"/>
    <w:rsid w:val="0052451A"/>
    <w:rsid w:val="00524737"/>
    <w:rsid w:val="005253E7"/>
    <w:rsid w:val="005258DF"/>
    <w:rsid w:val="00526265"/>
    <w:rsid w:val="0052652D"/>
    <w:rsid w:val="0052655D"/>
    <w:rsid w:val="005265E0"/>
    <w:rsid w:val="00526930"/>
    <w:rsid w:val="00526BC3"/>
    <w:rsid w:val="00530F9E"/>
    <w:rsid w:val="00531A72"/>
    <w:rsid w:val="0053274E"/>
    <w:rsid w:val="0053358A"/>
    <w:rsid w:val="00534668"/>
    <w:rsid w:val="00534D38"/>
    <w:rsid w:val="00534DDD"/>
    <w:rsid w:val="00535291"/>
    <w:rsid w:val="00535A94"/>
    <w:rsid w:val="00537874"/>
    <w:rsid w:val="00537909"/>
    <w:rsid w:val="00540204"/>
    <w:rsid w:val="00540578"/>
    <w:rsid w:val="005407D2"/>
    <w:rsid w:val="00540808"/>
    <w:rsid w:val="0054080E"/>
    <w:rsid w:val="005408B4"/>
    <w:rsid w:val="00540EA1"/>
    <w:rsid w:val="005423B1"/>
    <w:rsid w:val="0054358E"/>
    <w:rsid w:val="00543AF4"/>
    <w:rsid w:val="00544191"/>
    <w:rsid w:val="00544F39"/>
    <w:rsid w:val="00547EFB"/>
    <w:rsid w:val="005531DF"/>
    <w:rsid w:val="00553874"/>
    <w:rsid w:val="00553ACC"/>
    <w:rsid w:val="00554AD8"/>
    <w:rsid w:val="00554F78"/>
    <w:rsid w:val="005556A5"/>
    <w:rsid w:val="005561F0"/>
    <w:rsid w:val="00556BF7"/>
    <w:rsid w:val="00560838"/>
    <w:rsid w:val="00560DB5"/>
    <w:rsid w:val="00562149"/>
    <w:rsid w:val="005630D8"/>
    <w:rsid w:val="00563FFD"/>
    <w:rsid w:val="00565855"/>
    <w:rsid w:val="005677CE"/>
    <w:rsid w:val="00567B5D"/>
    <w:rsid w:val="00570445"/>
    <w:rsid w:val="00572E9A"/>
    <w:rsid w:val="00573733"/>
    <w:rsid w:val="005739F5"/>
    <w:rsid w:val="00574554"/>
    <w:rsid w:val="00576089"/>
    <w:rsid w:val="005764B1"/>
    <w:rsid w:val="00576A0D"/>
    <w:rsid w:val="00576A56"/>
    <w:rsid w:val="00576D06"/>
    <w:rsid w:val="005777CA"/>
    <w:rsid w:val="005779E4"/>
    <w:rsid w:val="00580AC5"/>
    <w:rsid w:val="005815E5"/>
    <w:rsid w:val="0058289C"/>
    <w:rsid w:val="00582C35"/>
    <w:rsid w:val="00582DC6"/>
    <w:rsid w:val="005836C7"/>
    <w:rsid w:val="0058408E"/>
    <w:rsid w:val="00585374"/>
    <w:rsid w:val="005876DF"/>
    <w:rsid w:val="0058789A"/>
    <w:rsid w:val="00590B77"/>
    <w:rsid w:val="005913A3"/>
    <w:rsid w:val="00591DCD"/>
    <w:rsid w:val="00594A7B"/>
    <w:rsid w:val="00594AFA"/>
    <w:rsid w:val="0059580E"/>
    <w:rsid w:val="00596A6F"/>
    <w:rsid w:val="005976E1"/>
    <w:rsid w:val="005A0541"/>
    <w:rsid w:val="005A0D64"/>
    <w:rsid w:val="005A1525"/>
    <w:rsid w:val="005A1EC3"/>
    <w:rsid w:val="005A252B"/>
    <w:rsid w:val="005A2A71"/>
    <w:rsid w:val="005A3204"/>
    <w:rsid w:val="005A32B6"/>
    <w:rsid w:val="005A3341"/>
    <w:rsid w:val="005A46EC"/>
    <w:rsid w:val="005A4847"/>
    <w:rsid w:val="005A494F"/>
    <w:rsid w:val="005B0160"/>
    <w:rsid w:val="005B0185"/>
    <w:rsid w:val="005B07EC"/>
    <w:rsid w:val="005B09D8"/>
    <w:rsid w:val="005B24F3"/>
    <w:rsid w:val="005B28A1"/>
    <w:rsid w:val="005B2B11"/>
    <w:rsid w:val="005B2E00"/>
    <w:rsid w:val="005B370E"/>
    <w:rsid w:val="005B4DA3"/>
    <w:rsid w:val="005B5B71"/>
    <w:rsid w:val="005B5BEE"/>
    <w:rsid w:val="005B7784"/>
    <w:rsid w:val="005B77D2"/>
    <w:rsid w:val="005C019B"/>
    <w:rsid w:val="005C144E"/>
    <w:rsid w:val="005C1625"/>
    <w:rsid w:val="005C2D0A"/>
    <w:rsid w:val="005C30F5"/>
    <w:rsid w:val="005C357E"/>
    <w:rsid w:val="005C3604"/>
    <w:rsid w:val="005C51A5"/>
    <w:rsid w:val="005C5403"/>
    <w:rsid w:val="005C557A"/>
    <w:rsid w:val="005C5A03"/>
    <w:rsid w:val="005C61DD"/>
    <w:rsid w:val="005C6438"/>
    <w:rsid w:val="005C6B8B"/>
    <w:rsid w:val="005D02E3"/>
    <w:rsid w:val="005D1F34"/>
    <w:rsid w:val="005D2529"/>
    <w:rsid w:val="005D25BF"/>
    <w:rsid w:val="005D2C1F"/>
    <w:rsid w:val="005D34B2"/>
    <w:rsid w:val="005D3B54"/>
    <w:rsid w:val="005D40CD"/>
    <w:rsid w:val="005D6B59"/>
    <w:rsid w:val="005D7037"/>
    <w:rsid w:val="005E03E4"/>
    <w:rsid w:val="005E0454"/>
    <w:rsid w:val="005E171D"/>
    <w:rsid w:val="005E34C2"/>
    <w:rsid w:val="005E35C6"/>
    <w:rsid w:val="005E3711"/>
    <w:rsid w:val="005E3AF9"/>
    <w:rsid w:val="005E5099"/>
    <w:rsid w:val="005E5B01"/>
    <w:rsid w:val="005E7933"/>
    <w:rsid w:val="005E7E0B"/>
    <w:rsid w:val="005F009E"/>
    <w:rsid w:val="005F080C"/>
    <w:rsid w:val="005F0A88"/>
    <w:rsid w:val="005F0DF1"/>
    <w:rsid w:val="005F1516"/>
    <w:rsid w:val="005F229E"/>
    <w:rsid w:val="005F2564"/>
    <w:rsid w:val="005F3822"/>
    <w:rsid w:val="005F3E0B"/>
    <w:rsid w:val="005F4D16"/>
    <w:rsid w:val="005F4E52"/>
    <w:rsid w:val="005F5967"/>
    <w:rsid w:val="005F77C8"/>
    <w:rsid w:val="0060058E"/>
    <w:rsid w:val="00602A3C"/>
    <w:rsid w:val="00602EA4"/>
    <w:rsid w:val="00603EFD"/>
    <w:rsid w:val="006041DF"/>
    <w:rsid w:val="0060475B"/>
    <w:rsid w:val="00604FB6"/>
    <w:rsid w:val="00604FD6"/>
    <w:rsid w:val="00605387"/>
    <w:rsid w:val="00606302"/>
    <w:rsid w:val="006072EF"/>
    <w:rsid w:val="006076FD"/>
    <w:rsid w:val="00607BA3"/>
    <w:rsid w:val="00610CAA"/>
    <w:rsid w:val="0061143F"/>
    <w:rsid w:val="006114D8"/>
    <w:rsid w:val="00611585"/>
    <w:rsid w:val="00612931"/>
    <w:rsid w:val="00613601"/>
    <w:rsid w:val="00613791"/>
    <w:rsid w:val="00613AAB"/>
    <w:rsid w:val="006148C7"/>
    <w:rsid w:val="006150D6"/>
    <w:rsid w:val="006166A3"/>
    <w:rsid w:val="00617EEE"/>
    <w:rsid w:val="006210FE"/>
    <w:rsid w:val="00622811"/>
    <w:rsid w:val="00622894"/>
    <w:rsid w:val="00622BB7"/>
    <w:rsid w:val="00622F3B"/>
    <w:rsid w:val="00623130"/>
    <w:rsid w:val="00623389"/>
    <w:rsid w:val="0062352A"/>
    <w:rsid w:val="00625E45"/>
    <w:rsid w:val="006265C4"/>
    <w:rsid w:val="00627383"/>
    <w:rsid w:val="00627733"/>
    <w:rsid w:val="006301BB"/>
    <w:rsid w:val="00632605"/>
    <w:rsid w:val="00633F8D"/>
    <w:rsid w:val="006341EF"/>
    <w:rsid w:val="00634BED"/>
    <w:rsid w:val="00635A4A"/>
    <w:rsid w:val="00635F1C"/>
    <w:rsid w:val="00635FB9"/>
    <w:rsid w:val="00637774"/>
    <w:rsid w:val="0064024C"/>
    <w:rsid w:val="00640291"/>
    <w:rsid w:val="00641FAC"/>
    <w:rsid w:val="006432A5"/>
    <w:rsid w:val="00643664"/>
    <w:rsid w:val="00643CAA"/>
    <w:rsid w:val="0064448B"/>
    <w:rsid w:val="00652137"/>
    <w:rsid w:val="00652680"/>
    <w:rsid w:val="00652A09"/>
    <w:rsid w:val="006530A1"/>
    <w:rsid w:val="0065371D"/>
    <w:rsid w:val="00653CDE"/>
    <w:rsid w:val="006540B4"/>
    <w:rsid w:val="0065636A"/>
    <w:rsid w:val="00656C3C"/>
    <w:rsid w:val="00657003"/>
    <w:rsid w:val="00657126"/>
    <w:rsid w:val="006572C1"/>
    <w:rsid w:val="00660238"/>
    <w:rsid w:val="006602EF"/>
    <w:rsid w:val="00661277"/>
    <w:rsid w:val="006616FE"/>
    <w:rsid w:val="00661717"/>
    <w:rsid w:val="006619D1"/>
    <w:rsid w:val="006628AD"/>
    <w:rsid w:val="00663FEA"/>
    <w:rsid w:val="00664253"/>
    <w:rsid w:val="00664803"/>
    <w:rsid w:val="006661A4"/>
    <w:rsid w:val="006670E0"/>
    <w:rsid w:val="00667532"/>
    <w:rsid w:val="006704FD"/>
    <w:rsid w:val="00670F3A"/>
    <w:rsid w:val="006715E6"/>
    <w:rsid w:val="0067294B"/>
    <w:rsid w:val="00673AA4"/>
    <w:rsid w:val="00674066"/>
    <w:rsid w:val="00674187"/>
    <w:rsid w:val="0067508F"/>
    <w:rsid w:val="00675349"/>
    <w:rsid w:val="00675E7E"/>
    <w:rsid w:val="0068051E"/>
    <w:rsid w:val="00680B9D"/>
    <w:rsid w:val="00681F13"/>
    <w:rsid w:val="0068231C"/>
    <w:rsid w:val="00682344"/>
    <w:rsid w:val="00682E78"/>
    <w:rsid w:val="00682F28"/>
    <w:rsid w:val="00684842"/>
    <w:rsid w:val="00685BD6"/>
    <w:rsid w:val="006878A6"/>
    <w:rsid w:val="00690437"/>
    <w:rsid w:val="00690E65"/>
    <w:rsid w:val="0069188E"/>
    <w:rsid w:val="00691974"/>
    <w:rsid w:val="00691A3F"/>
    <w:rsid w:val="00692CE6"/>
    <w:rsid w:val="00692DA8"/>
    <w:rsid w:val="00693B6C"/>
    <w:rsid w:val="006942AE"/>
    <w:rsid w:val="0069483C"/>
    <w:rsid w:val="00695421"/>
    <w:rsid w:val="00695AE4"/>
    <w:rsid w:val="00696D4B"/>
    <w:rsid w:val="006977A8"/>
    <w:rsid w:val="00697BD3"/>
    <w:rsid w:val="00697DFA"/>
    <w:rsid w:val="006A10F3"/>
    <w:rsid w:val="006A16D5"/>
    <w:rsid w:val="006A1772"/>
    <w:rsid w:val="006A1780"/>
    <w:rsid w:val="006A25A5"/>
    <w:rsid w:val="006A2790"/>
    <w:rsid w:val="006A3CEC"/>
    <w:rsid w:val="006A3F75"/>
    <w:rsid w:val="006A4838"/>
    <w:rsid w:val="006A4FB3"/>
    <w:rsid w:val="006A5A3E"/>
    <w:rsid w:val="006A5BAB"/>
    <w:rsid w:val="006A6CA7"/>
    <w:rsid w:val="006A703E"/>
    <w:rsid w:val="006A7BE3"/>
    <w:rsid w:val="006B01D1"/>
    <w:rsid w:val="006B16EA"/>
    <w:rsid w:val="006B1780"/>
    <w:rsid w:val="006B224E"/>
    <w:rsid w:val="006B362D"/>
    <w:rsid w:val="006B376E"/>
    <w:rsid w:val="006B4589"/>
    <w:rsid w:val="006B6805"/>
    <w:rsid w:val="006B6BBE"/>
    <w:rsid w:val="006B6DE0"/>
    <w:rsid w:val="006B7D5F"/>
    <w:rsid w:val="006C0FCC"/>
    <w:rsid w:val="006C2D83"/>
    <w:rsid w:val="006C32F4"/>
    <w:rsid w:val="006C3382"/>
    <w:rsid w:val="006C3C54"/>
    <w:rsid w:val="006C40F4"/>
    <w:rsid w:val="006C427B"/>
    <w:rsid w:val="006C4F9F"/>
    <w:rsid w:val="006C5778"/>
    <w:rsid w:val="006C61AB"/>
    <w:rsid w:val="006C650D"/>
    <w:rsid w:val="006C686A"/>
    <w:rsid w:val="006C7479"/>
    <w:rsid w:val="006C748D"/>
    <w:rsid w:val="006D0C1D"/>
    <w:rsid w:val="006D0CE1"/>
    <w:rsid w:val="006D2004"/>
    <w:rsid w:val="006D2A8C"/>
    <w:rsid w:val="006D2E9D"/>
    <w:rsid w:val="006D32EB"/>
    <w:rsid w:val="006D4C1E"/>
    <w:rsid w:val="006D4C42"/>
    <w:rsid w:val="006D5809"/>
    <w:rsid w:val="006D630A"/>
    <w:rsid w:val="006D668D"/>
    <w:rsid w:val="006D7363"/>
    <w:rsid w:val="006D74F2"/>
    <w:rsid w:val="006E04C8"/>
    <w:rsid w:val="006E061F"/>
    <w:rsid w:val="006E0712"/>
    <w:rsid w:val="006E0754"/>
    <w:rsid w:val="006E2668"/>
    <w:rsid w:val="006E2D39"/>
    <w:rsid w:val="006E32B0"/>
    <w:rsid w:val="006E36D8"/>
    <w:rsid w:val="006E396A"/>
    <w:rsid w:val="006E3A73"/>
    <w:rsid w:val="006E5DD8"/>
    <w:rsid w:val="006E5EA1"/>
    <w:rsid w:val="006E6A4C"/>
    <w:rsid w:val="006E7ABC"/>
    <w:rsid w:val="006F0760"/>
    <w:rsid w:val="006F0FF1"/>
    <w:rsid w:val="006F11E2"/>
    <w:rsid w:val="006F12F5"/>
    <w:rsid w:val="006F2574"/>
    <w:rsid w:val="006F3231"/>
    <w:rsid w:val="006F3582"/>
    <w:rsid w:val="006F3DE3"/>
    <w:rsid w:val="006F4C05"/>
    <w:rsid w:val="006F511F"/>
    <w:rsid w:val="006F61D8"/>
    <w:rsid w:val="006F62B7"/>
    <w:rsid w:val="006F70BC"/>
    <w:rsid w:val="006F713A"/>
    <w:rsid w:val="006F76BF"/>
    <w:rsid w:val="006F7C48"/>
    <w:rsid w:val="00705161"/>
    <w:rsid w:val="007066A4"/>
    <w:rsid w:val="00706F37"/>
    <w:rsid w:val="00707D09"/>
    <w:rsid w:val="00710760"/>
    <w:rsid w:val="0071209F"/>
    <w:rsid w:val="007125A2"/>
    <w:rsid w:val="00713F79"/>
    <w:rsid w:val="007148A8"/>
    <w:rsid w:val="00715A9B"/>
    <w:rsid w:val="00716C9F"/>
    <w:rsid w:val="007171E0"/>
    <w:rsid w:val="00717C40"/>
    <w:rsid w:val="0072033C"/>
    <w:rsid w:val="00720B1B"/>
    <w:rsid w:val="00721062"/>
    <w:rsid w:val="00721A4E"/>
    <w:rsid w:val="00721E5D"/>
    <w:rsid w:val="007229D4"/>
    <w:rsid w:val="007230F8"/>
    <w:rsid w:val="007233F4"/>
    <w:rsid w:val="00723646"/>
    <w:rsid w:val="00724044"/>
    <w:rsid w:val="007244E1"/>
    <w:rsid w:val="007248D3"/>
    <w:rsid w:val="00725137"/>
    <w:rsid w:val="00725C63"/>
    <w:rsid w:val="007263ED"/>
    <w:rsid w:val="0072653B"/>
    <w:rsid w:val="00726C9E"/>
    <w:rsid w:val="00727A43"/>
    <w:rsid w:val="00727FF2"/>
    <w:rsid w:val="007323E0"/>
    <w:rsid w:val="007324ED"/>
    <w:rsid w:val="00733791"/>
    <w:rsid w:val="00733857"/>
    <w:rsid w:val="00733DE2"/>
    <w:rsid w:val="007346E7"/>
    <w:rsid w:val="007352EA"/>
    <w:rsid w:val="00736032"/>
    <w:rsid w:val="007364E5"/>
    <w:rsid w:val="0073792F"/>
    <w:rsid w:val="00737C48"/>
    <w:rsid w:val="007409CA"/>
    <w:rsid w:val="00740DA6"/>
    <w:rsid w:val="00741A0E"/>
    <w:rsid w:val="00741D1E"/>
    <w:rsid w:val="00741EE2"/>
    <w:rsid w:val="00742367"/>
    <w:rsid w:val="00742EAA"/>
    <w:rsid w:val="00743818"/>
    <w:rsid w:val="007439E2"/>
    <w:rsid w:val="00743E9C"/>
    <w:rsid w:val="007441FB"/>
    <w:rsid w:val="00744517"/>
    <w:rsid w:val="00744810"/>
    <w:rsid w:val="00747079"/>
    <w:rsid w:val="00747DD4"/>
    <w:rsid w:val="00747DE2"/>
    <w:rsid w:val="007504BF"/>
    <w:rsid w:val="007506CD"/>
    <w:rsid w:val="007525DB"/>
    <w:rsid w:val="0075267F"/>
    <w:rsid w:val="007526EC"/>
    <w:rsid w:val="0075310C"/>
    <w:rsid w:val="00753347"/>
    <w:rsid w:val="00753C48"/>
    <w:rsid w:val="007545C1"/>
    <w:rsid w:val="00754C97"/>
    <w:rsid w:val="00754FE4"/>
    <w:rsid w:val="00755538"/>
    <w:rsid w:val="00755971"/>
    <w:rsid w:val="00756236"/>
    <w:rsid w:val="00756271"/>
    <w:rsid w:val="00756521"/>
    <w:rsid w:val="00756AB7"/>
    <w:rsid w:val="0075745C"/>
    <w:rsid w:val="00760477"/>
    <w:rsid w:val="00761AF4"/>
    <w:rsid w:val="00762071"/>
    <w:rsid w:val="007623FB"/>
    <w:rsid w:val="0076376A"/>
    <w:rsid w:val="0076500F"/>
    <w:rsid w:val="0076504E"/>
    <w:rsid w:val="00765D24"/>
    <w:rsid w:val="00765E6A"/>
    <w:rsid w:val="007664E0"/>
    <w:rsid w:val="00767EA0"/>
    <w:rsid w:val="0077068F"/>
    <w:rsid w:val="007711EA"/>
    <w:rsid w:val="00771870"/>
    <w:rsid w:val="0077408D"/>
    <w:rsid w:val="007741CF"/>
    <w:rsid w:val="00774270"/>
    <w:rsid w:val="00775679"/>
    <w:rsid w:val="00775803"/>
    <w:rsid w:val="00777B32"/>
    <w:rsid w:val="0078051E"/>
    <w:rsid w:val="00781FDD"/>
    <w:rsid w:val="00782A9F"/>
    <w:rsid w:val="0078508A"/>
    <w:rsid w:val="00786D5C"/>
    <w:rsid w:val="00786E96"/>
    <w:rsid w:val="00787F93"/>
    <w:rsid w:val="00790684"/>
    <w:rsid w:val="007907CA"/>
    <w:rsid w:val="00791170"/>
    <w:rsid w:val="00791E6D"/>
    <w:rsid w:val="007928DC"/>
    <w:rsid w:val="00792E53"/>
    <w:rsid w:val="007933DF"/>
    <w:rsid w:val="0079384D"/>
    <w:rsid w:val="007939CC"/>
    <w:rsid w:val="00796FB8"/>
    <w:rsid w:val="007A11C2"/>
    <w:rsid w:val="007A2367"/>
    <w:rsid w:val="007A41BF"/>
    <w:rsid w:val="007A490A"/>
    <w:rsid w:val="007A581D"/>
    <w:rsid w:val="007A7B95"/>
    <w:rsid w:val="007B0297"/>
    <w:rsid w:val="007B0F53"/>
    <w:rsid w:val="007B1DD8"/>
    <w:rsid w:val="007B21AE"/>
    <w:rsid w:val="007B2570"/>
    <w:rsid w:val="007B2C31"/>
    <w:rsid w:val="007B3113"/>
    <w:rsid w:val="007B3304"/>
    <w:rsid w:val="007B332B"/>
    <w:rsid w:val="007B394D"/>
    <w:rsid w:val="007B53FA"/>
    <w:rsid w:val="007B6423"/>
    <w:rsid w:val="007B7490"/>
    <w:rsid w:val="007B774A"/>
    <w:rsid w:val="007C0525"/>
    <w:rsid w:val="007C0B56"/>
    <w:rsid w:val="007C13F7"/>
    <w:rsid w:val="007C218D"/>
    <w:rsid w:val="007C2D28"/>
    <w:rsid w:val="007C3E22"/>
    <w:rsid w:val="007C67C6"/>
    <w:rsid w:val="007C707A"/>
    <w:rsid w:val="007C7E59"/>
    <w:rsid w:val="007D0A39"/>
    <w:rsid w:val="007D0B91"/>
    <w:rsid w:val="007D1452"/>
    <w:rsid w:val="007D1E29"/>
    <w:rsid w:val="007D460C"/>
    <w:rsid w:val="007D484A"/>
    <w:rsid w:val="007D4AD3"/>
    <w:rsid w:val="007D4C8D"/>
    <w:rsid w:val="007D5D19"/>
    <w:rsid w:val="007D5FDC"/>
    <w:rsid w:val="007D6D68"/>
    <w:rsid w:val="007E01DA"/>
    <w:rsid w:val="007E0ADB"/>
    <w:rsid w:val="007E1603"/>
    <w:rsid w:val="007E2E85"/>
    <w:rsid w:val="007E32DA"/>
    <w:rsid w:val="007E3FFB"/>
    <w:rsid w:val="007E4998"/>
    <w:rsid w:val="007E4A9C"/>
    <w:rsid w:val="007E4B2B"/>
    <w:rsid w:val="007E6914"/>
    <w:rsid w:val="007E7F78"/>
    <w:rsid w:val="007F0C8B"/>
    <w:rsid w:val="007F1517"/>
    <w:rsid w:val="007F1D44"/>
    <w:rsid w:val="007F23A5"/>
    <w:rsid w:val="007F2C13"/>
    <w:rsid w:val="007F2CEC"/>
    <w:rsid w:val="007F4949"/>
    <w:rsid w:val="007F55DE"/>
    <w:rsid w:val="007F5605"/>
    <w:rsid w:val="007F6147"/>
    <w:rsid w:val="007F78FF"/>
    <w:rsid w:val="00800F6C"/>
    <w:rsid w:val="008025BE"/>
    <w:rsid w:val="00804C86"/>
    <w:rsid w:val="008051FC"/>
    <w:rsid w:val="008055A9"/>
    <w:rsid w:val="008070EB"/>
    <w:rsid w:val="00807376"/>
    <w:rsid w:val="00810B0E"/>
    <w:rsid w:val="00810E8E"/>
    <w:rsid w:val="0081142D"/>
    <w:rsid w:val="00812462"/>
    <w:rsid w:val="008126E2"/>
    <w:rsid w:val="008133A5"/>
    <w:rsid w:val="0081481D"/>
    <w:rsid w:val="00814BE8"/>
    <w:rsid w:val="00814F6E"/>
    <w:rsid w:val="0081565F"/>
    <w:rsid w:val="00815B84"/>
    <w:rsid w:val="00821A3D"/>
    <w:rsid w:val="00821B06"/>
    <w:rsid w:val="00822037"/>
    <w:rsid w:val="00822634"/>
    <w:rsid w:val="00823FC6"/>
    <w:rsid w:val="00823FFC"/>
    <w:rsid w:val="00824811"/>
    <w:rsid w:val="00825C74"/>
    <w:rsid w:val="00826AB9"/>
    <w:rsid w:val="00826E0E"/>
    <w:rsid w:val="0082731F"/>
    <w:rsid w:val="00827D11"/>
    <w:rsid w:val="00827E0F"/>
    <w:rsid w:val="00827F6E"/>
    <w:rsid w:val="00831758"/>
    <w:rsid w:val="00831977"/>
    <w:rsid w:val="0083279F"/>
    <w:rsid w:val="00833B7F"/>
    <w:rsid w:val="00834906"/>
    <w:rsid w:val="00835A99"/>
    <w:rsid w:val="00836075"/>
    <w:rsid w:val="00836417"/>
    <w:rsid w:val="008377F7"/>
    <w:rsid w:val="008411F9"/>
    <w:rsid w:val="008413AB"/>
    <w:rsid w:val="00842D10"/>
    <w:rsid w:val="0084322B"/>
    <w:rsid w:val="00843B93"/>
    <w:rsid w:val="00843C08"/>
    <w:rsid w:val="00843F81"/>
    <w:rsid w:val="00844087"/>
    <w:rsid w:val="0084519E"/>
    <w:rsid w:val="00846370"/>
    <w:rsid w:val="00847C2B"/>
    <w:rsid w:val="00851256"/>
    <w:rsid w:val="00851A7C"/>
    <w:rsid w:val="00852438"/>
    <w:rsid w:val="0085270D"/>
    <w:rsid w:val="008532BF"/>
    <w:rsid w:val="00853BF4"/>
    <w:rsid w:val="00854294"/>
    <w:rsid w:val="008555FB"/>
    <w:rsid w:val="0085788B"/>
    <w:rsid w:val="00857941"/>
    <w:rsid w:val="00857A9E"/>
    <w:rsid w:val="00857DE2"/>
    <w:rsid w:val="00863E7D"/>
    <w:rsid w:val="0086407F"/>
    <w:rsid w:val="00864548"/>
    <w:rsid w:val="00864D9C"/>
    <w:rsid w:val="00864E79"/>
    <w:rsid w:val="00866111"/>
    <w:rsid w:val="0086661F"/>
    <w:rsid w:val="00866A0D"/>
    <w:rsid w:val="00866DB5"/>
    <w:rsid w:val="0086784E"/>
    <w:rsid w:val="00867AF1"/>
    <w:rsid w:val="008720B3"/>
    <w:rsid w:val="00872118"/>
    <w:rsid w:val="008727CE"/>
    <w:rsid w:val="00872827"/>
    <w:rsid w:val="00872A32"/>
    <w:rsid w:val="00874ECA"/>
    <w:rsid w:val="00875D0E"/>
    <w:rsid w:val="00876EAE"/>
    <w:rsid w:val="00880F95"/>
    <w:rsid w:val="00881F68"/>
    <w:rsid w:val="00882B44"/>
    <w:rsid w:val="00882FE5"/>
    <w:rsid w:val="00886138"/>
    <w:rsid w:val="00886E66"/>
    <w:rsid w:val="008871B0"/>
    <w:rsid w:val="008912F5"/>
    <w:rsid w:val="008915A7"/>
    <w:rsid w:val="0089217C"/>
    <w:rsid w:val="008928A1"/>
    <w:rsid w:val="00893671"/>
    <w:rsid w:val="00895838"/>
    <w:rsid w:val="00895A72"/>
    <w:rsid w:val="00895CDF"/>
    <w:rsid w:val="008968C7"/>
    <w:rsid w:val="00896AFD"/>
    <w:rsid w:val="00897A55"/>
    <w:rsid w:val="008A0FC9"/>
    <w:rsid w:val="008A1956"/>
    <w:rsid w:val="008A40D3"/>
    <w:rsid w:val="008A469C"/>
    <w:rsid w:val="008A484A"/>
    <w:rsid w:val="008A5877"/>
    <w:rsid w:val="008A6539"/>
    <w:rsid w:val="008A701C"/>
    <w:rsid w:val="008B05DD"/>
    <w:rsid w:val="008B17E8"/>
    <w:rsid w:val="008B266C"/>
    <w:rsid w:val="008B2D03"/>
    <w:rsid w:val="008B2E7C"/>
    <w:rsid w:val="008B42AB"/>
    <w:rsid w:val="008B45A7"/>
    <w:rsid w:val="008B4A70"/>
    <w:rsid w:val="008B502F"/>
    <w:rsid w:val="008B5142"/>
    <w:rsid w:val="008B67CB"/>
    <w:rsid w:val="008B6A63"/>
    <w:rsid w:val="008B6AFE"/>
    <w:rsid w:val="008B6B83"/>
    <w:rsid w:val="008B7034"/>
    <w:rsid w:val="008B7227"/>
    <w:rsid w:val="008C03DD"/>
    <w:rsid w:val="008C191C"/>
    <w:rsid w:val="008C1DA4"/>
    <w:rsid w:val="008C2CD5"/>
    <w:rsid w:val="008C2E29"/>
    <w:rsid w:val="008C32B7"/>
    <w:rsid w:val="008C360C"/>
    <w:rsid w:val="008C3618"/>
    <w:rsid w:val="008C3F20"/>
    <w:rsid w:val="008C43AD"/>
    <w:rsid w:val="008C4B6C"/>
    <w:rsid w:val="008C59FB"/>
    <w:rsid w:val="008C619E"/>
    <w:rsid w:val="008C6687"/>
    <w:rsid w:val="008C68F0"/>
    <w:rsid w:val="008C6F92"/>
    <w:rsid w:val="008C731F"/>
    <w:rsid w:val="008C74D9"/>
    <w:rsid w:val="008C79C3"/>
    <w:rsid w:val="008C7A47"/>
    <w:rsid w:val="008D0170"/>
    <w:rsid w:val="008D1052"/>
    <w:rsid w:val="008D124C"/>
    <w:rsid w:val="008D1983"/>
    <w:rsid w:val="008D1BB3"/>
    <w:rsid w:val="008D1C32"/>
    <w:rsid w:val="008D22AE"/>
    <w:rsid w:val="008D234A"/>
    <w:rsid w:val="008D238C"/>
    <w:rsid w:val="008D566C"/>
    <w:rsid w:val="008D58D9"/>
    <w:rsid w:val="008D64F5"/>
    <w:rsid w:val="008D66EA"/>
    <w:rsid w:val="008D6E59"/>
    <w:rsid w:val="008D6F92"/>
    <w:rsid w:val="008D7155"/>
    <w:rsid w:val="008D7DE4"/>
    <w:rsid w:val="008E09B3"/>
    <w:rsid w:val="008E141A"/>
    <w:rsid w:val="008E1A44"/>
    <w:rsid w:val="008E28E6"/>
    <w:rsid w:val="008E2B60"/>
    <w:rsid w:val="008E3232"/>
    <w:rsid w:val="008E3674"/>
    <w:rsid w:val="008E3B6C"/>
    <w:rsid w:val="008E41A8"/>
    <w:rsid w:val="008E688C"/>
    <w:rsid w:val="008E68BB"/>
    <w:rsid w:val="008E6C9B"/>
    <w:rsid w:val="008E77D4"/>
    <w:rsid w:val="008F0981"/>
    <w:rsid w:val="008F0AFD"/>
    <w:rsid w:val="008F1287"/>
    <w:rsid w:val="008F17B2"/>
    <w:rsid w:val="008F28EE"/>
    <w:rsid w:val="008F357B"/>
    <w:rsid w:val="008F44CA"/>
    <w:rsid w:val="008F49B9"/>
    <w:rsid w:val="008F49D3"/>
    <w:rsid w:val="008F5081"/>
    <w:rsid w:val="008F6519"/>
    <w:rsid w:val="008F68DC"/>
    <w:rsid w:val="008F7012"/>
    <w:rsid w:val="008F7B17"/>
    <w:rsid w:val="00900042"/>
    <w:rsid w:val="0090034B"/>
    <w:rsid w:val="00902623"/>
    <w:rsid w:val="00902890"/>
    <w:rsid w:val="00904778"/>
    <w:rsid w:val="00904BE4"/>
    <w:rsid w:val="0090504A"/>
    <w:rsid w:val="00905D7E"/>
    <w:rsid w:val="009063B7"/>
    <w:rsid w:val="00907037"/>
    <w:rsid w:val="0091160A"/>
    <w:rsid w:val="00912838"/>
    <w:rsid w:val="00913258"/>
    <w:rsid w:val="00913883"/>
    <w:rsid w:val="0091564D"/>
    <w:rsid w:val="009156DA"/>
    <w:rsid w:val="00916BC5"/>
    <w:rsid w:val="0091726A"/>
    <w:rsid w:val="00920184"/>
    <w:rsid w:val="00920EA4"/>
    <w:rsid w:val="00921792"/>
    <w:rsid w:val="00921BEA"/>
    <w:rsid w:val="00922DB0"/>
    <w:rsid w:val="00923998"/>
    <w:rsid w:val="00923DB4"/>
    <w:rsid w:val="0092430E"/>
    <w:rsid w:val="0092625F"/>
    <w:rsid w:val="009268A9"/>
    <w:rsid w:val="00927B37"/>
    <w:rsid w:val="009301B2"/>
    <w:rsid w:val="0093065F"/>
    <w:rsid w:val="00931215"/>
    <w:rsid w:val="009313DD"/>
    <w:rsid w:val="00931BDE"/>
    <w:rsid w:val="009321B1"/>
    <w:rsid w:val="00932ED7"/>
    <w:rsid w:val="0093357E"/>
    <w:rsid w:val="0093422D"/>
    <w:rsid w:val="00934DD7"/>
    <w:rsid w:val="009369A9"/>
    <w:rsid w:val="00936CF7"/>
    <w:rsid w:val="00937201"/>
    <w:rsid w:val="0093734A"/>
    <w:rsid w:val="00937783"/>
    <w:rsid w:val="009377C3"/>
    <w:rsid w:val="00937D89"/>
    <w:rsid w:val="00940515"/>
    <w:rsid w:val="0094059D"/>
    <w:rsid w:val="009409B4"/>
    <w:rsid w:val="00940FE1"/>
    <w:rsid w:val="00942306"/>
    <w:rsid w:val="009424B8"/>
    <w:rsid w:val="009433A4"/>
    <w:rsid w:val="0094435B"/>
    <w:rsid w:val="00944668"/>
    <w:rsid w:val="00944DC6"/>
    <w:rsid w:val="0094537D"/>
    <w:rsid w:val="0094573F"/>
    <w:rsid w:val="009458B0"/>
    <w:rsid w:val="00945B52"/>
    <w:rsid w:val="00945DC0"/>
    <w:rsid w:val="00945F05"/>
    <w:rsid w:val="00946348"/>
    <w:rsid w:val="009471AD"/>
    <w:rsid w:val="00947233"/>
    <w:rsid w:val="009478A2"/>
    <w:rsid w:val="0095053B"/>
    <w:rsid w:val="0095074A"/>
    <w:rsid w:val="009512AB"/>
    <w:rsid w:val="00952DE9"/>
    <w:rsid w:val="00955643"/>
    <w:rsid w:val="00955FBB"/>
    <w:rsid w:val="0095694B"/>
    <w:rsid w:val="00956BD5"/>
    <w:rsid w:val="009574BB"/>
    <w:rsid w:val="009577B5"/>
    <w:rsid w:val="009608E6"/>
    <w:rsid w:val="009609E4"/>
    <w:rsid w:val="00961779"/>
    <w:rsid w:val="00962D00"/>
    <w:rsid w:val="00962EB1"/>
    <w:rsid w:val="0096612A"/>
    <w:rsid w:val="00966522"/>
    <w:rsid w:val="00967D3F"/>
    <w:rsid w:val="00967E78"/>
    <w:rsid w:val="00970D7E"/>
    <w:rsid w:val="00970F18"/>
    <w:rsid w:val="00971CF1"/>
    <w:rsid w:val="009721E9"/>
    <w:rsid w:val="00972A58"/>
    <w:rsid w:val="00973772"/>
    <w:rsid w:val="0097451E"/>
    <w:rsid w:val="00975598"/>
    <w:rsid w:val="00975E1E"/>
    <w:rsid w:val="00975E70"/>
    <w:rsid w:val="00977B8F"/>
    <w:rsid w:val="00977CD6"/>
    <w:rsid w:val="00980162"/>
    <w:rsid w:val="00981D18"/>
    <w:rsid w:val="00982481"/>
    <w:rsid w:val="00982D26"/>
    <w:rsid w:val="0098330E"/>
    <w:rsid w:val="009849E9"/>
    <w:rsid w:val="00987812"/>
    <w:rsid w:val="00990225"/>
    <w:rsid w:val="00990DF5"/>
    <w:rsid w:val="00991622"/>
    <w:rsid w:val="0099244B"/>
    <w:rsid w:val="009947B6"/>
    <w:rsid w:val="00995150"/>
    <w:rsid w:val="009957F3"/>
    <w:rsid w:val="00995D67"/>
    <w:rsid w:val="009970BF"/>
    <w:rsid w:val="009A013B"/>
    <w:rsid w:val="009A02F4"/>
    <w:rsid w:val="009A1F12"/>
    <w:rsid w:val="009A2494"/>
    <w:rsid w:val="009A26CA"/>
    <w:rsid w:val="009A36F2"/>
    <w:rsid w:val="009A47CC"/>
    <w:rsid w:val="009A5749"/>
    <w:rsid w:val="009A57D0"/>
    <w:rsid w:val="009A6559"/>
    <w:rsid w:val="009A68FC"/>
    <w:rsid w:val="009A7514"/>
    <w:rsid w:val="009A7E7A"/>
    <w:rsid w:val="009B1584"/>
    <w:rsid w:val="009B2469"/>
    <w:rsid w:val="009B314F"/>
    <w:rsid w:val="009B439C"/>
    <w:rsid w:val="009B4A6C"/>
    <w:rsid w:val="009B5777"/>
    <w:rsid w:val="009B5779"/>
    <w:rsid w:val="009B6753"/>
    <w:rsid w:val="009B6A26"/>
    <w:rsid w:val="009C079D"/>
    <w:rsid w:val="009C0D70"/>
    <w:rsid w:val="009C13D1"/>
    <w:rsid w:val="009C2913"/>
    <w:rsid w:val="009C3008"/>
    <w:rsid w:val="009C365F"/>
    <w:rsid w:val="009C5AFE"/>
    <w:rsid w:val="009C6606"/>
    <w:rsid w:val="009C6CE5"/>
    <w:rsid w:val="009C6D50"/>
    <w:rsid w:val="009C72B6"/>
    <w:rsid w:val="009C7547"/>
    <w:rsid w:val="009D1678"/>
    <w:rsid w:val="009D1693"/>
    <w:rsid w:val="009D1C49"/>
    <w:rsid w:val="009D2721"/>
    <w:rsid w:val="009D2F60"/>
    <w:rsid w:val="009D3299"/>
    <w:rsid w:val="009D338C"/>
    <w:rsid w:val="009D3D0D"/>
    <w:rsid w:val="009D4944"/>
    <w:rsid w:val="009D5BAC"/>
    <w:rsid w:val="009D64BD"/>
    <w:rsid w:val="009D7B2F"/>
    <w:rsid w:val="009D7B6C"/>
    <w:rsid w:val="009D7F83"/>
    <w:rsid w:val="009E0D0A"/>
    <w:rsid w:val="009E0D1A"/>
    <w:rsid w:val="009E153F"/>
    <w:rsid w:val="009E2D6C"/>
    <w:rsid w:val="009E388B"/>
    <w:rsid w:val="009E393E"/>
    <w:rsid w:val="009E444E"/>
    <w:rsid w:val="009E45AF"/>
    <w:rsid w:val="009E4968"/>
    <w:rsid w:val="009E52F1"/>
    <w:rsid w:val="009E663C"/>
    <w:rsid w:val="009E6BB1"/>
    <w:rsid w:val="009F0092"/>
    <w:rsid w:val="009F0CD9"/>
    <w:rsid w:val="009F1A79"/>
    <w:rsid w:val="009F1F57"/>
    <w:rsid w:val="009F2E26"/>
    <w:rsid w:val="009F4FCF"/>
    <w:rsid w:val="009F5DE2"/>
    <w:rsid w:val="009F65F4"/>
    <w:rsid w:val="009F676B"/>
    <w:rsid w:val="009F74FE"/>
    <w:rsid w:val="00A004DF"/>
    <w:rsid w:val="00A00D29"/>
    <w:rsid w:val="00A00FD5"/>
    <w:rsid w:val="00A019A8"/>
    <w:rsid w:val="00A01B03"/>
    <w:rsid w:val="00A02C66"/>
    <w:rsid w:val="00A03861"/>
    <w:rsid w:val="00A0464C"/>
    <w:rsid w:val="00A054E0"/>
    <w:rsid w:val="00A0663F"/>
    <w:rsid w:val="00A066CE"/>
    <w:rsid w:val="00A0740B"/>
    <w:rsid w:val="00A07427"/>
    <w:rsid w:val="00A075A9"/>
    <w:rsid w:val="00A077E2"/>
    <w:rsid w:val="00A1080F"/>
    <w:rsid w:val="00A11042"/>
    <w:rsid w:val="00A133D8"/>
    <w:rsid w:val="00A14E97"/>
    <w:rsid w:val="00A17A9D"/>
    <w:rsid w:val="00A20069"/>
    <w:rsid w:val="00A20280"/>
    <w:rsid w:val="00A2163F"/>
    <w:rsid w:val="00A2244D"/>
    <w:rsid w:val="00A2253D"/>
    <w:rsid w:val="00A22AEC"/>
    <w:rsid w:val="00A2418A"/>
    <w:rsid w:val="00A247B8"/>
    <w:rsid w:val="00A24D39"/>
    <w:rsid w:val="00A24D8F"/>
    <w:rsid w:val="00A25B8B"/>
    <w:rsid w:val="00A269C3"/>
    <w:rsid w:val="00A26ECA"/>
    <w:rsid w:val="00A27374"/>
    <w:rsid w:val="00A309F1"/>
    <w:rsid w:val="00A317A5"/>
    <w:rsid w:val="00A324C1"/>
    <w:rsid w:val="00A337DB"/>
    <w:rsid w:val="00A3467F"/>
    <w:rsid w:val="00A34D34"/>
    <w:rsid w:val="00A3551A"/>
    <w:rsid w:val="00A373F4"/>
    <w:rsid w:val="00A376E8"/>
    <w:rsid w:val="00A37E69"/>
    <w:rsid w:val="00A37F8E"/>
    <w:rsid w:val="00A40979"/>
    <w:rsid w:val="00A41737"/>
    <w:rsid w:val="00A42B8F"/>
    <w:rsid w:val="00A43254"/>
    <w:rsid w:val="00A43896"/>
    <w:rsid w:val="00A43A26"/>
    <w:rsid w:val="00A447A0"/>
    <w:rsid w:val="00A457B2"/>
    <w:rsid w:val="00A459F5"/>
    <w:rsid w:val="00A45FC0"/>
    <w:rsid w:val="00A46B32"/>
    <w:rsid w:val="00A46EB8"/>
    <w:rsid w:val="00A478D2"/>
    <w:rsid w:val="00A47ECC"/>
    <w:rsid w:val="00A5008C"/>
    <w:rsid w:val="00A50171"/>
    <w:rsid w:val="00A5102E"/>
    <w:rsid w:val="00A51083"/>
    <w:rsid w:val="00A5132E"/>
    <w:rsid w:val="00A51533"/>
    <w:rsid w:val="00A51A4D"/>
    <w:rsid w:val="00A51E68"/>
    <w:rsid w:val="00A52F3B"/>
    <w:rsid w:val="00A531D4"/>
    <w:rsid w:val="00A55ACD"/>
    <w:rsid w:val="00A55CFA"/>
    <w:rsid w:val="00A5613B"/>
    <w:rsid w:val="00A575B8"/>
    <w:rsid w:val="00A647B1"/>
    <w:rsid w:val="00A64DEF"/>
    <w:rsid w:val="00A64F9E"/>
    <w:rsid w:val="00A657E1"/>
    <w:rsid w:val="00A65E4E"/>
    <w:rsid w:val="00A665DF"/>
    <w:rsid w:val="00A67F1B"/>
    <w:rsid w:val="00A67FCC"/>
    <w:rsid w:val="00A709F3"/>
    <w:rsid w:val="00A716DC"/>
    <w:rsid w:val="00A720AF"/>
    <w:rsid w:val="00A7217B"/>
    <w:rsid w:val="00A7293E"/>
    <w:rsid w:val="00A72EE4"/>
    <w:rsid w:val="00A73067"/>
    <w:rsid w:val="00A737C4"/>
    <w:rsid w:val="00A739A6"/>
    <w:rsid w:val="00A73C3B"/>
    <w:rsid w:val="00A75EF9"/>
    <w:rsid w:val="00A7627C"/>
    <w:rsid w:val="00A76BC9"/>
    <w:rsid w:val="00A77566"/>
    <w:rsid w:val="00A77956"/>
    <w:rsid w:val="00A80563"/>
    <w:rsid w:val="00A8311C"/>
    <w:rsid w:val="00A84BC8"/>
    <w:rsid w:val="00A84C5F"/>
    <w:rsid w:val="00A85D91"/>
    <w:rsid w:val="00A86973"/>
    <w:rsid w:val="00A8721F"/>
    <w:rsid w:val="00A8740B"/>
    <w:rsid w:val="00A87519"/>
    <w:rsid w:val="00A905A2"/>
    <w:rsid w:val="00A9246D"/>
    <w:rsid w:val="00A93644"/>
    <w:rsid w:val="00A93BD0"/>
    <w:rsid w:val="00A944A1"/>
    <w:rsid w:val="00A95D69"/>
    <w:rsid w:val="00A97122"/>
    <w:rsid w:val="00A975A4"/>
    <w:rsid w:val="00A977B3"/>
    <w:rsid w:val="00A97DC8"/>
    <w:rsid w:val="00AA1418"/>
    <w:rsid w:val="00AA2001"/>
    <w:rsid w:val="00AA2B5C"/>
    <w:rsid w:val="00AA4E59"/>
    <w:rsid w:val="00AA5328"/>
    <w:rsid w:val="00AA5393"/>
    <w:rsid w:val="00AA63D4"/>
    <w:rsid w:val="00AA6767"/>
    <w:rsid w:val="00AA790B"/>
    <w:rsid w:val="00AB03FD"/>
    <w:rsid w:val="00AB1412"/>
    <w:rsid w:val="00AB38CB"/>
    <w:rsid w:val="00AB3BEC"/>
    <w:rsid w:val="00AB44E4"/>
    <w:rsid w:val="00AB4AEB"/>
    <w:rsid w:val="00AB5352"/>
    <w:rsid w:val="00AB56AE"/>
    <w:rsid w:val="00AB62D5"/>
    <w:rsid w:val="00AB65B5"/>
    <w:rsid w:val="00AB6DCD"/>
    <w:rsid w:val="00AB6EE0"/>
    <w:rsid w:val="00AB7579"/>
    <w:rsid w:val="00AC2DFD"/>
    <w:rsid w:val="00AC352D"/>
    <w:rsid w:val="00AC40B7"/>
    <w:rsid w:val="00AC5122"/>
    <w:rsid w:val="00AC531F"/>
    <w:rsid w:val="00AC6121"/>
    <w:rsid w:val="00AC626D"/>
    <w:rsid w:val="00AC6CB1"/>
    <w:rsid w:val="00AC79DA"/>
    <w:rsid w:val="00AD0091"/>
    <w:rsid w:val="00AD0843"/>
    <w:rsid w:val="00AD23D8"/>
    <w:rsid w:val="00AD23EF"/>
    <w:rsid w:val="00AD2F0F"/>
    <w:rsid w:val="00AD307B"/>
    <w:rsid w:val="00AD31F9"/>
    <w:rsid w:val="00AD41B3"/>
    <w:rsid w:val="00AD456B"/>
    <w:rsid w:val="00AD4B31"/>
    <w:rsid w:val="00AD4C48"/>
    <w:rsid w:val="00AD57AF"/>
    <w:rsid w:val="00AD6267"/>
    <w:rsid w:val="00AD6292"/>
    <w:rsid w:val="00AD7317"/>
    <w:rsid w:val="00AD754C"/>
    <w:rsid w:val="00AE01A8"/>
    <w:rsid w:val="00AE069F"/>
    <w:rsid w:val="00AE0789"/>
    <w:rsid w:val="00AE0CBD"/>
    <w:rsid w:val="00AE123A"/>
    <w:rsid w:val="00AE1A1E"/>
    <w:rsid w:val="00AE2591"/>
    <w:rsid w:val="00AE28A7"/>
    <w:rsid w:val="00AE33A6"/>
    <w:rsid w:val="00AE36D5"/>
    <w:rsid w:val="00AE3715"/>
    <w:rsid w:val="00AE3729"/>
    <w:rsid w:val="00AE55B2"/>
    <w:rsid w:val="00AE5C6A"/>
    <w:rsid w:val="00AE65F7"/>
    <w:rsid w:val="00AE7280"/>
    <w:rsid w:val="00AF033A"/>
    <w:rsid w:val="00AF1699"/>
    <w:rsid w:val="00AF3896"/>
    <w:rsid w:val="00AF3CEE"/>
    <w:rsid w:val="00AF5706"/>
    <w:rsid w:val="00AF6479"/>
    <w:rsid w:val="00AF6C33"/>
    <w:rsid w:val="00B0098A"/>
    <w:rsid w:val="00B00A5F"/>
    <w:rsid w:val="00B0225F"/>
    <w:rsid w:val="00B029B8"/>
    <w:rsid w:val="00B02F60"/>
    <w:rsid w:val="00B032B8"/>
    <w:rsid w:val="00B03ABB"/>
    <w:rsid w:val="00B04B46"/>
    <w:rsid w:val="00B05050"/>
    <w:rsid w:val="00B0534D"/>
    <w:rsid w:val="00B06368"/>
    <w:rsid w:val="00B06FC6"/>
    <w:rsid w:val="00B07163"/>
    <w:rsid w:val="00B07429"/>
    <w:rsid w:val="00B11847"/>
    <w:rsid w:val="00B12FE6"/>
    <w:rsid w:val="00B1303F"/>
    <w:rsid w:val="00B1364A"/>
    <w:rsid w:val="00B13D3C"/>
    <w:rsid w:val="00B1525C"/>
    <w:rsid w:val="00B16715"/>
    <w:rsid w:val="00B17910"/>
    <w:rsid w:val="00B2041B"/>
    <w:rsid w:val="00B20F18"/>
    <w:rsid w:val="00B21516"/>
    <w:rsid w:val="00B22CE0"/>
    <w:rsid w:val="00B23738"/>
    <w:rsid w:val="00B23BEF"/>
    <w:rsid w:val="00B247BB"/>
    <w:rsid w:val="00B25C11"/>
    <w:rsid w:val="00B25EDF"/>
    <w:rsid w:val="00B25EE6"/>
    <w:rsid w:val="00B27BC0"/>
    <w:rsid w:val="00B3115A"/>
    <w:rsid w:val="00B31A5C"/>
    <w:rsid w:val="00B33C19"/>
    <w:rsid w:val="00B33F84"/>
    <w:rsid w:val="00B3433E"/>
    <w:rsid w:val="00B34861"/>
    <w:rsid w:val="00B34B77"/>
    <w:rsid w:val="00B363BD"/>
    <w:rsid w:val="00B36844"/>
    <w:rsid w:val="00B369F7"/>
    <w:rsid w:val="00B36A99"/>
    <w:rsid w:val="00B37537"/>
    <w:rsid w:val="00B41B81"/>
    <w:rsid w:val="00B42980"/>
    <w:rsid w:val="00B434B2"/>
    <w:rsid w:val="00B434C7"/>
    <w:rsid w:val="00B43580"/>
    <w:rsid w:val="00B43D45"/>
    <w:rsid w:val="00B44771"/>
    <w:rsid w:val="00B4650E"/>
    <w:rsid w:val="00B468F2"/>
    <w:rsid w:val="00B46B45"/>
    <w:rsid w:val="00B46D3D"/>
    <w:rsid w:val="00B46F6B"/>
    <w:rsid w:val="00B47286"/>
    <w:rsid w:val="00B47894"/>
    <w:rsid w:val="00B47DDE"/>
    <w:rsid w:val="00B50234"/>
    <w:rsid w:val="00B51BF4"/>
    <w:rsid w:val="00B51F4B"/>
    <w:rsid w:val="00B52C68"/>
    <w:rsid w:val="00B542FE"/>
    <w:rsid w:val="00B551CE"/>
    <w:rsid w:val="00B55A1B"/>
    <w:rsid w:val="00B561DB"/>
    <w:rsid w:val="00B57494"/>
    <w:rsid w:val="00B61DCE"/>
    <w:rsid w:val="00B62188"/>
    <w:rsid w:val="00B62467"/>
    <w:rsid w:val="00B62F79"/>
    <w:rsid w:val="00B62F82"/>
    <w:rsid w:val="00B648FA"/>
    <w:rsid w:val="00B662FF"/>
    <w:rsid w:val="00B708C2"/>
    <w:rsid w:val="00B72C80"/>
    <w:rsid w:val="00B730B4"/>
    <w:rsid w:val="00B74340"/>
    <w:rsid w:val="00B744E0"/>
    <w:rsid w:val="00B7481A"/>
    <w:rsid w:val="00B74F2F"/>
    <w:rsid w:val="00B756FB"/>
    <w:rsid w:val="00B762CA"/>
    <w:rsid w:val="00B769BC"/>
    <w:rsid w:val="00B77349"/>
    <w:rsid w:val="00B7761E"/>
    <w:rsid w:val="00B80A37"/>
    <w:rsid w:val="00B80A3D"/>
    <w:rsid w:val="00B81902"/>
    <w:rsid w:val="00B823E0"/>
    <w:rsid w:val="00B82B78"/>
    <w:rsid w:val="00B84662"/>
    <w:rsid w:val="00B85402"/>
    <w:rsid w:val="00B864A3"/>
    <w:rsid w:val="00B86C2A"/>
    <w:rsid w:val="00B877F1"/>
    <w:rsid w:val="00B902A5"/>
    <w:rsid w:val="00B90420"/>
    <w:rsid w:val="00B913E4"/>
    <w:rsid w:val="00B91DB9"/>
    <w:rsid w:val="00B93487"/>
    <w:rsid w:val="00B93EFE"/>
    <w:rsid w:val="00B94956"/>
    <w:rsid w:val="00B94C7F"/>
    <w:rsid w:val="00B956B5"/>
    <w:rsid w:val="00B95C3A"/>
    <w:rsid w:val="00B95FCE"/>
    <w:rsid w:val="00BA0D44"/>
    <w:rsid w:val="00BA0E26"/>
    <w:rsid w:val="00BA31BF"/>
    <w:rsid w:val="00BA3EBF"/>
    <w:rsid w:val="00BA43FC"/>
    <w:rsid w:val="00BA478B"/>
    <w:rsid w:val="00BA5224"/>
    <w:rsid w:val="00BA70B3"/>
    <w:rsid w:val="00BA7B27"/>
    <w:rsid w:val="00BA7E3B"/>
    <w:rsid w:val="00BB079C"/>
    <w:rsid w:val="00BB2B56"/>
    <w:rsid w:val="00BB39C1"/>
    <w:rsid w:val="00BB4901"/>
    <w:rsid w:val="00BB5D16"/>
    <w:rsid w:val="00BB6180"/>
    <w:rsid w:val="00BB69E6"/>
    <w:rsid w:val="00BB7D2A"/>
    <w:rsid w:val="00BC0760"/>
    <w:rsid w:val="00BC1B7A"/>
    <w:rsid w:val="00BC2BC7"/>
    <w:rsid w:val="00BC2C17"/>
    <w:rsid w:val="00BC3ACD"/>
    <w:rsid w:val="00BC3C33"/>
    <w:rsid w:val="00BC66D7"/>
    <w:rsid w:val="00BC6E73"/>
    <w:rsid w:val="00BD0014"/>
    <w:rsid w:val="00BD01D8"/>
    <w:rsid w:val="00BD0CBE"/>
    <w:rsid w:val="00BD2512"/>
    <w:rsid w:val="00BD255F"/>
    <w:rsid w:val="00BD383D"/>
    <w:rsid w:val="00BD4236"/>
    <w:rsid w:val="00BD575B"/>
    <w:rsid w:val="00BD5CCA"/>
    <w:rsid w:val="00BD5CD4"/>
    <w:rsid w:val="00BD6652"/>
    <w:rsid w:val="00BD6EF9"/>
    <w:rsid w:val="00BD77DD"/>
    <w:rsid w:val="00BE0ACB"/>
    <w:rsid w:val="00BE1A90"/>
    <w:rsid w:val="00BE3537"/>
    <w:rsid w:val="00BE360F"/>
    <w:rsid w:val="00BE50FD"/>
    <w:rsid w:val="00BE51CA"/>
    <w:rsid w:val="00BE5E5A"/>
    <w:rsid w:val="00BE6D47"/>
    <w:rsid w:val="00BE7032"/>
    <w:rsid w:val="00BE7330"/>
    <w:rsid w:val="00BF01C5"/>
    <w:rsid w:val="00BF066A"/>
    <w:rsid w:val="00BF361C"/>
    <w:rsid w:val="00BF4342"/>
    <w:rsid w:val="00BF5050"/>
    <w:rsid w:val="00BF5422"/>
    <w:rsid w:val="00BF54CF"/>
    <w:rsid w:val="00BF59B1"/>
    <w:rsid w:val="00BF6A78"/>
    <w:rsid w:val="00BF6E19"/>
    <w:rsid w:val="00BF79B4"/>
    <w:rsid w:val="00C01427"/>
    <w:rsid w:val="00C016A1"/>
    <w:rsid w:val="00C04C49"/>
    <w:rsid w:val="00C0508D"/>
    <w:rsid w:val="00C058AF"/>
    <w:rsid w:val="00C11AAA"/>
    <w:rsid w:val="00C124C1"/>
    <w:rsid w:val="00C128AE"/>
    <w:rsid w:val="00C1300C"/>
    <w:rsid w:val="00C136D6"/>
    <w:rsid w:val="00C13D5B"/>
    <w:rsid w:val="00C16047"/>
    <w:rsid w:val="00C17AE2"/>
    <w:rsid w:val="00C20F27"/>
    <w:rsid w:val="00C214D1"/>
    <w:rsid w:val="00C215CF"/>
    <w:rsid w:val="00C223F8"/>
    <w:rsid w:val="00C2244B"/>
    <w:rsid w:val="00C22B0D"/>
    <w:rsid w:val="00C22F55"/>
    <w:rsid w:val="00C240C1"/>
    <w:rsid w:val="00C250D0"/>
    <w:rsid w:val="00C252AC"/>
    <w:rsid w:val="00C255AB"/>
    <w:rsid w:val="00C264F0"/>
    <w:rsid w:val="00C27214"/>
    <w:rsid w:val="00C27597"/>
    <w:rsid w:val="00C30382"/>
    <w:rsid w:val="00C30D6F"/>
    <w:rsid w:val="00C31063"/>
    <w:rsid w:val="00C31B7E"/>
    <w:rsid w:val="00C32217"/>
    <w:rsid w:val="00C3242A"/>
    <w:rsid w:val="00C32AE2"/>
    <w:rsid w:val="00C33201"/>
    <w:rsid w:val="00C332C4"/>
    <w:rsid w:val="00C33C3C"/>
    <w:rsid w:val="00C35857"/>
    <w:rsid w:val="00C360B3"/>
    <w:rsid w:val="00C3679B"/>
    <w:rsid w:val="00C37027"/>
    <w:rsid w:val="00C3778D"/>
    <w:rsid w:val="00C405A3"/>
    <w:rsid w:val="00C42752"/>
    <w:rsid w:val="00C42973"/>
    <w:rsid w:val="00C44F9C"/>
    <w:rsid w:val="00C4730E"/>
    <w:rsid w:val="00C47ED3"/>
    <w:rsid w:val="00C5019C"/>
    <w:rsid w:val="00C5034F"/>
    <w:rsid w:val="00C52479"/>
    <w:rsid w:val="00C5291F"/>
    <w:rsid w:val="00C52C59"/>
    <w:rsid w:val="00C5349E"/>
    <w:rsid w:val="00C5354B"/>
    <w:rsid w:val="00C54467"/>
    <w:rsid w:val="00C54D3D"/>
    <w:rsid w:val="00C55116"/>
    <w:rsid w:val="00C55A30"/>
    <w:rsid w:val="00C57C58"/>
    <w:rsid w:val="00C6028F"/>
    <w:rsid w:val="00C6046F"/>
    <w:rsid w:val="00C608F1"/>
    <w:rsid w:val="00C631E1"/>
    <w:rsid w:val="00C637E8"/>
    <w:rsid w:val="00C638D8"/>
    <w:rsid w:val="00C63C84"/>
    <w:rsid w:val="00C63D26"/>
    <w:rsid w:val="00C641EB"/>
    <w:rsid w:val="00C65053"/>
    <w:rsid w:val="00C65BD9"/>
    <w:rsid w:val="00C66061"/>
    <w:rsid w:val="00C66F69"/>
    <w:rsid w:val="00C67223"/>
    <w:rsid w:val="00C67CFF"/>
    <w:rsid w:val="00C707B8"/>
    <w:rsid w:val="00C7084B"/>
    <w:rsid w:val="00C71C15"/>
    <w:rsid w:val="00C71F3D"/>
    <w:rsid w:val="00C72F53"/>
    <w:rsid w:val="00C74035"/>
    <w:rsid w:val="00C76FF4"/>
    <w:rsid w:val="00C77818"/>
    <w:rsid w:val="00C77AE3"/>
    <w:rsid w:val="00C8063F"/>
    <w:rsid w:val="00C81549"/>
    <w:rsid w:val="00C829A1"/>
    <w:rsid w:val="00C83B36"/>
    <w:rsid w:val="00C84F8A"/>
    <w:rsid w:val="00C84FDF"/>
    <w:rsid w:val="00C85209"/>
    <w:rsid w:val="00C8618F"/>
    <w:rsid w:val="00C90372"/>
    <w:rsid w:val="00C9041F"/>
    <w:rsid w:val="00C90AD1"/>
    <w:rsid w:val="00C9138F"/>
    <w:rsid w:val="00C91A45"/>
    <w:rsid w:val="00C91ED2"/>
    <w:rsid w:val="00C91FB4"/>
    <w:rsid w:val="00C95745"/>
    <w:rsid w:val="00C962E3"/>
    <w:rsid w:val="00C965BD"/>
    <w:rsid w:val="00C97997"/>
    <w:rsid w:val="00CA08FE"/>
    <w:rsid w:val="00CA0FAC"/>
    <w:rsid w:val="00CA25C0"/>
    <w:rsid w:val="00CA2697"/>
    <w:rsid w:val="00CA3451"/>
    <w:rsid w:val="00CA4948"/>
    <w:rsid w:val="00CA52F9"/>
    <w:rsid w:val="00CA568B"/>
    <w:rsid w:val="00CA74D4"/>
    <w:rsid w:val="00CA7500"/>
    <w:rsid w:val="00CB1239"/>
    <w:rsid w:val="00CB178B"/>
    <w:rsid w:val="00CB19FE"/>
    <w:rsid w:val="00CB23C2"/>
    <w:rsid w:val="00CB304C"/>
    <w:rsid w:val="00CB53E8"/>
    <w:rsid w:val="00CB593E"/>
    <w:rsid w:val="00CB594A"/>
    <w:rsid w:val="00CB5CB2"/>
    <w:rsid w:val="00CB6979"/>
    <w:rsid w:val="00CB74EC"/>
    <w:rsid w:val="00CC0A3D"/>
    <w:rsid w:val="00CC2373"/>
    <w:rsid w:val="00CC3C6A"/>
    <w:rsid w:val="00CC3D24"/>
    <w:rsid w:val="00CC3F91"/>
    <w:rsid w:val="00CC4B0A"/>
    <w:rsid w:val="00CC544A"/>
    <w:rsid w:val="00CC57EA"/>
    <w:rsid w:val="00CC5954"/>
    <w:rsid w:val="00CC6C4E"/>
    <w:rsid w:val="00CD05A2"/>
    <w:rsid w:val="00CD19DA"/>
    <w:rsid w:val="00CD233D"/>
    <w:rsid w:val="00CD29D4"/>
    <w:rsid w:val="00CD38F5"/>
    <w:rsid w:val="00CD3ABE"/>
    <w:rsid w:val="00CD400F"/>
    <w:rsid w:val="00CD437E"/>
    <w:rsid w:val="00CD572E"/>
    <w:rsid w:val="00CD5A89"/>
    <w:rsid w:val="00CD5DAD"/>
    <w:rsid w:val="00CD72C5"/>
    <w:rsid w:val="00CD77A2"/>
    <w:rsid w:val="00CD79A7"/>
    <w:rsid w:val="00CE0789"/>
    <w:rsid w:val="00CE1A03"/>
    <w:rsid w:val="00CE2346"/>
    <w:rsid w:val="00CE3529"/>
    <w:rsid w:val="00CE35C8"/>
    <w:rsid w:val="00CE3962"/>
    <w:rsid w:val="00CE5105"/>
    <w:rsid w:val="00CE56BD"/>
    <w:rsid w:val="00CE5EC0"/>
    <w:rsid w:val="00CE6F9F"/>
    <w:rsid w:val="00CE773B"/>
    <w:rsid w:val="00CE781A"/>
    <w:rsid w:val="00CE7B3A"/>
    <w:rsid w:val="00CF10D4"/>
    <w:rsid w:val="00CF1D74"/>
    <w:rsid w:val="00CF2BE2"/>
    <w:rsid w:val="00CF3839"/>
    <w:rsid w:val="00CF55F9"/>
    <w:rsid w:val="00CF56F1"/>
    <w:rsid w:val="00CF59DF"/>
    <w:rsid w:val="00CF71A6"/>
    <w:rsid w:val="00CF7495"/>
    <w:rsid w:val="00CF7671"/>
    <w:rsid w:val="00D01CF9"/>
    <w:rsid w:val="00D0334D"/>
    <w:rsid w:val="00D0374D"/>
    <w:rsid w:val="00D05A76"/>
    <w:rsid w:val="00D075F8"/>
    <w:rsid w:val="00D07F1D"/>
    <w:rsid w:val="00D10558"/>
    <w:rsid w:val="00D1203E"/>
    <w:rsid w:val="00D12886"/>
    <w:rsid w:val="00D13D03"/>
    <w:rsid w:val="00D13E70"/>
    <w:rsid w:val="00D140B5"/>
    <w:rsid w:val="00D16136"/>
    <w:rsid w:val="00D16C58"/>
    <w:rsid w:val="00D17019"/>
    <w:rsid w:val="00D170C1"/>
    <w:rsid w:val="00D21168"/>
    <w:rsid w:val="00D235C8"/>
    <w:rsid w:val="00D2438C"/>
    <w:rsid w:val="00D25264"/>
    <w:rsid w:val="00D25DFA"/>
    <w:rsid w:val="00D26C3F"/>
    <w:rsid w:val="00D27185"/>
    <w:rsid w:val="00D278A6"/>
    <w:rsid w:val="00D27C40"/>
    <w:rsid w:val="00D31E78"/>
    <w:rsid w:val="00D32B84"/>
    <w:rsid w:val="00D337AE"/>
    <w:rsid w:val="00D33AB3"/>
    <w:rsid w:val="00D33F24"/>
    <w:rsid w:val="00D346B7"/>
    <w:rsid w:val="00D346B8"/>
    <w:rsid w:val="00D35AC8"/>
    <w:rsid w:val="00D35D34"/>
    <w:rsid w:val="00D36F87"/>
    <w:rsid w:val="00D37E4E"/>
    <w:rsid w:val="00D426F4"/>
    <w:rsid w:val="00D42E6C"/>
    <w:rsid w:val="00D43218"/>
    <w:rsid w:val="00D43B80"/>
    <w:rsid w:val="00D44236"/>
    <w:rsid w:val="00D442B9"/>
    <w:rsid w:val="00D45B1E"/>
    <w:rsid w:val="00D45BA4"/>
    <w:rsid w:val="00D46CA8"/>
    <w:rsid w:val="00D46E77"/>
    <w:rsid w:val="00D471AF"/>
    <w:rsid w:val="00D4724F"/>
    <w:rsid w:val="00D50519"/>
    <w:rsid w:val="00D516A5"/>
    <w:rsid w:val="00D5264C"/>
    <w:rsid w:val="00D5289A"/>
    <w:rsid w:val="00D537FE"/>
    <w:rsid w:val="00D538F0"/>
    <w:rsid w:val="00D54A6A"/>
    <w:rsid w:val="00D54BF8"/>
    <w:rsid w:val="00D54D7C"/>
    <w:rsid w:val="00D55951"/>
    <w:rsid w:val="00D56316"/>
    <w:rsid w:val="00D572BE"/>
    <w:rsid w:val="00D57EB6"/>
    <w:rsid w:val="00D60ED7"/>
    <w:rsid w:val="00D62B20"/>
    <w:rsid w:val="00D63586"/>
    <w:rsid w:val="00D664BF"/>
    <w:rsid w:val="00D66D8B"/>
    <w:rsid w:val="00D72A1C"/>
    <w:rsid w:val="00D73580"/>
    <w:rsid w:val="00D73802"/>
    <w:rsid w:val="00D73868"/>
    <w:rsid w:val="00D73C2C"/>
    <w:rsid w:val="00D73D52"/>
    <w:rsid w:val="00D742A0"/>
    <w:rsid w:val="00D745E7"/>
    <w:rsid w:val="00D75FF0"/>
    <w:rsid w:val="00D77495"/>
    <w:rsid w:val="00D774ED"/>
    <w:rsid w:val="00D7778F"/>
    <w:rsid w:val="00D777F6"/>
    <w:rsid w:val="00D77F88"/>
    <w:rsid w:val="00D8044C"/>
    <w:rsid w:val="00D81EAA"/>
    <w:rsid w:val="00D8259F"/>
    <w:rsid w:val="00D825F2"/>
    <w:rsid w:val="00D828B1"/>
    <w:rsid w:val="00D84461"/>
    <w:rsid w:val="00D84F27"/>
    <w:rsid w:val="00D850D4"/>
    <w:rsid w:val="00D862D1"/>
    <w:rsid w:val="00D873C6"/>
    <w:rsid w:val="00D91027"/>
    <w:rsid w:val="00D937E0"/>
    <w:rsid w:val="00D94C7D"/>
    <w:rsid w:val="00D94CA4"/>
    <w:rsid w:val="00D94FB4"/>
    <w:rsid w:val="00D95E99"/>
    <w:rsid w:val="00DA098C"/>
    <w:rsid w:val="00DA0BF8"/>
    <w:rsid w:val="00DA0FFB"/>
    <w:rsid w:val="00DA1A3A"/>
    <w:rsid w:val="00DA2C65"/>
    <w:rsid w:val="00DA395D"/>
    <w:rsid w:val="00DA44EB"/>
    <w:rsid w:val="00DB16B8"/>
    <w:rsid w:val="00DB1D52"/>
    <w:rsid w:val="00DB1F62"/>
    <w:rsid w:val="00DB2E03"/>
    <w:rsid w:val="00DB3742"/>
    <w:rsid w:val="00DB3F4B"/>
    <w:rsid w:val="00DB61A4"/>
    <w:rsid w:val="00DB67C1"/>
    <w:rsid w:val="00DB70CD"/>
    <w:rsid w:val="00DB70F4"/>
    <w:rsid w:val="00DC1056"/>
    <w:rsid w:val="00DC16DA"/>
    <w:rsid w:val="00DC211E"/>
    <w:rsid w:val="00DC21D8"/>
    <w:rsid w:val="00DC2369"/>
    <w:rsid w:val="00DC282A"/>
    <w:rsid w:val="00DC34DC"/>
    <w:rsid w:val="00DC3CC6"/>
    <w:rsid w:val="00DC514A"/>
    <w:rsid w:val="00DC64EC"/>
    <w:rsid w:val="00DC67B1"/>
    <w:rsid w:val="00DC7833"/>
    <w:rsid w:val="00DD132B"/>
    <w:rsid w:val="00DD1725"/>
    <w:rsid w:val="00DD21B9"/>
    <w:rsid w:val="00DD2427"/>
    <w:rsid w:val="00DD2A18"/>
    <w:rsid w:val="00DD377A"/>
    <w:rsid w:val="00DD3ECA"/>
    <w:rsid w:val="00DD5AB3"/>
    <w:rsid w:val="00DD5B1A"/>
    <w:rsid w:val="00DD61E8"/>
    <w:rsid w:val="00DD62C0"/>
    <w:rsid w:val="00DD6773"/>
    <w:rsid w:val="00DD7859"/>
    <w:rsid w:val="00DE03AC"/>
    <w:rsid w:val="00DE0A1D"/>
    <w:rsid w:val="00DE15B2"/>
    <w:rsid w:val="00DE1826"/>
    <w:rsid w:val="00DE1A9A"/>
    <w:rsid w:val="00DE2494"/>
    <w:rsid w:val="00DE3D2C"/>
    <w:rsid w:val="00DE43D0"/>
    <w:rsid w:val="00DE5E82"/>
    <w:rsid w:val="00DE5FA6"/>
    <w:rsid w:val="00DE6494"/>
    <w:rsid w:val="00DE6AA1"/>
    <w:rsid w:val="00DE6C57"/>
    <w:rsid w:val="00DE74D7"/>
    <w:rsid w:val="00DE7DCC"/>
    <w:rsid w:val="00DE7EF7"/>
    <w:rsid w:val="00DF1185"/>
    <w:rsid w:val="00DF1299"/>
    <w:rsid w:val="00DF164F"/>
    <w:rsid w:val="00DF1A70"/>
    <w:rsid w:val="00DF23A8"/>
    <w:rsid w:val="00DF2F27"/>
    <w:rsid w:val="00DF6CCC"/>
    <w:rsid w:val="00DF6D0C"/>
    <w:rsid w:val="00DF6F64"/>
    <w:rsid w:val="00DF721E"/>
    <w:rsid w:val="00DF7C87"/>
    <w:rsid w:val="00E009B0"/>
    <w:rsid w:val="00E0345F"/>
    <w:rsid w:val="00E03D5C"/>
    <w:rsid w:val="00E043AC"/>
    <w:rsid w:val="00E043E9"/>
    <w:rsid w:val="00E046A9"/>
    <w:rsid w:val="00E04C0F"/>
    <w:rsid w:val="00E0570B"/>
    <w:rsid w:val="00E057B2"/>
    <w:rsid w:val="00E05996"/>
    <w:rsid w:val="00E10B87"/>
    <w:rsid w:val="00E1478B"/>
    <w:rsid w:val="00E14FAC"/>
    <w:rsid w:val="00E15007"/>
    <w:rsid w:val="00E16EC7"/>
    <w:rsid w:val="00E1714F"/>
    <w:rsid w:val="00E2026B"/>
    <w:rsid w:val="00E21576"/>
    <w:rsid w:val="00E219CE"/>
    <w:rsid w:val="00E21CAB"/>
    <w:rsid w:val="00E21E23"/>
    <w:rsid w:val="00E23961"/>
    <w:rsid w:val="00E24071"/>
    <w:rsid w:val="00E24EBC"/>
    <w:rsid w:val="00E2522C"/>
    <w:rsid w:val="00E2599B"/>
    <w:rsid w:val="00E27383"/>
    <w:rsid w:val="00E2793D"/>
    <w:rsid w:val="00E31AFA"/>
    <w:rsid w:val="00E3203D"/>
    <w:rsid w:val="00E324EE"/>
    <w:rsid w:val="00E34296"/>
    <w:rsid w:val="00E359FF"/>
    <w:rsid w:val="00E36AA7"/>
    <w:rsid w:val="00E36E39"/>
    <w:rsid w:val="00E36F0C"/>
    <w:rsid w:val="00E405F1"/>
    <w:rsid w:val="00E43054"/>
    <w:rsid w:val="00E434C4"/>
    <w:rsid w:val="00E44FE4"/>
    <w:rsid w:val="00E453FC"/>
    <w:rsid w:val="00E45D30"/>
    <w:rsid w:val="00E46013"/>
    <w:rsid w:val="00E4654B"/>
    <w:rsid w:val="00E477C3"/>
    <w:rsid w:val="00E50148"/>
    <w:rsid w:val="00E5048D"/>
    <w:rsid w:val="00E504BB"/>
    <w:rsid w:val="00E50AC4"/>
    <w:rsid w:val="00E50E2C"/>
    <w:rsid w:val="00E51077"/>
    <w:rsid w:val="00E5132D"/>
    <w:rsid w:val="00E51741"/>
    <w:rsid w:val="00E51E16"/>
    <w:rsid w:val="00E52151"/>
    <w:rsid w:val="00E53730"/>
    <w:rsid w:val="00E53C46"/>
    <w:rsid w:val="00E54511"/>
    <w:rsid w:val="00E55DC3"/>
    <w:rsid w:val="00E55E88"/>
    <w:rsid w:val="00E57577"/>
    <w:rsid w:val="00E601DE"/>
    <w:rsid w:val="00E62043"/>
    <w:rsid w:val="00E626B9"/>
    <w:rsid w:val="00E627C9"/>
    <w:rsid w:val="00E630F3"/>
    <w:rsid w:val="00E650E0"/>
    <w:rsid w:val="00E65198"/>
    <w:rsid w:val="00E664FB"/>
    <w:rsid w:val="00E66F0D"/>
    <w:rsid w:val="00E672F9"/>
    <w:rsid w:val="00E67345"/>
    <w:rsid w:val="00E70615"/>
    <w:rsid w:val="00E71A5E"/>
    <w:rsid w:val="00E7207B"/>
    <w:rsid w:val="00E7347A"/>
    <w:rsid w:val="00E75325"/>
    <w:rsid w:val="00E759FB"/>
    <w:rsid w:val="00E75A47"/>
    <w:rsid w:val="00E75D8C"/>
    <w:rsid w:val="00E77771"/>
    <w:rsid w:val="00E777F2"/>
    <w:rsid w:val="00E779ED"/>
    <w:rsid w:val="00E802C9"/>
    <w:rsid w:val="00E80EDD"/>
    <w:rsid w:val="00E80F0A"/>
    <w:rsid w:val="00E81A6A"/>
    <w:rsid w:val="00E8291B"/>
    <w:rsid w:val="00E82FBC"/>
    <w:rsid w:val="00E8395F"/>
    <w:rsid w:val="00E8473F"/>
    <w:rsid w:val="00E84DD1"/>
    <w:rsid w:val="00E85E41"/>
    <w:rsid w:val="00E85EA1"/>
    <w:rsid w:val="00E91044"/>
    <w:rsid w:val="00E910D3"/>
    <w:rsid w:val="00E923CF"/>
    <w:rsid w:val="00E9335F"/>
    <w:rsid w:val="00E95111"/>
    <w:rsid w:val="00E9760C"/>
    <w:rsid w:val="00EA048D"/>
    <w:rsid w:val="00EA061E"/>
    <w:rsid w:val="00EA08DE"/>
    <w:rsid w:val="00EA14C8"/>
    <w:rsid w:val="00EA19D3"/>
    <w:rsid w:val="00EA2296"/>
    <w:rsid w:val="00EA6649"/>
    <w:rsid w:val="00EB05D0"/>
    <w:rsid w:val="00EB07C5"/>
    <w:rsid w:val="00EB1D49"/>
    <w:rsid w:val="00EB42DD"/>
    <w:rsid w:val="00EB559F"/>
    <w:rsid w:val="00EB5F3D"/>
    <w:rsid w:val="00EB6900"/>
    <w:rsid w:val="00EB6EC2"/>
    <w:rsid w:val="00EC1CEB"/>
    <w:rsid w:val="00EC21A7"/>
    <w:rsid w:val="00EC268C"/>
    <w:rsid w:val="00EC3747"/>
    <w:rsid w:val="00EC3753"/>
    <w:rsid w:val="00EC3CB8"/>
    <w:rsid w:val="00EC3D46"/>
    <w:rsid w:val="00EC4E71"/>
    <w:rsid w:val="00EC6667"/>
    <w:rsid w:val="00EC783E"/>
    <w:rsid w:val="00ED0365"/>
    <w:rsid w:val="00ED0865"/>
    <w:rsid w:val="00ED094F"/>
    <w:rsid w:val="00ED16B6"/>
    <w:rsid w:val="00ED1C60"/>
    <w:rsid w:val="00ED2EB9"/>
    <w:rsid w:val="00ED4469"/>
    <w:rsid w:val="00ED5F23"/>
    <w:rsid w:val="00ED675F"/>
    <w:rsid w:val="00ED6DC0"/>
    <w:rsid w:val="00ED79CE"/>
    <w:rsid w:val="00ED7A7A"/>
    <w:rsid w:val="00EE038C"/>
    <w:rsid w:val="00EE040B"/>
    <w:rsid w:val="00EE168A"/>
    <w:rsid w:val="00EE47C5"/>
    <w:rsid w:val="00EE490C"/>
    <w:rsid w:val="00EE613B"/>
    <w:rsid w:val="00EE7E17"/>
    <w:rsid w:val="00EF2C8E"/>
    <w:rsid w:val="00EF3174"/>
    <w:rsid w:val="00EF3303"/>
    <w:rsid w:val="00EF37AB"/>
    <w:rsid w:val="00EF3A0D"/>
    <w:rsid w:val="00EF3CEB"/>
    <w:rsid w:val="00EF41A8"/>
    <w:rsid w:val="00EF44FB"/>
    <w:rsid w:val="00EF4D3C"/>
    <w:rsid w:val="00EF51CA"/>
    <w:rsid w:val="00EF5554"/>
    <w:rsid w:val="00EF5AD8"/>
    <w:rsid w:val="00EF5D2F"/>
    <w:rsid w:val="00EF63F5"/>
    <w:rsid w:val="00EF6758"/>
    <w:rsid w:val="00EF6B90"/>
    <w:rsid w:val="00EF70AE"/>
    <w:rsid w:val="00EF79F7"/>
    <w:rsid w:val="00F00418"/>
    <w:rsid w:val="00F006C0"/>
    <w:rsid w:val="00F009BB"/>
    <w:rsid w:val="00F019AA"/>
    <w:rsid w:val="00F0267E"/>
    <w:rsid w:val="00F02686"/>
    <w:rsid w:val="00F03D99"/>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AD9"/>
    <w:rsid w:val="00F17F74"/>
    <w:rsid w:val="00F202C2"/>
    <w:rsid w:val="00F209D5"/>
    <w:rsid w:val="00F22756"/>
    <w:rsid w:val="00F23890"/>
    <w:rsid w:val="00F2447A"/>
    <w:rsid w:val="00F24638"/>
    <w:rsid w:val="00F2504D"/>
    <w:rsid w:val="00F2637F"/>
    <w:rsid w:val="00F263A8"/>
    <w:rsid w:val="00F268F7"/>
    <w:rsid w:val="00F3053D"/>
    <w:rsid w:val="00F30BDB"/>
    <w:rsid w:val="00F30CF8"/>
    <w:rsid w:val="00F31633"/>
    <w:rsid w:val="00F31EDF"/>
    <w:rsid w:val="00F32CDE"/>
    <w:rsid w:val="00F32D4C"/>
    <w:rsid w:val="00F34811"/>
    <w:rsid w:val="00F34B14"/>
    <w:rsid w:val="00F36A6A"/>
    <w:rsid w:val="00F40101"/>
    <w:rsid w:val="00F404F7"/>
    <w:rsid w:val="00F40B17"/>
    <w:rsid w:val="00F40CCA"/>
    <w:rsid w:val="00F41521"/>
    <w:rsid w:val="00F42D97"/>
    <w:rsid w:val="00F43F09"/>
    <w:rsid w:val="00F45A72"/>
    <w:rsid w:val="00F46723"/>
    <w:rsid w:val="00F46EB9"/>
    <w:rsid w:val="00F50016"/>
    <w:rsid w:val="00F50647"/>
    <w:rsid w:val="00F5118A"/>
    <w:rsid w:val="00F5165C"/>
    <w:rsid w:val="00F51A21"/>
    <w:rsid w:val="00F5276E"/>
    <w:rsid w:val="00F529F9"/>
    <w:rsid w:val="00F52E9F"/>
    <w:rsid w:val="00F53304"/>
    <w:rsid w:val="00F53D37"/>
    <w:rsid w:val="00F53D40"/>
    <w:rsid w:val="00F545ED"/>
    <w:rsid w:val="00F5687F"/>
    <w:rsid w:val="00F56FA5"/>
    <w:rsid w:val="00F5727D"/>
    <w:rsid w:val="00F575C7"/>
    <w:rsid w:val="00F60305"/>
    <w:rsid w:val="00F61B12"/>
    <w:rsid w:val="00F620C5"/>
    <w:rsid w:val="00F62398"/>
    <w:rsid w:val="00F626C5"/>
    <w:rsid w:val="00F631E8"/>
    <w:rsid w:val="00F63223"/>
    <w:rsid w:val="00F63264"/>
    <w:rsid w:val="00F6379E"/>
    <w:rsid w:val="00F676EC"/>
    <w:rsid w:val="00F70799"/>
    <w:rsid w:val="00F70906"/>
    <w:rsid w:val="00F70A8B"/>
    <w:rsid w:val="00F724FB"/>
    <w:rsid w:val="00F72578"/>
    <w:rsid w:val="00F72A26"/>
    <w:rsid w:val="00F733C3"/>
    <w:rsid w:val="00F756DD"/>
    <w:rsid w:val="00F75DB3"/>
    <w:rsid w:val="00F77C37"/>
    <w:rsid w:val="00F80047"/>
    <w:rsid w:val="00F8104D"/>
    <w:rsid w:val="00F81587"/>
    <w:rsid w:val="00F82571"/>
    <w:rsid w:val="00F85258"/>
    <w:rsid w:val="00F85B72"/>
    <w:rsid w:val="00F8766F"/>
    <w:rsid w:val="00F9104C"/>
    <w:rsid w:val="00F91082"/>
    <w:rsid w:val="00F91A9A"/>
    <w:rsid w:val="00F93ABB"/>
    <w:rsid w:val="00F94D79"/>
    <w:rsid w:val="00F971DD"/>
    <w:rsid w:val="00F975D3"/>
    <w:rsid w:val="00FA118A"/>
    <w:rsid w:val="00FA11CD"/>
    <w:rsid w:val="00FA1B7E"/>
    <w:rsid w:val="00FA31C7"/>
    <w:rsid w:val="00FA472D"/>
    <w:rsid w:val="00FA7254"/>
    <w:rsid w:val="00FB0214"/>
    <w:rsid w:val="00FB080C"/>
    <w:rsid w:val="00FB18F6"/>
    <w:rsid w:val="00FB2A52"/>
    <w:rsid w:val="00FB2F13"/>
    <w:rsid w:val="00FB6232"/>
    <w:rsid w:val="00FB6E19"/>
    <w:rsid w:val="00FB71F6"/>
    <w:rsid w:val="00FC0016"/>
    <w:rsid w:val="00FC1483"/>
    <w:rsid w:val="00FC1C47"/>
    <w:rsid w:val="00FC2EF2"/>
    <w:rsid w:val="00FC39ED"/>
    <w:rsid w:val="00FC4419"/>
    <w:rsid w:val="00FC47E2"/>
    <w:rsid w:val="00FC4AA5"/>
    <w:rsid w:val="00FC5148"/>
    <w:rsid w:val="00FC6590"/>
    <w:rsid w:val="00FC7523"/>
    <w:rsid w:val="00FC75AC"/>
    <w:rsid w:val="00FC75CB"/>
    <w:rsid w:val="00FD01BF"/>
    <w:rsid w:val="00FD0525"/>
    <w:rsid w:val="00FD0D4F"/>
    <w:rsid w:val="00FD297D"/>
    <w:rsid w:val="00FD2D13"/>
    <w:rsid w:val="00FD3D26"/>
    <w:rsid w:val="00FD4789"/>
    <w:rsid w:val="00FD6071"/>
    <w:rsid w:val="00FE0794"/>
    <w:rsid w:val="00FE1041"/>
    <w:rsid w:val="00FE24CB"/>
    <w:rsid w:val="00FE3166"/>
    <w:rsid w:val="00FE3320"/>
    <w:rsid w:val="00FE3473"/>
    <w:rsid w:val="00FE353B"/>
    <w:rsid w:val="00FE4049"/>
    <w:rsid w:val="00FE4794"/>
    <w:rsid w:val="00FE5DF7"/>
    <w:rsid w:val="00FE5F72"/>
    <w:rsid w:val="00FE7B6B"/>
    <w:rsid w:val="00FF0231"/>
    <w:rsid w:val="00FF1C9B"/>
    <w:rsid w:val="00FF1D49"/>
    <w:rsid w:val="00FF2562"/>
    <w:rsid w:val="00FF2CE1"/>
    <w:rsid w:val="00FF3A41"/>
    <w:rsid w:val="00FF3E5B"/>
    <w:rsid w:val="00FF52BE"/>
    <w:rsid w:val="00FF544F"/>
    <w:rsid w:val="00FF57E4"/>
    <w:rsid w:val="00FF77F8"/>
    <w:rsid w:val="00FF78E5"/>
    <w:rsid w:val="01965A98"/>
    <w:rsid w:val="01AD584C"/>
    <w:rsid w:val="01DF6ED8"/>
    <w:rsid w:val="02511F9D"/>
    <w:rsid w:val="02AB4E64"/>
    <w:rsid w:val="02CD187B"/>
    <w:rsid w:val="03056ED3"/>
    <w:rsid w:val="0334104D"/>
    <w:rsid w:val="034E5B8A"/>
    <w:rsid w:val="03A314B8"/>
    <w:rsid w:val="03D82B98"/>
    <w:rsid w:val="03F83E8B"/>
    <w:rsid w:val="04D35064"/>
    <w:rsid w:val="05B257EC"/>
    <w:rsid w:val="06190FCC"/>
    <w:rsid w:val="06AE10AC"/>
    <w:rsid w:val="06DF3141"/>
    <w:rsid w:val="07AB1DBE"/>
    <w:rsid w:val="07B72767"/>
    <w:rsid w:val="07DC67A5"/>
    <w:rsid w:val="08077E72"/>
    <w:rsid w:val="082F7FDD"/>
    <w:rsid w:val="09AB1EA0"/>
    <w:rsid w:val="09CC2AAC"/>
    <w:rsid w:val="09D820EE"/>
    <w:rsid w:val="0A652D3E"/>
    <w:rsid w:val="0B0A4571"/>
    <w:rsid w:val="0B116F28"/>
    <w:rsid w:val="0B3A48F0"/>
    <w:rsid w:val="0BF64F69"/>
    <w:rsid w:val="0C4D4F6F"/>
    <w:rsid w:val="0C5C56D6"/>
    <w:rsid w:val="0C92213C"/>
    <w:rsid w:val="0CBA2804"/>
    <w:rsid w:val="0CBC3A2C"/>
    <w:rsid w:val="0D3B1B72"/>
    <w:rsid w:val="0D3D03EE"/>
    <w:rsid w:val="0D4F221D"/>
    <w:rsid w:val="0D84032B"/>
    <w:rsid w:val="0DBD5155"/>
    <w:rsid w:val="0E121122"/>
    <w:rsid w:val="0F011985"/>
    <w:rsid w:val="0F4F4353"/>
    <w:rsid w:val="0FDC6CEF"/>
    <w:rsid w:val="102B2027"/>
    <w:rsid w:val="10A27F31"/>
    <w:rsid w:val="10CA487C"/>
    <w:rsid w:val="111F7DDE"/>
    <w:rsid w:val="11927058"/>
    <w:rsid w:val="12133FB0"/>
    <w:rsid w:val="12176643"/>
    <w:rsid w:val="12510966"/>
    <w:rsid w:val="12A055F5"/>
    <w:rsid w:val="12A5223C"/>
    <w:rsid w:val="12A604D9"/>
    <w:rsid w:val="12FB4FF5"/>
    <w:rsid w:val="130D4243"/>
    <w:rsid w:val="1387148A"/>
    <w:rsid w:val="13AF4F03"/>
    <w:rsid w:val="13E821E4"/>
    <w:rsid w:val="145E6EE8"/>
    <w:rsid w:val="14736E66"/>
    <w:rsid w:val="148937C0"/>
    <w:rsid w:val="149B6AC2"/>
    <w:rsid w:val="15264037"/>
    <w:rsid w:val="15293653"/>
    <w:rsid w:val="1534169A"/>
    <w:rsid w:val="1535630B"/>
    <w:rsid w:val="15C03E03"/>
    <w:rsid w:val="15FC5822"/>
    <w:rsid w:val="162A25EB"/>
    <w:rsid w:val="16964761"/>
    <w:rsid w:val="16F94C2D"/>
    <w:rsid w:val="16FD2A55"/>
    <w:rsid w:val="17366761"/>
    <w:rsid w:val="177C01F0"/>
    <w:rsid w:val="17CE6630"/>
    <w:rsid w:val="189B543F"/>
    <w:rsid w:val="19304EC9"/>
    <w:rsid w:val="19820BA0"/>
    <w:rsid w:val="1A1A2802"/>
    <w:rsid w:val="1ACD2676"/>
    <w:rsid w:val="1AFA16D5"/>
    <w:rsid w:val="1B4F19F8"/>
    <w:rsid w:val="1BD92184"/>
    <w:rsid w:val="1BFE4A94"/>
    <w:rsid w:val="1C5170A2"/>
    <w:rsid w:val="1D23361F"/>
    <w:rsid w:val="1D4061A8"/>
    <w:rsid w:val="1E4A2E9F"/>
    <w:rsid w:val="1E9B4F4B"/>
    <w:rsid w:val="1EEE23EF"/>
    <w:rsid w:val="1F063325"/>
    <w:rsid w:val="1FA2402F"/>
    <w:rsid w:val="1FB57E35"/>
    <w:rsid w:val="1FBC5DF5"/>
    <w:rsid w:val="1FC55574"/>
    <w:rsid w:val="203D099C"/>
    <w:rsid w:val="20781442"/>
    <w:rsid w:val="20C60F12"/>
    <w:rsid w:val="21B83F86"/>
    <w:rsid w:val="21E55E66"/>
    <w:rsid w:val="221178A8"/>
    <w:rsid w:val="221213CF"/>
    <w:rsid w:val="22327A92"/>
    <w:rsid w:val="22501E48"/>
    <w:rsid w:val="22965435"/>
    <w:rsid w:val="22BD6F35"/>
    <w:rsid w:val="22E65479"/>
    <w:rsid w:val="231D53A2"/>
    <w:rsid w:val="23912E45"/>
    <w:rsid w:val="23B7504C"/>
    <w:rsid w:val="24571307"/>
    <w:rsid w:val="24BA2984"/>
    <w:rsid w:val="25126E09"/>
    <w:rsid w:val="25246333"/>
    <w:rsid w:val="25911299"/>
    <w:rsid w:val="25C14636"/>
    <w:rsid w:val="26446DE3"/>
    <w:rsid w:val="264D165B"/>
    <w:rsid w:val="26557688"/>
    <w:rsid w:val="265F3538"/>
    <w:rsid w:val="26835926"/>
    <w:rsid w:val="26CD1617"/>
    <w:rsid w:val="26D7699F"/>
    <w:rsid w:val="271C20DD"/>
    <w:rsid w:val="27234AD7"/>
    <w:rsid w:val="274A5E17"/>
    <w:rsid w:val="279A2132"/>
    <w:rsid w:val="284D08E4"/>
    <w:rsid w:val="2912495F"/>
    <w:rsid w:val="29531C35"/>
    <w:rsid w:val="29972DDA"/>
    <w:rsid w:val="29E17ECF"/>
    <w:rsid w:val="2A2D3BAD"/>
    <w:rsid w:val="2A5A691B"/>
    <w:rsid w:val="2B09065E"/>
    <w:rsid w:val="2B774624"/>
    <w:rsid w:val="2C7A72BE"/>
    <w:rsid w:val="2CE1294E"/>
    <w:rsid w:val="2DCF003E"/>
    <w:rsid w:val="2E3777C8"/>
    <w:rsid w:val="2E831D60"/>
    <w:rsid w:val="2EA42B27"/>
    <w:rsid w:val="2EEB5D26"/>
    <w:rsid w:val="2F013AAD"/>
    <w:rsid w:val="2F240AF9"/>
    <w:rsid w:val="2F401D3C"/>
    <w:rsid w:val="2F436F36"/>
    <w:rsid w:val="2F70241B"/>
    <w:rsid w:val="2F8D3182"/>
    <w:rsid w:val="2FA95C88"/>
    <w:rsid w:val="3041370F"/>
    <w:rsid w:val="308D3B08"/>
    <w:rsid w:val="30F06C49"/>
    <w:rsid w:val="31083A05"/>
    <w:rsid w:val="3180356E"/>
    <w:rsid w:val="32453A27"/>
    <w:rsid w:val="3263064A"/>
    <w:rsid w:val="32AC0C06"/>
    <w:rsid w:val="33FA1CBC"/>
    <w:rsid w:val="342866FA"/>
    <w:rsid w:val="34CA3F9D"/>
    <w:rsid w:val="35304278"/>
    <w:rsid w:val="3537750C"/>
    <w:rsid w:val="3537798C"/>
    <w:rsid w:val="357F7ED5"/>
    <w:rsid w:val="35C13FC9"/>
    <w:rsid w:val="362E6D87"/>
    <w:rsid w:val="364257B6"/>
    <w:rsid w:val="367B3D86"/>
    <w:rsid w:val="36F834D1"/>
    <w:rsid w:val="374264D3"/>
    <w:rsid w:val="37C1661D"/>
    <w:rsid w:val="37DB7874"/>
    <w:rsid w:val="37E961A0"/>
    <w:rsid w:val="37EA5922"/>
    <w:rsid w:val="3809405A"/>
    <w:rsid w:val="38276B93"/>
    <w:rsid w:val="388F7B77"/>
    <w:rsid w:val="39650C25"/>
    <w:rsid w:val="39AA5BBD"/>
    <w:rsid w:val="39CE6BDE"/>
    <w:rsid w:val="3A0B64A7"/>
    <w:rsid w:val="3A4A48F1"/>
    <w:rsid w:val="3A7038BB"/>
    <w:rsid w:val="3AF74C02"/>
    <w:rsid w:val="3BC6658C"/>
    <w:rsid w:val="3BFD4B8C"/>
    <w:rsid w:val="3C0059A5"/>
    <w:rsid w:val="3C134E78"/>
    <w:rsid w:val="3C301B5F"/>
    <w:rsid w:val="3CAB1AFC"/>
    <w:rsid w:val="3D05582A"/>
    <w:rsid w:val="3DF6345D"/>
    <w:rsid w:val="3EE13701"/>
    <w:rsid w:val="3EFA9C1A"/>
    <w:rsid w:val="3F1A4BB3"/>
    <w:rsid w:val="3F5E1D15"/>
    <w:rsid w:val="3FB12026"/>
    <w:rsid w:val="40192BA6"/>
    <w:rsid w:val="409C1193"/>
    <w:rsid w:val="40F22A7D"/>
    <w:rsid w:val="42550A18"/>
    <w:rsid w:val="425600A9"/>
    <w:rsid w:val="42D114D2"/>
    <w:rsid w:val="42F473A1"/>
    <w:rsid w:val="432D04A7"/>
    <w:rsid w:val="441E62C0"/>
    <w:rsid w:val="44274ACD"/>
    <w:rsid w:val="45746EE0"/>
    <w:rsid w:val="45811C7C"/>
    <w:rsid w:val="45AA78B4"/>
    <w:rsid w:val="468B3EFB"/>
    <w:rsid w:val="4696371E"/>
    <w:rsid w:val="46F851C7"/>
    <w:rsid w:val="46F9547C"/>
    <w:rsid w:val="470A6193"/>
    <w:rsid w:val="477535AD"/>
    <w:rsid w:val="47AA339A"/>
    <w:rsid w:val="47DC4F5C"/>
    <w:rsid w:val="48A04659"/>
    <w:rsid w:val="48B40671"/>
    <w:rsid w:val="499B5738"/>
    <w:rsid w:val="499F244D"/>
    <w:rsid w:val="49E634D1"/>
    <w:rsid w:val="4A8F58C2"/>
    <w:rsid w:val="4AF96BC7"/>
    <w:rsid w:val="4B0367C6"/>
    <w:rsid w:val="4B842132"/>
    <w:rsid w:val="4BFB4050"/>
    <w:rsid w:val="4CEF36E2"/>
    <w:rsid w:val="4D3B1120"/>
    <w:rsid w:val="4DAF4CC1"/>
    <w:rsid w:val="4E676345"/>
    <w:rsid w:val="4EE37EF7"/>
    <w:rsid w:val="4EE911C5"/>
    <w:rsid w:val="4F372FFB"/>
    <w:rsid w:val="4FA76FA4"/>
    <w:rsid w:val="5044725D"/>
    <w:rsid w:val="50BD4FF4"/>
    <w:rsid w:val="513F391C"/>
    <w:rsid w:val="51564E44"/>
    <w:rsid w:val="51C05821"/>
    <w:rsid w:val="52021E61"/>
    <w:rsid w:val="52282C57"/>
    <w:rsid w:val="52C10D75"/>
    <w:rsid w:val="5358625C"/>
    <w:rsid w:val="53C125EB"/>
    <w:rsid w:val="54C53DC5"/>
    <w:rsid w:val="550C4BD7"/>
    <w:rsid w:val="55572986"/>
    <w:rsid w:val="55A14ACC"/>
    <w:rsid w:val="562B20BF"/>
    <w:rsid w:val="56B33B98"/>
    <w:rsid w:val="56D04C17"/>
    <w:rsid w:val="57603931"/>
    <w:rsid w:val="57941F0D"/>
    <w:rsid w:val="581427CA"/>
    <w:rsid w:val="5871640D"/>
    <w:rsid w:val="5884764A"/>
    <w:rsid w:val="588C1F90"/>
    <w:rsid w:val="59373F86"/>
    <w:rsid w:val="5A3D4CF5"/>
    <w:rsid w:val="5A7F21E3"/>
    <w:rsid w:val="5A957D93"/>
    <w:rsid w:val="5AFD311B"/>
    <w:rsid w:val="5B0E18F6"/>
    <w:rsid w:val="5B3760D9"/>
    <w:rsid w:val="5B86261A"/>
    <w:rsid w:val="5BE014E5"/>
    <w:rsid w:val="5BEC760C"/>
    <w:rsid w:val="5CDB59A9"/>
    <w:rsid w:val="5D27623E"/>
    <w:rsid w:val="5E1B2389"/>
    <w:rsid w:val="5E7B45E4"/>
    <w:rsid w:val="5EC1512D"/>
    <w:rsid w:val="5F12674D"/>
    <w:rsid w:val="5F80710D"/>
    <w:rsid w:val="5F970130"/>
    <w:rsid w:val="5FDF74DA"/>
    <w:rsid w:val="601B2AEB"/>
    <w:rsid w:val="606007BB"/>
    <w:rsid w:val="60A7347D"/>
    <w:rsid w:val="60AC7F66"/>
    <w:rsid w:val="618835DC"/>
    <w:rsid w:val="61BF10D9"/>
    <w:rsid w:val="629F7BDB"/>
    <w:rsid w:val="63001286"/>
    <w:rsid w:val="631928DF"/>
    <w:rsid w:val="63C6775E"/>
    <w:rsid w:val="640C7C21"/>
    <w:rsid w:val="64460353"/>
    <w:rsid w:val="647F5C91"/>
    <w:rsid w:val="64E45EF7"/>
    <w:rsid w:val="655A9E13"/>
    <w:rsid w:val="658E21B9"/>
    <w:rsid w:val="66455A92"/>
    <w:rsid w:val="667F18FA"/>
    <w:rsid w:val="66A575B3"/>
    <w:rsid w:val="66A57729"/>
    <w:rsid w:val="670F748C"/>
    <w:rsid w:val="6736338C"/>
    <w:rsid w:val="677435B2"/>
    <w:rsid w:val="67EF75F1"/>
    <w:rsid w:val="68182C62"/>
    <w:rsid w:val="681C76FB"/>
    <w:rsid w:val="68774BE5"/>
    <w:rsid w:val="68B87030"/>
    <w:rsid w:val="69124F16"/>
    <w:rsid w:val="697A5D1D"/>
    <w:rsid w:val="69C64B0E"/>
    <w:rsid w:val="69CD5C14"/>
    <w:rsid w:val="69CF0D33"/>
    <w:rsid w:val="6A4F1C8F"/>
    <w:rsid w:val="6A5D659A"/>
    <w:rsid w:val="6A671F50"/>
    <w:rsid w:val="6A9260A0"/>
    <w:rsid w:val="6AA87672"/>
    <w:rsid w:val="6AB24495"/>
    <w:rsid w:val="6B9946B3"/>
    <w:rsid w:val="6C310D11"/>
    <w:rsid w:val="6C921AAA"/>
    <w:rsid w:val="6D1837C6"/>
    <w:rsid w:val="6DD07B9A"/>
    <w:rsid w:val="6DE76850"/>
    <w:rsid w:val="6E336FB7"/>
    <w:rsid w:val="6E3B7F3B"/>
    <w:rsid w:val="6E6F7D61"/>
    <w:rsid w:val="6E9A1018"/>
    <w:rsid w:val="6FB20BD4"/>
    <w:rsid w:val="6FBA59BE"/>
    <w:rsid w:val="7029594C"/>
    <w:rsid w:val="70296B3E"/>
    <w:rsid w:val="70611204"/>
    <w:rsid w:val="70F17BCE"/>
    <w:rsid w:val="7234593E"/>
    <w:rsid w:val="72983CD3"/>
    <w:rsid w:val="72EF4CB6"/>
    <w:rsid w:val="7327671B"/>
    <w:rsid w:val="743B2F14"/>
    <w:rsid w:val="746A24BE"/>
    <w:rsid w:val="749F1040"/>
    <w:rsid w:val="74E17CA3"/>
    <w:rsid w:val="74FA2C30"/>
    <w:rsid w:val="761334AF"/>
    <w:rsid w:val="761769E9"/>
    <w:rsid w:val="76250197"/>
    <w:rsid w:val="76A5206F"/>
    <w:rsid w:val="76BC49EB"/>
    <w:rsid w:val="76DB4D52"/>
    <w:rsid w:val="77000DA2"/>
    <w:rsid w:val="7709752E"/>
    <w:rsid w:val="781E69D1"/>
    <w:rsid w:val="78340059"/>
    <w:rsid w:val="785B4718"/>
    <w:rsid w:val="788C65D5"/>
    <w:rsid w:val="79942D2A"/>
    <w:rsid w:val="79BE1CAB"/>
    <w:rsid w:val="7ADD0453"/>
    <w:rsid w:val="7AF46346"/>
    <w:rsid w:val="7B0F5EBF"/>
    <w:rsid w:val="7B130FB9"/>
    <w:rsid w:val="7B9A3798"/>
    <w:rsid w:val="7BDE0625"/>
    <w:rsid w:val="7BF64EDE"/>
    <w:rsid w:val="7C400C1E"/>
    <w:rsid w:val="7C6C6CCE"/>
    <w:rsid w:val="7C773348"/>
    <w:rsid w:val="7CB0484C"/>
    <w:rsid w:val="7CDD25AE"/>
    <w:rsid w:val="7D422E99"/>
    <w:rsid w:val="7DD11708"/>
    <w:rsid w:val="7DD83ECB"/>
    <w:rsid w:val="7DF46F4A"/>
    <w:rsid w:val="7E045383"/>
    <w:rsid w:val="7E3D4C74"/>
    <w:rsid w:val="7EBC46EA"/>
    <w:rsid w:val="7EC167BD"/>
    <w:rsid w:val="7FCA72CB"/>
    <w:rsid w:val="7FCB062D"/>
    <w:rsid w:val="7FF82C26"/>
    <w:rsid w:val="EF6DC4F0"/>
    <w:rsid w:val="FFF6D5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autoRedefine/>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38"/>
    <w:autoRedefine/>
    <w:qFormat/>
    <w:uiPriority w:val="9"/>
    <w:pPr>
      <w:keepNext/>
      <w:keepLines/>
      <w:spacing w:before="280" w:after="290" w:line="376" w:lineRule="auto"/>
      <w:outlineLvl w:val="4"/>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7">
    <w:name w:val="Normal Indent"/>
    <w:basedOn w:val="1"/>
    <w:autoRedefine/>
    <w:qFormat/>
    <w:uiPriority w:val="0"/>
    <w:pPr>
      <w:ind w:firstLine="420"/>
    </w:pPr>
    <w:rPr>
      <w:szCs w:val="20"/>
    </w:rPr>
  </w:style>
  <w:style w:type="paragraph" w:styleId="8">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9">
    <w:name w:val="annotation text"/>
    <w:basedOn w:val="1"/>
    <w:link w:val="39"/>
    <w:autoRedefine/>
    <w:qFormat/>
    <w:uiPriority w:val="0"/>
    <w:pPr>
      <w:jc w:val="left"/>
    </w:pPr>
  </w:style>
  <w:style w:type="paragraph" w:styleId="10">
    <w:name w:val="Body Text 3"/>
    <w:basedOn w:val="1"/>
    <w:link w:val="40"/>
    <w:autoRedefine/>
    <w:unhideWhenUsed/>
    <w:qFormat/>
    <w:uiPriority w:val="99"/>
    <w:pPr>
      <w:spacing w:after="120"/>
    </w:pPr>
    <w:rPr>
      <w:sz w:val="16"/>
      <w:szCs w:val="16"/>
    </w:rPr>
  </w:style>
  <w:style w:type="paragraph" w:styleId="11">
    <w:name w:val="Body Text"/>
    <w:basedOn w:val="1"/>
    <w:next w:val="1"/>
    <w:link w:val="41"/>
    <w:autoRedefine/>
    <w:unhideWhenUsed/>
    <w:qFormat/>
    <w:uiPriority w:val="0"/>
    <w:pPr>
      <w:spacing w:after="120"/>
    </w:pPr>
  </w:style>
  <w:style w:type="paragraph" w:styleId="12">
    <w:name w:val="Body Text Indent"/>
    <w:basedOn w:val="1"/>
    <w:link w:val="42"/>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Block Text"/>
    <w:basedOn w:val="1"/>
    <w:autoRedefine/>
    <w:qFormat/>
    <w:uiPriority w:val="0"/>
    <w:pPr>
      <w:tabs>
        <w:tab w:val="left" w:pos="1440"/>
      </w:tabs>
      <w:spacing w:after="100"/>
      <w:ind w:left="3600" w:right="-288" w:hanging="2880"/>
    </w:pPr>
    <w:rPr>
      <w:snapToGrid w:val="0"/>
      <w:kern w:val="0"/>
      <w:sz w:val="22"/>
      <w:szCs w:val="20"/>
      <w:lang w:eastAsia="en-US"/>
    </w:rPr>
  </w:style>
  <w:style w:type="paragraph" w:styleId="15">
    <w:name w:val="Plain Text"/>
    <w:basedOn w:val="1"/>
    <w:next w:val="5"/>
    <w:link w:val="43"/>
    <w:autoRedefine/>
    <w:qFormat/>
    <w:uiPriority w:val="0"/>
    <w:rPr>
      <w:rFonts w:ascii="宋体" w:hAnsi="Courier New"/>
      <w:kern w:val="0"/>
      <w:sz w:val="20"/>
      <w:szCs w:val="21"/>
    </w:rPr>
  </w:style>
  <w:style w:type="paragraph" w:styleId="16">
    <w:name w:val="Date"/>
    <w:basedOn w:val="1"/>
    <w:next w:val="1"/>
    <w:link w:val="44"/>
    <w:autoRedefine/>
    <w:unhideWhenUsed/>
    <w:qFormat/>
    <w:uiPriority w:val="99"/>
    <w:pPr>
      <w:ind w:left="100" w:leftChars="2500"/>
    </w:pPr>
  </w:style>
  <w:style w:type="paragraph" w:styleId="17">
    <w:name w:val="Balloon Text"/>
    <w:basedOn w:val="1"/>
    <w:autoRedefine/>
    <w:semiHidden/>
    <w:qFormat/>
    <w:uiPriority w:val="0"/>
    <w:rPr>
      <w:sz w:val="18"/>
      <w:szCs w:val="18"/>
    </w:rPr>
  </w:style>
  <w:style w:type="paragraph" w:styleId="18">
    <w:name w:val="footer"/>
    <w:basedOn w:val="1"/>
    <w:next w:val="1"/>
    <w:link w:val="45"/>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link w:val="46"/>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toc 2"/>
    <w:basedOn w:val="1"/>
    <w:next w:val="1"/>
    <w:autoRedefine/>
    <w:unhideWhenUsed/>
    <w:qFormat/>
    <w:uiPriority w:val="39"/>
    <w:pPr>
      <w:tabs>
        <w:tab w:val="right" w:leader="dot" w:pos="8296"/>
      </w:tabs>
      <w:ind w:left="420" w:leftChars="200"/>
    </w:pPr>
  </w:style>
  <w:style w:type="paragraph" w:styleId="22">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rPr>
  </w:style>
  <w:style w:type="paragraph" w:styleId="23">
    <w:name w:val="Normal (Web)"/>
    <w:basedOn w:val="1"/>
    <w:autoRedefine/>
    <w:unhideWhenUsed/>
    <w:qFormat/>
    <w:uiPriority w:val="99"/>
    <w:rPr>
      <w:rFonts w:ascii="Calibri" w:hAnsi="Calibri"/>
      <w:kern w:val="0"/>
      <w:sz w:val="24"/>
    </w:rPr>
  </w:style>
  <w:style w:type="paragraph" w:styleId="24">
    <w:name w:val="annotation subject"/>
    <w:basedOn w:val="9"/>
    <w:next w:val="9"/>
    <w:link w:val="47"/>
    <w:autoRedefine/>
    <w:qFormat/>
    <w:uiPriority w:val="99"/>
    <w:rPr>
      <w:b/>
      <w:bCs/>
    </w:rPr>
  </w:style>
  <w:style w:type="paragraph" w:styleId="25">
    <w:name w:val="Body Text First Indent"/>
    <w:basedOn w:val="11"/>
    <w:autoRedefine/>
    <w:qFormat/>
    <w:uiPriority w:val="0"/>
    <w:pPr>
      <w:ind w:firstLine="420" w:firstLineChars="100"/>
    </w:pPr>
  </w:style>
  <w:style w:type="paragraph" w:styleId="26">
    <w:name w:val="Body Text First Indent 2"/>
    <w:basedOn w:val="12"/>
    <w:next w:val="1"/>
    <w:autoRedefine/>
    <w:qFormat/>
    <w:uiPriority w:val="0"/>
    <w:pPr>
      <w:spacing w:after="120"/>
      <w:ind w:left="420" w:leftChars="200" w:firstLine="420" w:firstLineChars="200"/>
    </w:pPr>
    <w:rPr>
      <w:szCs w:val="24"/>
    </w:rPr>
  </w:style>
  <w:style w:type="table" w:styleId="28">
    <w:name w:val="Table Grid"/>
    <w:basedOn w:val="2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page number"/>
    <w:autoRedefine/>
    <w:qFormat/>
    <w:uiPriority w:val="0"/>
  </w:style>
  <w:style w:type="character" w:styleId="31">
    <w:name w:val="FollowedHyperlink"/>
    <w:basedOn w:val="29"/>
    <w:semiHidden/>
    <w:unhideWhenUsed/>
    <w:qFormat/>
    <w:uiPriority w:val="99"/>
    <w:rPr>
      <w:color w:val="000000"/>
      <w:u w:val="none"/>
    </w:rPr>
  </w:style>
  <w:style w:type="character" w:styleId="32">
    <w:name w:val="Hyperlink"/>
    <w:autoRedefine/>
    <w:unhideWhenUsed/>
    <w:qFormat/>
    <w:uiPriority w:val="99"/>
    <w:rPr>
      <w:color w:val="0000FF"/>
      <w:u w:val="single"/>
    </w:rPr>
  </w:style>
  <w:style w:type="character" w:styleId="33">
    <w:name w:val="annotation reference"/>
    <w:basedOn w:val="29"/>
    <w:autoRedefine/>
    <w:qFormat/>
    <w:uiPriority w:val="0"/>
    <w:rPr>
      <w:sz w:val="21"/>
      <w:szCs w:val="21"/>
    </w:rPr>
  </w:style>
  <w:style w:type="paragraph" w:customStyle="1" w:styleId="34">
    <w:name w:val="章标题"/>
    <w:next w:val="1"/>
    <w:autoRedefine/>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paragraph" w:customStyle="1" w:styleId="35">
    <w:name w:val="无间隔1"/>
    <w:autoRedefine/>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36">
    <w:name w:val="标题 1 字符1"/>
    <w:link w:val="3"/>
    <w:autoRedefine/>
    <w:qFormat/>
    <w:uiPriority w:val="0"/>
    <w:rPr>
      <w:b/>
      <w:bCs/>
      <w:kern w:val="44"/>
      <w:sz w:val="44"/>
      <w:szCs w:val="44"/>
    </w:rPr>
  </w:style>
  <w:style w:type="character" w:customStyle="1" w:styleId="37">
    <w:name w:val="标题 2 字符"/>
    <w:link w:val="4"/>
    <w:autoRedefine/>
    <w:qFormat/>
    <w:uiPriority w:val="9"/>
    <w:rPr>
      <w:rFonts w:ascii="Cambria" w:hAnsi="Cambria" w:eastAsia="宋体" w:cs="Times New Roman"/>
      <w:b/>
      <w:bCs/>
      <w:kern w:val="2"/>
      <w:sz w:val="32"/>
      <w:szCs w:val="32"/>
    </w:rPr>
  </w:style>
  <w:style w:type="character" w:customStyle="1" w:styleId="38">
    <w:name w:val="标题 5 字符"/>
    <w:link w:val="6"/>
    <w:autoRedefine/>
    <w:semiHidden/>
    <w:qFormat/>
    <w:uiPriority w:val="9"/>
    <w:rPr>
      <w:rFonts w:ascii="Times New Roman" w:hAnsi="Times New Roman"/>
      <w:b/>
      <w:bCs/>
      <w:kern w:val="2"/>
      <w:sz w:val="28"/>
      <w:szCs w:val="28"/>
    </w:rPr>
  </w:style>
  <w:style w:type="character" w:customStyle="1" w:styleId="39">
    <w:name w:val="批注文字 字符"/>
    <w:link w:val="9"/>
    <w:autoRedefine/>
    <w:qFormat/>
    <w:uiPriority w:val="0"/>
    <w:rPr>
      <w:rFonts w:ascii="Times New Roman" w:hAnsi="Times New Roman"/>
      <w:kern w:val="2"/>
      <w:sz w:val="21"/>
      <w:szCs w:val="24"/>
    </w:rPr>
  </w:style>
  <w:style w:type="character" w:customStyle="1" w:styleId="40">
    <w:name w:val="正文文本 3 字符"/>
    <w:link w:val="10"/>
    <w:autoRedefine/>
    <w:semiHidden/>
    <w:qFormat/>
    <w:uiPriority w:val="99"/>
    <w:rPr>
      <w:rFonts w:ascii="Times New Roman" w:hAnsi="Times New Roman"/>
      <w:kern w:val="2"/>
      <w:sz w:val="16"/>
      <w:szCs w:val="16"/>
    </w:rPr>
  </w:style>
  <w:style w:type="character" w:customStyle="1" w:styleId="41">
    <w:name w:val="正文文本 字符"/>
    <w:link w:val="11"/>
    <w:autoRedefine/>
    <w:qFormat/>
    <w:uiPriority w:val="0"/>
    <w:rPr>
      <w:rFonts w:ascii="Times New Roman" w:hAnsi="Times New Roman"/>
      <w:kern w:val="2"/>
      <w:sz w:val="21"/>
      <w:szCs w:val="24"/>
    </w:rPr>
  </w:style>
  <w:style w:type="character" w:customStyle="1" w:styleId="42">
    <w:name w:val="正文文本缩进 字符"/>
    <w:link w:val="12"/>
    <w:autoRedefine/>
    <w:qFormat/>
    <w:uiPriority w:val="0"/>
    <w:rPr>
      <w:rFonts w:ascii="仿宋_GB2312" w:hAnsi="Times New Roman" w:eastAsia="仿宋_GB2312" w:cs="Times New Roman"/>
      <w:sz w:val="32"/>
      <w:szCs w:val="20"/>
    </w:rPr>
  </w:style>
  <w:style w:type="character" w:customStyle="1" w:styleId="43">
    <w:name w:val="纯文本 字符"/>
    <w:link w:val="15"/>
    <w:autoRedefine/>
    <w:qFormat/>
    <w:uiPriority w:val="0"/>
    <w:rPr>
      <w:rFonts w:ascii="宋体" w:hAnsi="Courier New" w:eastAsia="宋体" w:cs="Courier New"/>
      <w:szCs w:val="21"/>
    </w:rPr>
  </w:style>
  <w:style w:type="character" w:customStyle="1" w:styleId="44">
    <w:name w:val="日期 字符"/>
    <w:link w:val="16"/>
    <w:autoRedefine/>
    <w:semiHidden/>
    <w:qFormat/>
    <w:uiPriority w:val="99"/>
    <w:rPr>
      <w:rFonts w:ascii="Times New Roman" w:hAnsi="Times New Roman"/>
      <w:kern w:val="2"/>
      <w:sz w:val="21"/>
      <w:szCs w:val="24"/>
    </w:rPr>
  </w:style>
  <w:style w:type="character" w:customStyle="1" w:styleId="45">
    <w:name w:val="页脚 字符"/>
    <w:link w:val="18"/>
    <w:autoRedefine/>
    <w:qFormat/>
    <w:uiPriority w:val="99"/>
    <w:rPr>
      <w:sz w:val="18"/>
      <w:szCs w:val="18"/>
    </w:rPr>
  </w:style>
  <w:style w:type="character" w:customStyle="1" w:styleId="46">
    <w:name w:val="页眉 字符"/>
    <w:link w:val="19"/>
    <w:autoRedefine/>
    <w:qFormat/>
    <w:uiPriority w:val="99"/>
    <w:rPr>
      <w:sz w:val="18"/>
      <w:szCs w:val="18"/>
    </w:rPr>
  </w:style>
  <w:style w:type="character" w:customStyle="1" w:styleId="47">
    <w:name w:val="批注主题 字符"/>
    <w:link w:val="24"/>
    <w:autoRedefine/>
    <w:qFormat/>
    <w:uiPriority w:val="99"/>
    <w:rPr>
      <w:rFonts w:ascii="Times New Roman" w:hAnsi="Times New Roman"/>
      <w:b/>
      <w:bCs/>
      <w:kern w:val="2"/>
      <w:sz w:val="21"/>
      <w:szCs w:val="24"/>
    </w:rPr>
  </w:style>
  <w:style w:type="character" w:customStyle="1" w:styleId="48">
    <w:name w:val="正文文本缩进 字符1"/>
    <w:autoRedefine/>
    <w:qFormat/>
    <w:uiPriority w:val="0"/>
    <w:rPr>
      <w:rFonts w:ascii="仿宋_GB2312" w:hAnsi="Times New Roman" w:eastAsia="仿宋_GB2312" w:cs="Times New Roman"/>
      <w:sz w:val="32"/>
      <w:szCs w:val="20"/>
    </w:rPr>
  </w:style>
  <w:style w:type="character" w:customStyle="1" w:styleId="49">
    <w:name w:val="apple-style-span"/>
    <w:autoRedefine/>
    <w:qFormat/>
    <w:uiPriority w:val="0"/>
  </w:style>
  <w:style w:type="character" w:customStyle="1" w:styleId="50">
    <w:name w:val="标题 1 字符"/>
    <w:autoRedefine/>
    <w:qFormat/>
    <w:uiPriority w:val="9"/>
    <w:rPr>
      <w:b/>
      <w:bCs/>
      <w:kern w:val="44"/>
      <w:sz w:val="44"/>
      <w:szCs w:val="44"/>
    </w:rPr>
  </w:style>
  <w:style w:type="character" w:customStyle="1" w:styleId="51">
    <w:name w:val="textcontents"/>
    <w:autoRedefine/>
    <w:qFormat/>
    <w:uiPriority w:val="0"/>
  </w:style>
  <w:style w:type="character" w:customStyle="1" w:styleId="52">
    <w:name w:val="纯文本 字符1"/>
    <w:autoRedefine/>
    <w:qFormat/>
    <w:uiPriority w:val="0"/>
    <w:rPr>
      <w:rFonts w:ascii="宋体" w:hAnsi="Courier New"/>
    </w:rPr>
  </w:style>
  <w:style w:type="character" w:customStyle="1" w:styleId="53">
    <w:name w:val="批注文字 字符1"/>
    <w:autoRedefine/>
    <w:qFormat/>
    <w:uiPriority w:val="0"/>
    <w:rPr>
      <w:kern w:val="2"/>
      <w:sz w:val="21"/>
      <w:szCs w:val="24"/>
    </w:rPr>
  </w:style>
  <w:style w:type="character" w:customStyle="1" w:styleId="54">
    <w:name w:val="纯文本 字符2"/>
    <w:autoRedefine/>
    <w:qFormat/>
    <w:uiPriority w:val="0"/>
    <w:rPr>
      <w:rFonts w:ascii="宋体" w:hAnsi="Courier New" w:eastAsia="宋体" w:cs="Courier New"/>
      <w:szCs w:val="21"/>
    </w:rPr>
  </w:style>
  <w:style w:type="character" w:customStyle="1" w:styleId="55">
    <w:name w:val="页脚 Char"/>
    <w:autoRedefine/>
    <w:qFormat/>
    <w:uiPriority w:val="99"/>
    <w:rPr>
      <w:lang w:eastAsia="zh-CN"/>
    </w:rPr>
  </w:style>
  <w:style w:type="paragraph" w:customStyle="1" w:styleId="56">
    <w:name w:val="默认段落字体 Para Char Char Char Char Char Char Char Char Char1 Char Char Char Char"/>
    <w:basedOn w:val="1"/>
    <w:autoRedefine/>
    <w:qFormat/>
    <w:uiPriority w:val="0"/>
    <w:rPr>
      <w:rFonts w:ascii="Tahoma" w:hAnsi="Tahoma"/>
      <w:sz w:val="24"/>
      <w:szCs w:val="20"/>
    </w:rPr>
  </w:style>
  <w:style w:type="paragraph" w:customStyle="1" w:styleId="57">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58">
    <w:name w:val="列出段落1"/>
    <w:basedOn w:val="1"/>
    <w:autoRedefine/>
    <w:qFormat/>
    <w:uiPriority w:val="34"/>
    <w:pPr>
      <w:ind w:firstLine="420" w:firstLineChars="200"/>
    </w:pPr>
  </w:style>
  <w:style w:type="paragraph" w:customStyle="1" w:styleId="59">
    <w:name w:val="Table Paragraph"/>
    <w:basedOn w:val="1"/>
    <w:autoRedefine/>
    <w:qFormat/>
    <w:uiPriority w:val="1"/>
    <w:pPr>
      <w:jc w:val="left"/>
    </w:pPr>
    <w:rPr>
      <w:rFonts w:ascii="Calibri" w:hAnsi="Calibri"/>
      <w:kern w:val="0"/>
      <w:sz w:val="22"/>
      <w:szCs w:val="22"/>
      <w:lang w:eastAsia="en-US"/>
    </w:rPr>
  </w:style>
  <w:style w:type="character" w:customStyle="1" w:styleId="60">
    <w:name w:val="批注文字 Char1"/>
    <w:autoRedefine/>
    <w:qFormat/>
    <w:uiPriority w:val="0"/>
    <w:rPr>
      <w:rFonts w:ascii="Times New Roman" w:hAnsi="Times New Roman"/>
      <w:kern w:val="2"/>
      <w:sz w:val="21"/>
      <w:szCs w:val="24"/>
    </w:rPr>
  </w:style>
  <w:style w:type="character" w:customStyle="1" w:styleId="61">
    <w:name w:val="批注文字 字符2"/>
    <w:autoRedefine/>
    <w:qFormat/>
    <w:uiPriority w:val="0"/>
    <w:rPr>
      <w:rFonts w:ascii="Times New Roman" w:hAnsi="Times New Roman"/>
      <w:kern w:val="2"/>
      <w:sz w:val="21"/>
      <w:szCs w:val="24"/>
    </w:rPr>
  </w:style>
  <w:style w:type="character" w:customStyle="1" w:styleId="62">
    <w:name w:val="正文文本 (26) + 间距 0 pt"/>
    <w:autoRedefine/>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3">
    <w:name w:val="纯文本 Char1"/>
    <w:autoRedefine/>
    <w:qFormat/>
    <w:uiPriority w:val="0"/>
    <w:rPr>
      <w:rFonts w:ascii="宋体" w:hAnsi="Courier New" w:eastAsia="宋体" w:cs="Courier New"/>
      <w:szCs w:val="21"/>
    </w:rPr>
  </w:style>
  <w:style w:type="character" w:customStyle="1" w:styleId="64">
    <w:name w:val="批注文字 Char2"/>
    <w:autoRedefine/>
    <w:qFormat/>
    <w:uiPriority w:val="0"/>
    <w:rPr>
      <w:rFonts w:ascii="Times New Roman" w:hAnsi="Times New Roman"/>
      <w:kern w:val="2"/>
      <w:sz w:val="21"/>
      <w:szCs w:val="24"/>
    </w:rPr>
  </w:style>
  <w:style w:type="character" w:customStyle="1" w:styleId="65">
    <w:name w:val="font11"/>
    <w:basedOn w:val="29"/>
    <w:autoRedefine/>
    <w:qFormat/>
    <w:uiPriority w:val="0"/>
    <w:rPr>
      <w:rFonts w:hint="eastAsia" w:ascii="宋体" w:hAnsi="宋体" w:eastAsia="宋体" w:cs="宋体"/>
      <w:color w:val="000000"/>
      <w:sz w:val="20"/>
      <w:szCs w:val="20"/>
      <w:u w:val="none"/>
    </w:rPr>
  </w:style>
  <w:style w:type="character" w:customStyle="1" w:styleId="66">
    <w:name w:val="font41"/>
    <w:autoRedefine/>
    <w:qFormat/>
    <w:uiPriority w:val="0"/>
    <w:rPr>
      <w:rFonts w:ascii="宋体" w:hAnsi="宋体" w:eastAsia="宋体" w:cs="宋体"/>
      <w:color w:val="000000"/>
      <w:sz w:val="20"/>
      <w:szCs w:val="20"/>
      <w:u w:val="none"/>
    </w:rPr>
  </w:style>
  <w:style w:type="character" w:customStyle="1" w:styleId="67">
    <w:name w:val="font31"/>
    <w:autoRedefine/>
    <w:qFormat/>
    <w:uiPriority w:val="0"/>
    <w:rPr>
      <w:rFonts w:ascii="方正书宋_GBK" w:hAnsi="方正书宋_GBK" w:eastAsia="方正书宋_GBK" w:cs="方正书宋_GBK"/>
      <w:color w:val="000000"/>
      <w:sz w:val="21"/>
      <w:szCs w:val="21"/>
      <w:u w:val="none"/>
    </w:rPr>
  </w:style>
  <w:style w:type="character" w:customStyle="1" w:styleId="68">
    <w:name w:val="font61"/>
    <w:basedOn w:val="29"/>
    <w:autoRedefine/>
    <w:qFormat/>
    <w:uiPriority w:val="0"/>
    <w:rPr>
      <w:rFonts w:hint="default" w:ascii="Times New Roman" w:hAnsi="Times New Roman" w:cs="Times New Roman"/>
      <w:color w:val="000000"/>
      <w:sz w:val="21"/>
      <w:szCs w:val="21"/>
      <w:u w:val="none"/>
    </w:rPr>
  </w:style>
  <w:style w:type="character" w:customStyle="1" w:styleId="69">
    <w:name w:val="font71"/>
    <w:basedOn w:val="29"/>
    <w:autoRedefine/>
    <w:qFormat/>
    <w:uiPriority w:val="0"/>
    <w:rPr>
      <w:rFonts w:hint="eastAsia" w:ascii="宋体" w:hAnsi="宋体" w:eastAsia="宋体" w:cs="宋体"/>
      <w:b/>
      <w:bCs/>
      <w:color w:val="000000"/>
      <w:sz w:val="18"/>
      <w:szCs w:val="18"/>
      <w:u w:val="none"/>
    </w:rPr>
  </w:style>
  <w:style w:type="character" w:customStyle="1" w:styleId="70">
    <w:name w:val="font81"/>
    <w:basedOn w:val="29"/>
    <w:autoRedefine/>
    <w:qFormat/>
    <w:uiPriority w:val="0"/>
    <w:rPr>
      <w:rFonts w:hint="eastAsia" w:ascii="宋体" w:hAnsi="宋体" w:eastAsia="宋体" w:cs="宋体"/>
      <w:color w:val="000000"/>
      <w:sz w:val="18"/>
      <w:szCs w:val="18"/>
      <w:u w:val="none"/>
    </w:rPr>
  </w:style>
  <w:style w:type="character" w:customStyle="1" w:styleId="71">
    <w:name w:val="font01"/>
    <w:basedOn w:val="29"/>
    <w:autoRedefine/>
    <w:qFormat/>
    <w:uiPriority w:val="0"/>
    <w:rPr>
      <w:rFonts w:hint="default" w:ascii="Arial" w:hAnsi="Arial" w:cs="Arial"/>
      <w:color w:val="000000"/>
      <w:sz w:val="18"/>
      <w:szCs w:val="18"/>
      <w:u w:val="none"/>
    </w:rPr>
  </w:style>
  <w:style w:type="character" w:customStyle="1" w:styleId="72">
    <w:name w:val="font91"/>
    <w:basedOn w:val="29"/>
    <w:autoRedefine/>
    <w:qFormat/>
    <w:uiPriority w:val="0"/>
    <w:rPr>
      <w:rFonts w:hint="eastAsia" w:ascii="宋体" w:hAnsi="宋体" w:eastAsia="宋体" w:cs="宋体"/>
      <w:color w:val="000000"/>
      <w:sz w:val="18"/>
      <w:szCs w:val="18"/>
      <w:u w:val="none"/>
    </w:rPr>
  </w:style>
  <w:style w:type="character" w:customStyle="1" w:styleId="73">
    <w:name w:val="font51"/>
    <w:autoRedefine/>
    <w:qFormat/>
    <w:uiPriority w:val="0"/>
    <w:rPr>
      <w:rFonts w:hint="default" w:ascii="Times New Roman" w:hAnsi="Times New Roman" w:cs="Times New Roman"/>
      <w:b/>
      <w:color w:val="000000"/>
      <w:sz w:val="18"/>
      <w:szCs w:val="18"/>
      <w:u w:val="none"/>
    </w:rPr>
  </w:style>
  <w:style w:type="paragraph" w:styleId="74">
    <w:name w:val="List Paragraph"/>
    <w:basedOn w:val="1"/>
    <w:autoRedefine/>
    <w:qFormat/>
    <w:uiPriority w:val="34"/>
    <w:pPr>
      <w:ind w:firstLine="420" w:firstLineChars="200"/>
    </w:pPr>
  </w:style>
  <w:style w:type="paragraph" w:customStyle="1" w:styleId="75">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76">
    <w:name w:val="Title1"/>
    <w:basedOn w:val="1"/>
    <w:next w:val="1"/>
    <w:autoRedefine/>
    <w:qFormat/>
    <w:uiPriority w:val="0"/>
    <w:pPr>
      <w:jc w:val="center"/>
      <w:outlineLvl w:val="0"/>
    </w:pPr>
    <w:rPr>
      <w:rFonts w:ascii="Calibri Light" w:hAnsi="Calibri Light" w:eastAsia="Arial Unicode MS"/>
      <w:b/>
    </w:rPr>
  </w:style>
  <w:style w:type="paragraph" w:customStyle="1" w:styleId="77">
    <w:name w:val="正文首行缩进 21"/>
    <w:basedOn w:val="78"/>
    <w:autoRedefine/>
    <w:qFormat/>
    <w:uiPriority w:val="0"/>
    <w:pPr>
      <w:ind w:firstLine="420" w:firstLineChars="200"/>
    </w:pPr>
    <w:rPr>
      <w:rFonts w:ascii="Calibri" w:hAnsi="Calibri"/>
      <w:szCs w:val="22"/>
    </w:rPr>
  </w:style>
  <w:style w:type="paragraph" w:customStyle="1" w:styleId="78">
    <w:name w:val="Body Text Indent1"/>
    <w:basedOn w:val="1"/>
    <w:autoRedefine/>
    <w:qFormat/>
    <w:uiPriority w:val="0"/>
    <w:pPr>
      <w:spacing w:after="120"/>
      <w:ind w:left="420" w:leftChars="200"/>
    </w:pPr>
  </w:style>
  <w:style w:type="paragraph" w:customStyle="1" w:styleId="79">
    <w:name w:val="表格文字"/>
    <w:basedOn w:val="1"/>
    <w:next w:val="11"/>
    <w:qFormat/>
    <w:uiPriority w:val="0"/>
    <w:pPr>
      <w:widowControl/>
      <w:adjustRightInd w:val="0"/>
      <w:spacing w:afterLines="50" w:line="360" w:lineRule="auto"/>
      <w:ind w:firstLine="200" w:firstLineChars="200"/>
      <w:jc w:val="left"/>
      <w:textAlignment w:val="baseline"/>
    </w:pPr>
    <w:rPr>
      <w:rFonts w:ascii="Arial" w:hAnsi="Arial"/>
      <w:kern w:val="0"/>
      <w:sz w:val="24"/>
      <w:szCs w:val="20"/>
    </w:rPr>
  </w:style>
  <w:style w:type="paragraph" w:customStyle="1" w:styleId="80">
    <w:name w:val="Legal_L2"/>
    <w:basedOn w:val="1"/>
    <w:qFormat/>
    <w:uiPriority w:val="0"/>
    <w:pPr>
      <w:widowControl/>
      <w:spacing w:after="240" w:line="259" w:lineRule="auto"/>
      <w:jc w:val="left"/>
      <w:outlineLvl w:val="1"/>
    </w:pPr>
    <w:rPr>
      <w:kern w:val="0"/>
      <w:sz w:val="24"/>
      <w:lang w:eastAsia="en-US"/>
    </w:rPr>
  </w:style>
  <w:style w:type="paragraph" w:customStyle="1" w:styleId="81">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2">
    <w:name w:val="列出段落2"/>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69</Pages>
  <Words>209</Words>
  <Characters>240</Characters>
  <Lines>372</Lines>
  <Paragraphs>104</Paragraphs>
  <TotalTime>1</TotalTime>
  <ScaleCrop>false</ScaleCrop>
  <LinksUpToDate>false</LinksUpToDate>
  <CharactersWithSpaces>262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2022-12-07T09:08:00Z</dcterms:created>
  <dc:creator>KWZB</dc:creator>
  <cp:lastModifiedBy>administrator</cp:lastModifiedBy>
  <cp:lastPrinted>2025-09-02T05:46:00Z</cp:lastPrinted>
  <dcterms:modified xsi:type="dcterms:W3CDTF">2025-09-02T13:55:47Z</dcterms:modified>
  <dc:title>竞争性谈判文件规范</dc:title>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2D8E4BA23F6C4EB6A11BCAC8E4D839D9_13</vt:lpwstr>
  </property>
  <property fmtid="{D5CDD505-2E9C-101B-9397-08002B2CF9AE}" pid="4" name="KSOTemplateDocerSaveRecord">
    <vt:lpwstr>eyJoZGlkIjoiMWM2MGYwMWEzNzY5OTVmMWUxNTRlODdkY2M3YzJjYmUiLCJ1c2VySWQiOiIxMTk4NzIzMjQwIn0=</vt:lpwstr>
  </property>
</Properties>
</file>