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0B973">
      <w:pPr>
        <w:pStyle w:val="13"/>
        <w:tabs>
          <w:tab w:val="left" w:pos="0"/>
        </w:tabs>
        <w:jc w:val="center"/>
        <w:outlineLvl w:val="0"/>
        <w:rPr>
          <w:sz w:val="56"/>
          <w:szCs w:val="56"/>
        </w:rPr>
      </w:pPr>
      <w:bookmarkStart w:id="0" w:name="_Toc24505"/>
      <w:r>
        <w:rPr>
          <w:rFonts w:hint="eastAsia"/>
          <w:sz w:val="56"/>
          <w:szCs w:val="56"/>
        </w:rPr>
        <w:t>上海正弘建设工程顾问有限公司</w:t>
      </w:r>
      <w:bookmarkEnd w:id="0"/>
    </w:p>
    <w:p w14:paraId="6BFE9FCE">
      <w:pPr>
        <w:pStyle w:val="13"/>
        <w:jc w:val="center"/>
        <w:rPr>
          <w:rFonts w:ascii="楷体_GB2312" w:eastAsia="楷体_GB2312"/>
          <w:b/>
          <w:bCs/>
          <w:sz w:val="44"/>
          <w:szCs w:val="44"/>
        </w:rPr>
      </w:pPr>
    </w:p>
    <w:p w14:paraId="60B57C8A">
      <w:pPr>
        <w:pStyle w:val="13"/>
        <w:tabs>
          <w:tab w:val="left" w:pos="0"/>
        </w:tabs>
        <w:rPr>
          <w:sz w:val="96"/>
          <w:szCs w:val="96"/>
        </w:rPr>
      </w:pPr>
    </w:p>
    <w:p w14:paraId="4FD67366">
      <w:pPr>
        <w:pStyle w:val="13"/>
        <w:tabs>
          <w:tab w:val="left" w:pos="0"/>
        </w:tabs>
        <w:jc w:val="center"/>
        <w:rPr>
          <w:rFonts w:ascii="楷体_GB2312" w:eastAsia="楷体_GB2312"/>
          <w:b/>
          <w:bCs/>
          <w:sz w:val="84"/>
          <w:szCs w:val="84"/>
        </w:rPr>
      </w:pPr>
      <w:r>
        <w:rPr>
          <w:rFonts w:hint="eastAsia"/>
          <w:b/>
          <w:bCs/>
          <w:sz w:val="84"/>
          <w:szCs w:val="84"/>
        </w:rPr>
        <w:t>竞争性磋商采购文件</w:t>
      </w:r>
    </w:p>
    <w:p w14:paraId="7F76861B">
      <w:pPr>
        <w:pStyle w:val="13"/>
      </w:pPr>
    </w:p>
    <w:p w14:paraId="758DBC33">
      <w:pPr>
        <w:pStyle w:val="13"/>
      </w:pPr>
    </w:p>
    <w:p w14:paraId="7190C6AF">
      <w:pPr>
        <w:pStyle w:val="13"/>
      </w:pPr>
    </w:p>
    <w:p w14:paraId="3181FF25">
      <w:pPr>
        <w:pStyle w:val="13"/>
      </w:pPr>
    </w:p>
    <w:p w14:paraId="3D91E7DF">
      <w:pPr>
        <w:pStyle w:val="13"/>
      </w:pPr>
    </w:p>
    <w:p w14:paraId="1500F0A9">
      <w:pPr>
        <w:pStyle w:val="13"/>
      </w:pPr>
    </w:p>
    <w:p w14:paraId="35EC1A30">
      <w:pPr>
        <w:spacing w:line="800" w:lineRule="exact"/>
        <w:ind w:firstLine="904" w:firstLineChars="300"/>
        <w:rPr>
          <w:rFonts w:hint="eastAsia" w:ascii="宋体" w:hAnsi="宋体" w:cs="Times New Roman"/>
          <w:b/>
          <w:color w:val="auto"/>
          <w:sz w:val="30"/>
          <w:szCs w:val="30"/>
          <w:u w:val="single"/>
        </w:rPr>
      </w:pPr>
      <w:bookmarkStart w:id="1" w:name="_Toc7148"/>
      <w:r>
        <w:rPr>
          <w:rFonts w:hint="eastAsia" w:ascii="宋体" w:hAnsi="宋体"/>
          <w:b/>
          <w:sz w:val="30"/>
          <w:szCs w:val="30"/>
        </w:rPr>
        <w:t>项目名</w:t>
      </w:r>
      <w:r>
        <w:rPr>
          <w:rFonts w:hint="eastAsia" w:ascii="宋体" w:hAnsi="宋体" w:cs="Times New Roman"/>
          <w:b/>
          <w:sz w:val="30"/>
          <w:szCs w:val="30"/>
        </w:rPr>
        <w:t>称：</w:t>
      </w:r>
      <w:bookmarkEnd w:id="1"/>
      <w:r>
        <w:rPr>
          <w:rFonts w:hint="eastAsia" w:ascii="宋体" w:hAnsi="宋体" w:cs="Times New Roman"/>
          <w:b/>
          <w:color w:val="auto"/>
          <w:sz w:val="30"/>
          <w:szCs w:val="30"/>
          <w:u w:val="single"/>
        </w:rPr>
        <w:t>2025年12个直属单位内部审计服务</w:t>
      </w:r>
    </w:p>
    <w:p w14:paraId="6C9043CD">
      <w:pPr>
        <w:tabs>
          <w:tab w:val="left" w:pos="7665"/>
        </w:tabs>
        <w:spacing w:line="360" w:lineRule="auto"/>
        <w:ind w:firstLine="904" w:firstLineChars="300"/>
        <w:outlineLvl w:val="0"/>
        <w:rPr>
          <w:rFonts w:hint="eastAsia" w:ascii="宋体" w:hAnsi="宋体" w:eastAsia="宋体"/>
          <w:b/>
          <w:color w:val="auto"/>
          <w:sz w:val="30"/>
          <w:szCs w:val="30"/>
          <w:u w:val="single"/>
          <w:lang w:val="en-US" w:eastAsia="zh-CN"/>
        </w:rPr>
      </w:pPr>
      <w:bookmarkStart w:id="2" w:name="_Toc30458"/>
      <w:r>
        <w:rPr>
          <w:rFonts w:hint="eastAsia" w:ascii="宋体" w:hAnsi="宋体"/>
          <w:b/>
          <w:color w:val="auto"/>
          <w:sz w:val="30"/>
          <w:szCs w:val="30"/>
        </w:rPr>
        <w:t>项目编号：</w:t>
      </w:r>
      <w:bookmarkEnd w:id="2"/>
      <w:r>
        <w:rPr>
          <w:rFonts w:hint="eastAsia" w:ascii="宋体" w:hAnsi="宋体"/>
          <w:b/>
          <w:color w:val="auto"/>
          <w:sz w:val="30"/>
          <w:szCs w:val="30"/>
          <w:u w:val="single"/>
          <w:lang w:eastAsia="zh-CN"/>
        </w:rPr>
        <w:t>ZHGX-2025-029</w:t>
      </w:r>
    </w:p>
    <w:p w14:paraId="44233692">
      <w:pPr>
        <w:rPr>
          <w:rFonts w:ascii="宋体" w:hAnsi="宋体" w:cs="宋体"/>
          <w:b/>
          <w:bCs/>
          <w:color w:val="auto"/>
          <w:sz w:val="32"/>
          <w:szCs w:val="32"/>
        </w:rPr>
      </w:pPr>
      <w:r>
        <w:rPr>
          <w:rFonts w:hint="eastAsia" w:ascii="宋体" w:hAnsi="宋体" w:cs="宋体"/>
          <w:b/>
          <w:bCs/>
          <w:color w:val="auto"/>
          <w:sz w:val="32"/>
          <w:szCs w:val="32"/>
        </w:rPr>
        <w:t xml:space="preserve"> </w:t>
      </w:r>
    </w:p>
    <w:p w14:paraId="40B91BFC">
      <w:pPr>
        <w:rPr>
          <w:rFonts w:ascii="宋体" w:hAnsi="宋体" w:cs="宋体"/>
          <w:b/>
          <w:color w:val="auto"/>
          <w:sz w:val="32"/>
          <w:szCs w:val="32"/>
        </w:rPr>
      </w:pPr>
    </w:p>
    <w:p w14:paraId="1E7EA5B4">
      <w:pPr>
        <w:pStyle w:val="44"/>
        <w:rPr>
          <w:rFonts w:ascii="宋体" w:hAnsi="宋体" w:cs="宋体"/>
          <w:b/>
          <w:sz w:val="32"/>
          <w:szCs w:val="32"/>
        </w:rPr>
      </w:pPr>
    </w:p>
    <w:p w14:paraId="07F77805">
      <w:pPr>
        <w:pStyle w:val="44"/>
        <w:rPr>
          <w:rFonts w:ascii="宋体" w:hAnsi="宋体" w:cs="宋体"/>
          <w:b/>
          <w:sz w:val="32"/>
          <w:szCs w:val="32"/>
        </w:rPr>
      </w:pPr>
    </w:p>
    <w:p w14:paraId="4FF38AF0">
      <w:pPr>
        <w:ind w:firstLine="1606" w:firstLineChars="500"/>
        <w:rPr>
          <w:rFonts w:ascii="宋体" w:hAnsi="宋体" w:cs="宋体"/>
          <w:b/>
          <w:sz w:val="32"/>
          <w:szCs w:val="32"/>
        </w:rPr>
      </w:pPr>
    </w:p>
    <w:p w14:paraId="74AD889E">
      <w:pPr>
        <w:spacing w:line="360" w:lineRule="auto"/>
        <w:ind w:firstLine="904" w:firstLineChars="300"/>
        <w:rPr>
          <w:rFonts w:hint="eastAsia"/>
          <w:b/>
          <w:sz w:val="30"/>
          <w:szCs w:val="30"/>
        </w:rPr>
      </w:pPr>
      <w:bookmarkStart w:id="3" w:name="_Toc139967210"/>
      <w:bookmarkStart w:id="4" w:name="_Toc139966426"/>
      <w:r>
        <w:rPr>
          <w:rFonts w:hint="eastAsia"/>
          <w:b/>
          <w:sz w:val="30"/>
          <w:szCs w:val="30"/>
        </w:rPr>
        <w:t>采购单位：广西壮族自治区生态环境厅</w:t>
      </w:r>
    </w:p>
    <w:p w14:paraId="385CDBE7">
      <w:pPr>
        <w:spacing w:line="360" w:lineRule="auto"/>
        <w:ind w:firstLine="904" w:firstLineChars="300"/>
        <w:rPr>
          <w:b/>
          <w:sz w:val="30"/>
          <w:szCs w:val="30"/>
        </w:rPr>
      </w:pPr>
      <w:r>
        <w:rPr>
          <w:rFonts w:hint="eastAsia"/>
          <w:b/>
          <w:sz w:val="30"/>
          <w:szCs w:val="30"/>
        </w:rPr>
        <w:t>采购代理机构：上海正弘建设工程顾问有限公司</w:t>
      </w:r>
      <w:r>
        <w:rPr>
          <w:b/>
          <w:sz w:val="30"/>
          <w:szCs w:val="30"/>
        </w:rPr>
        <w:t xml:space="preserve"> </w:t>
      </w:r>
    </w:p>
    <w:p w14:paraId="7BD3C6E5">
      <w:pPr>
        <w:widowControl/>
        <w:spacing w:line="360" w:lineRule="auto"/>
        <w:jc w:val="center"/>
        <w:rPr>
          <w:rFonts w:hint="eastAsia" w:eastAsia="宋体"/>
          <w:b/>
          <w:sz w:val="30"/>
          <w:szCs w:val="30"/>
          <w:lang w:eastAsia="zh-CN"/>
        </w:rPr>
      </w:pPr>
      <w:r>
        <w:rPr>
          <w:b/>
          <w:sz w:val="30"/>
          <w:szCs w:val="30"/>
        </w:rPr>
        <w:t>20</w:t>
      </w:r>
      <w:r>
        <w:rPr>
          <w:rFonts w:hint="eastAsia"/>
          <w:b/>
          <w:sz w:val="30"/>
          <w:szCs w:val="30"/>
        </w:rPr>
        <w:t>2</w:t>
      </w:r>
      <w:r>
        <w:rPr>
          <w:rFonts w:hint="eastAsia"/>
          <w:b/>
          <w:sz w:val="30"/>
          <w:szCs w:val="30"/>
          <w:lang w:val="en-US" w:eastAsia="zh-CN"/>
        </w:rPr>
        <w:t>5</w:t>
      </w:r>
      <w:r>
        <w:rPr>
          <w:rFonts w:hint="eastAsia"/>
          <w:b/>
          <w:sz w:val="30"/>
          <w:szCs w:val="30"/>
        </w:rPr>
        <w:t>年</w:t>
      </w:r>
      <w:r>
        <w:rPr>
          <w:rFonts w:hint="eastAsia"/>
          <w:b/>
          <w:sz w:val="30"/>
          <w:szCs w:val="30"/>
          <w:lang w:val="en-US" w:eastAsia="zh-CN"/>
        </w:rPr>
        <w:t xml:space="preserve">  </w:t>
      </w:r>
      <w:r>
        <w:rPr>
          <w:rFonts w:hint="eastAsia"/>
          <w:b/>
          <w:sz w:val="30"/>
          <w:szCs w:val="30"/>
        </w:rPr>
        <w:t>月</w:t>
      </w:r>
      <w:r>
        <w:rPr>
          <w:rFonts w:hint="eastAsia"/>
          <w:b/>
          <w:sz w:val="30"/>
          <w:szCs w:val="30"/>
          <w:lang w:val="en-US" w:eastAsia="zh-CN"/>
        </w:rPr>
        <w:t xml:space="preserve">  </w:t>
      </w:r>
      <w:r>
        <w:rPr>
          <w:rFonts w:hint="eastAsia"/>
          <w:b/>
          <w:sz w:val="30"/>
          <w:szCs w:val="30"/>
          <w:lang w:eastAsia="zh-CN"/>
        </w:rPr>
        <w:t>日</w:t>
      </w:r>
    </w:p>
    <w:p w14:paraId="4BC8A528">
      <w:pPr>
        <w:rPr>
          <w:rFonts w:ascii="宋体" w:hAnsi="宋体" w:cs="宋体"/>
          <w:b/>
          <w:sz w:val="28"/>
          <w:szCs w:val="28"/>
        </w:rPr>
      </w:pPr>
    </w:p>
    <w:sdt>
      <w:sdtPr>
        <w:rPr>
          <w:rFonts w:ascii="宋体" w:hAnsi="宋体"/>
        </w:rPr>
        <w:id w:val="147455887"/>
        <w:docPartObj>
          <w:docPartGallery w:val="Table of Contents"/>
          <w:docPartUnique/>
        </w:docPartObj>
      </w:sdtPr>
      <w:sdtEndPr>
        <w:rPr>
          <w:rFonts w:ascii="宋体" w:hAnsi="宋体"/>
        </w:rPr>
      </w:sdtEndPr>
      <w:sdtContent>
        <w:p w14:paraId="1C0054A2">
          <w:pPr>
            <w:spacing w:line="720" w:lineRule="auto"/>
            <w:jc w:val="center"/>
            <w:rPr>
              <w:rFonts w:ascii="宋体" w:hAnsi="宋体" w:cs="宋体"/>
              <w:b/>
              <w:bCs/>
              <w:sz w:val="30"/>
              <w:szCs w:val="30"/>
            </w:rPr>
          </w:pPr>
          <w:bookmarkStart w:id="5" w:name="_Toc460253689"/>
          <w:r>
            <w:rPr>
              <w:rFonts w:hint="eastAsia" w:ascii="宋体" w:hAnsi="宋体" w:cs="宋体"/>
              <w:b/>
              <w:bCs/>
              <w:sz w:val="44"/>
              <w:szCs w:val="44"/>
            </w:rPr>
            <w:t>目录</w:t>
          </w:r>
          <w:r>
            <w:rPr>
              <w:rFonts w:hint="eastAsia" w:ascii="宋体" w:hAnsi="宋体" w:cs="宋体"/>
              <w:b/>
              <w:bCs/>
              <w:sz w:val="30"/>
              <w:szCs w:val="30"/>
            </w:rPr>
            <w:fldChar w:fldCharType="begin"/>
          </w:r>
          <w:r>
            <w:rPr>
              <w:rFonts w:hint="eastAsia" w:ascii="宋体" w:hAnsi="宋体" w:cs="宋体"/>
              <w:b/>
              <w:bCs/>
              <w:sz w:val="30"/>
              <w:szCs w:val="30"/>
            </w:rPr>
            <w:instrText xml:space="preserve">TOC \o "1-1" \h \u </w:instrText>
          </w:r>
          <w:r>
            <w:rPr>
              <w:rFonts w:hint="eastAsia" w:ascii="宋体" w:hAnsi="宋体" w:cs="宋体"/>
              <w:b/>
              <w:bCs/>
              <w:sz w:val="30"/>
              <w:szCs w:val="30"/>
            </w:rPr>
            <w:fldChar w:fldCharType="separate"/>
          </w:r>
        </w:p>
        <w:p w14:paraId="12116418">
          <w:pPr>
            <w:pStyle w:val="105"/>
            <w:tabs>
              <w:tab w:val="right" w:leader="dot" w:pos="9072"/>
            </w:tabs>
            <w:spacing w:line="720" w:lineRule="auto"/>
            <w:rPr>
              <w:rFonts w:ascii="宋体" w:hAnsi="宋体" w:cs="宋体"/>
              <w:b/>
              <w:bCs/>
              <w:sz w:val="30"/>
              <w:szCs w:val="30"/>
            </w:rPr>
          </w:pPr>
          <w:r>
            <w:fldChar w:fldCharType="begin"/>
          </w:r>
          <w:r>
            <w:instrText xml:space="preserve"> HYPERLINK \l "_Toc4770" </w:instrText>
          </w:r>
          <w:r>
            <w:fldChar w:fldCharType="separate"/>
          </w:r>
          <w:r>
            <w:rPr>
              <w:rFonts w:hint="eastAsia" w:ascii="宋体" w:hAnsi="宋体" w:cs="宋体"/>
              <w:b/>
              <w:bCs/>
              <w:sz w:val="30"/>
              <w:szCs w:val="30"/>
            </w:rPr>
            <w:t xml:space="preserve">第一章 </w:t>
          </w:r>
          <w:r>
            <w:rPr>
              <w:rFonts w:hint="eastAsia" w:ascii="宋体" w:hAnsi="宋体" w:cs="宋体"/>
              <w:b/>
              <w:bCs/>
              <w:sz w:val="30"/>
              <w:szCs w:val="30"/>
              <w:lang w:val="en-US" w:eastAsia="zh-CN"/>
            </w:rPr>
            <w:t xml:space="preserve"> </w:t>
          </w:r>
          <w:r>
            <w:rPr>
              <w:rFonts w:hint="eastAsia" w:ascii="宋体" w:hAnsi="宋体" w:cs="宋体"/>
              <w:b/>
              <w:bCs/>
              <w:sz w:val="30"/>
              <w:szCs w:val="30"/>
            </w:rPr>
            <w:t>公告</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_Toc4770 \h </w:instrText>
          </w:r>
          <w:r>
            <w:rPr>
              <w:rFonts w:hint="eastAsia" w:ascii="宋体" w:hAnsi="宋体" w:cs="宋体"/>
              <w:b/>
              <w:bCs/>
              <w:sz w:val="30"/>
              <w:szCs w:val="30"/>
            </w:rPr>
            <w:fldChar w:fldCharType="separate"/>
          </w:r>
          <w:r>
            <w:rPr>
              <w:rFonts w:hint="eastAsia" w:ascii="宋体" w:hAnsi="宋体" w:cs="宋体"/>
              <w:b/>
              <w:bCs/>
              <w:sz w:val="30"/>
              <w:szCs w:val="30"/>
            </w:rPr>
            <w:t>3</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42A469D2">
          <w:pPr>
            <w:pStyle w:val="105"/>
            <w:tabs>
              <w:tab w:val="right" w:leader="dot" w:pos="9072"/>
            </w:tabs>
            <w:spacing w:line="720" w:lineRule="auto"/>
            <w:rPr>
              <w:rFonts w:ascii="宋体" w:hAnsi="宋体" w:cs="宋体"/>
              <w:b/>
              <w:bCs/>
              <w:sz w:val="30"/>
              <w:szCs w:val="30"/>
            </w:rPr>
          </w:pPr>
          <w:r>
            <w:fldChar w:fldCharType="begin"/>
          </w:r>
          <w:r>
            <w:instrText xml:space="preserve"> HYPERLINK \l "_Toc29237" </w:instrText>
          </w:r>
          <w:r>
            <w:fldChar w:fldCharType="separate"/>
          </w:r>
          <w:r>
            <w:rPr>
              <w:rFonts w:hint="eastAsia" w:ascii="宋体" w:hAnsi="宋体" w:cs="宋体"/>
              <w:b/>
              <w:bCs/>
              <w:sz w:val="30"/>
              <w:szCs w:val="30"/>
            </w:rPr>
            <w:t>第二章  磋商供应商须知</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_Toc29237 \h </w:instrText>
          </w:r>
          <w:r>
            <w:rPr>
              <w:rFonts w:hint="eastAsia" w:ascii="宋体" w:hAnsi="宋体" w:cs="宋体"/>
              <w:b/>
              <w:bCs/>
              <w:sz w:val="30"/>
              <w:szCs w:val="30"/>
            </w:rPr>
            <w:fldChar w:fldCharType="separate"/>
          </w:r>
          <w:r>
            <w:rPr>
              <w:rFonts w:hint="eastAsia" w:ascii="宋体" w:hAnsi="宋体" w:cs="宋体"/>
              <w:b/>
              <w:bCs/>
              <w:sz w:val="30"/>
              <w:szCs w:val="30"/>
            </w:rPr>
            <w:t>6</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3400C045">
          <w:pPr>
            <w:pStyle w:val="105"/>
            <w:tabs>
              <w:tab w:val="right" w:leader="dot" w:pos="9072"/>
            </w:tabs>
            <w:spacing w:line="720" w:lineRule="auto"/>
            <w:rPr>
              <w:rFonts w:ascii="宋体" w:hAnsi="宋体" w:cs="宋体"/>
              <w:b/>
              <w:bCs/>
              <w:sz w:val="30"/>
              <w:szCs w:val="30"/>
            </w:rPr>
          </w:pPr>
          <w:r>
            <w:fldChar w:fldCharType="begin"/>
          </w:r>
          <w:r>
            <w:instrText xml:space="preserve"> HYPERLINK \l "_Toc14478" </w:instrText>
          </w:r>
          <w:r>
            <w:fldChar w:fldCharType="separate"/>
          </w:r>
          <w:r>
            <w:rPr>
              <w:rFonts w:hint="eastAsia" w:ascii="宋体" w:hAnsi="宋体" w:cs="宋体"/>
              <w:b/>
              <w:bCs/>
              <w:sz w:val="30"/>
              <w:szCs w:val="30"/>
            </w:rPr>
            <w:t>第三章  服务需求一览表</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_Toc14478 \h </w:instrText>
          </w:r>
          <w:r>
            <w:rPr>
              <w:rFonts w:hint="eastAsia" w:ascii="宋体" w:hAnsi="宋体" w:cs="宋体"/>
              <w:b/>
              <w:bCs/>
              <w:sz w:val="30"/>
              <w:szCs w:val="30"/>
            </w:rPr>
            <w:fldChar w:fldCharType="separate"/>
          </w:r>
          <w:r>
            <w:rPr>
              <w:rFonts w:hint="eastAsia" w:ascii="宋体" w:hAnsi="宋体" w:cs="宋体"/>
              <w:b/>
              <w:bCs/>
              <w:sz w:val="30"/>
              <w:szCs w:val="30"/>
            </w:rPr>
            <w:t>22</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46070033">
          <w:pPr>
            <w:pStyle w:val="105"/>
            <w:tabs>
              <w:tab w:val="right" w:leader="dot" w:pos="9072"/>
            </w:tabs>
            <w:spacing w:line="720" w:lineRule="auto"/>
            <w:rPr>
              <w:rFonts w:ascii="宋体" w:hAnsi="宋体" w:cs="宋体"/>
              <w:b/>
              <w:bCs/>
              <w:sz w:val="30"/>
              <w:szCs w:val="30"/>
            </w:rPr>
          </w:pPr>
          <w:r>
            <w:fldChar w:fldCharType="begin"/>
          </w:r>
          <w:r>
            <w:instrText xml:space="preserve"> HYPERLINK \l "_Toc6548" </w:instrText>
          </w:r>
          <w:r>
            <w:fldChar w:fldCharType="separate"/>
          </w:r>
          <w:r>
            <w:rPr>
              <w:rFonts w:hint="eastAsia" w:ascii="宋体" w:hAnsi="宋体" w:cs="宋体"/>
              <w:b/>
              <w:bCs/>
              <w:sz w:val="30"/>
              <w:szCs w:val="30"/>
            </w:rPr>
            <w:t>第四章  响应文件格式</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_Toc6548 \h </w:instrText>
          </w:r>
          <w:r>
            <w:rPr>
              <w:rFonts w:hint="eastAsia" w:ascii="宋体" w:hAnsi="宋体" w:cs="宋体"/>
              <w:b/>
              <w:bCs/>
              <w:sz w:val="30"/>
              <w:szCs w:val="30"/>
            </w:rPr>
            <w:fldChar w:fldCharType="separate"/>
          </w:r>
          <w:r>
            <w:rPr>
              <w:rFonts w:hint="eastAsia" w:ascii="宋体" w:hAnsi="宋体" w:cs="宋体"/>
              <w:b/>
              <w:bCs/>
              <w:sz w:val="30"/>
              <w:szCs w:val="30"/>
            </w:rPr>
            <w:t>28</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252B08F1">
          <w:pPr>
            <w:pStyle w:val="105"/>
            <w:tabs>
              <w:tab w:val="right" w:leader="dot" w:pos="9072"/>
            </w:tabs>
            <w:spacing w:line="720" w:lineRule="auto"/>
            <w:rPr>
              <w:rFonts w:ascii="宋体" w:hAnsi="宋体" w:cs="宋体"/>
              <w:b/>
              <w:bCs/>
              <w:sz w:val="30"/>
              <w:szCs w:val="30"/>
            </w:rPr>
          </w:pPr>
          <w:r>
            <w:fldChar w:fldCharType="begin"/>
          </w:r>
          <w:r>
            <w:instrText xml:space="preserve"> HYPERLINK \l "_Toc16770" </w:instrText>
          </w:r>
          <w:r>
            <w:fldChar w:fldCharType="separate"/>
          </w:r>
          <w:r>
            <w:rPr>
              <w:rFonts w:hint="eastAsia" w:ascii="宋体" w:hAnsi="宋体" w:cs="宋体"/>
              <w:b/>
              <w:bCs/>
              <w:sz w:val="30"/>
              <w:szCs w:val="30"/>
            </w:rPr>
            <w:t>第五章  合同条款及格式</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_Toc16770 \h </w:instrText>
          </w:r>
          <w:r>
            <w:rPr>
              <w:rFonts w:hint="eastAsia" w:ascii="宋体" w:hAnsi="宋体" w:cs="宋体"/>
              <w:b/>
              <w:bCs/>
              <w:sz w:val="30"/>
              <w:szCs w:val="30"/>
            </w:rPr>
            <w:fldChar w:fldCharType="separate"/>
          </w:r>
          <w:r>
            <w:rPr>
              <w:rFonts w:hint="eastAsia" w:ascii="宋体" w:hAnsi="宋体" w:cs="宋体"/>
              <w:b/>
              <w:bCs/>
              <w:sz w:val="30"/>
              <w:szCs w:val="30"/>
            </w:rPr>
            <w:t>43</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35A03740">
          <w:pPr>
            <w:pStyle w:val="105"/>
            <w:tabs>
              <w:tab w:val="right" w:leader="dot" w:pos="9072"/>
            </w:tabs>
            <w:spacing w:line="720" w:lineRule="auto"/>
            <w:rPr>
              <w:rFonts w:ascii="宋体" w:hAnsi="宋体" w:cs="宋体"/>
              <w:b/>
              <w:bCs/>
              <w:sz w:val="30"/>
              <w:szCs w:val="30"/>
            </w:rPr>
          </w:pPr>
          <w:r>
            <w:fldChar w:fldCharType="begin"/>
          </w:r>
          <w:r>
            <w:instrText xml:space="preserve"> HYPERLINK \l "_Toc12075" </w:instrText>
          </w:r>
          <w:r>
            <w:fldChar w:fldCharType="separate"/>
          </w:r>
          <w:r>
            <w:rPr>
              <w:rFonts w:hint="eastAsia" w:ascii="宋体" w:hAnsi="宋体" w:cs="宋体"/>
              <w:b/>
              <w:bCs/>
              <w:sz w:val="30"/>
              <w:szCs w:val="30"/>
            </w:rPr>
            <w:t>第六章  评审方法</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_Toc12075 \h </w:instrText>
          </w:r>
          <w:r>
            <w:rPr>
              <w:rFonts w:hint="eastAsia" w:ascii="宋体" w:hAnsi="宋体" w:cs="宋体"/>
              <w:b/>
              <w:bCs/>
              <w:sz w:val="30"/>
              <w:szCs w:val="30"/>
            </w:rPr>
            <w:fldChar w:fldCharType="separate"/>
          </w:r>
          <w:r>
            <w:rPr>
              <w:rFonts w:hint="eastAsia" w:ascii="宋体" w:hAnsi="宋体" w:cs="宋体"/>
              <w:b/>
              <w:bCs/>
              <w:sz w:val="30"/>
              <w:szCs w:val="30"/>
            </w:rPr>
            <w:t>43</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7BF3AE42">
          <w:pPr>
            <w:spacing w:line="720" w:lineRule="auto"/>
          </w:pPr>
          <w:r>
            <w:rPr>
              <w:rFonts w:hint="eastAsia" w:ascii="宋体" w:hAnsi="宋体" w:cs="宋体"/>
              <w:b/>
              <w:bCs/>
              <w:sz w:val="30"/>
              <w:szCs w:val="30"/>
            </w:rPr>
            <w:fldChar w:fldCharType="end"/>
          </w:r>
        </w:p>
      </w:sdtContent>
    </w:sdt>
    <w:p w14:paraId="51188C3E">
      <w:pPr>
        <w:tabs>
          <w:tab w:val="left" w:pos="5415"/>
        </w:tabs>
        <w:spacing w:line="960" w:lineRule="auto"/>
        <w:rPr>
          <w:rFonts w:ascii="宋体" w:hAnsi="宋体" w:cs="宋体"/>
        </w:rPr>
      </w:pPr>
      <w:r>
        <w:rPr>
          <w:rFonts w:hint="eastAsia" w:ascii="宋体" w:hAnsi="宋体" w:cs="宋体"/>
          <w:sz w:val="32"/>
          <w:szCs w:val="32"/>
        </w:rPr>
        <w:tab/>
      </w:r>
    </w:p>
    <w:p w14:paraId="2DFA644D">
      <w:pPr>
        <w:rPr>
          <w:rFonts w:ascii="宋体" w:hAnsi="宋体" w:cs="宋体"/>
        </w:rPr>
      </w:pPr>
      <w:bookmarkStart w:id="6" w:name="_Toc485920200"/>
    </w:p>
    <w:p w14:paraId="777DA24F">
      <w:pPr>
        <w:rPr>
          <w:rFonts w:ascii="宋体" w:hAnsi="宋体" w:cs="宋体"/>
        </w:rPr>
      </w:pPr>
    </w:p>
    <w:p w14:paraId="6BB2A884">
      <w:pPr>
        <w:rPr>
          <w:rFonts w:ascii="宋体" w:hAnsi="宋体" w:cs="宋体"/>
        </w:rPr>
      </w:pPr>
    </w:p>
    <w:p w14:paraId="52402E9D">
      <w:pPr>
        <w:pStyle w:val="3"/>
        <w:ind w:left="283" w:leftChars="135" w:firstLine="3534" w:firstLineChars="1100"/>
        <w:rPr>
          <w:rFonts w:ascii="宋体" w:hAnsi="宋体" w:eastAsia="宋体" w:cs="宋体"/>
          <w:b/>
          <w:color w:val="auto"/>
          <w:sz w:val="32"/>
          <w:szCs w:val="32"/>
        </w:rPr>
        <w:sectPr>
          <w:headerReference r:id="rId3" w:type="default"/>
          <w:footerReference r:id="rId4" w:type="default"/>
          <w:pgSz w:w="11906" w:h="16838"/>
          <w:pgMar w:top="1417" w:right="1417" w:bottom="1417" w:left="1417" w:header="720" w:footer="720" w:gutter="0"/>
          <w:pgNumType w:fmt="decimal" w:start="1"/>
          <w:cols w:space="720" w:num="1"/>
          <w:docGrid w:type="lines" w:linePitch="331" w:charSpace="0"/>
        </w:sectPr>
      </w:pPr>
    </w:p>
    <w:p w14:paraId="682A26EE">
      <w:pPr>
        <w:spacing w:line="360" w:lineRule="auto"/>
        <w:jc w:val="center"/>
        <w:outlineLvl w:val="0"/>
        <w:rPr>
          <w:rFonts w:ascii="宋体" w:hAnsi="宋体" w:cs="宋体"/>
          <w:b/>
          <w:sz w:val="32"/>
          <w:szCs w:val="32"/>
        </w:rPr>
      </w:pPr>
      <w:bookmarkStart w:id="7" w:name="_Toc32264"/>
      <w:bookmarkStart w:id="8" w:name="_Toc4770"/>
      <w:r>
        <w:rPr>
          <w:rFonts w:hint="eastAsia" w:ascii="宋体" w:hAnsi="宋体" w:cs="宋体"/>
          <w:b/>
          <w:sz w:val="32"/>
          <w:szCs w:val="32"/>
        </w:rPr>
        <w:t>第一章 公告</w:t>
      </w:r>
      <w:bookmarkEnd w:id="7"/>
      <w:bookmarkEnd w:id="8"/>
    </w:p>
    <w:p w14:paraId="43C00B64">
      <w:pPr>
        <w:snapToGrid w:val="0"/>
        <w:spacing w:line="360" w:lineRule="auto"/>
        <w:jc w:val="center"/>
        <w:rPr>
          <w:rFonts w:ascii="宋体" w:hAnsi="宋体" w:cs="宋体"/>
        </w:rPr>
      </w:pPr>
      <w:r>
        <w:rPr>
          <w:rFonts w:hint="eastAsia" w:ascii="宋体" w:hAnsi="宋体" w:cs="宋体"/>
          <w:b/>
          <w:sz w:val="32"/>
          <w:szCs w:val="32"/>
          <w:lang w:eastAsia="zh-CN"/>
        </w:rPr>
        <w:t>2025年12个直属单位内部审计服务</w:t>
      </w:r>
      <w:r>
        <w:rPr>
          <w:rFonts w:hint="eastAsia" w:ascii="宋体" w:hAnsi="宋体" w:eastAsia="宋体" w:cs="宋体"/>
          <w:b/>
          <w:sz w:val="32"/>
          <w:szCs w:val="32"/>
        </w:rPr>
        <w:t>竞争性磋商公告</w:t>
      </w:r>
      <w:bookmarkEnd w:id="5"/>
      <w:bookmarkEnd w:id="6"/>
    </w:p>
    <w:p w14:paraId="50383060">
      <w:pPr>
        <w:pBdr>
          <w:top w:val="single" w:color="auto" w:sz="4" w:space="1"/>
          <w:left w:val="single" w:color="auto" w:sz="4" w:space="4"/>
          <w:bottom w:val="single" w:color="auto" w:sz="4" w:space="1"/>
          <w:right w:val="single" w:color="auto" w:sz="4" w:space="4"/>
        </w:pBdr>
        <w:wordWrap w:val="0"/>
        <w:snapToGrid w:val="0"/>
        <w:spacing w:line="480" w:lineRule="exact"/>
        <w:rPr>
          <w:rFonts w:ascii="宋体" w:hAnsi="宋体" w:cs="宋体"/>
          <w:szCs w:val="21"/>
        </w:rPr>
      </w:pPr>
      <w:bookmarkStart w:id="9" w:name="_Toc213206172"/>
      <w:bookmarkStart w:id="10" w:name="_Toc139966431"/>
      <w:bookmarkStart w:id="11" w:name="_Toc213326412"/>
      <w:bookmarkStart w:id="12" w:name="_Toc139967215"/>
      <w:bookmarkStart w:id="13" w:name="_Toc213325921"/>
      <w:r>
        <w:rPr>
          <w:rFonts w:hint="eastAsia" w:ascii="宋体" w:hAnsi="宋体" w:cs="宋体"/>
          <w:szCs w:val="21"/>
        </w:rPr>
        <w:t>项目概况：</w:t>
      </w:r>
    </w:p>
    <w:p w14:paraId="7CEB8967">
      <w:pPr>
        <w:pBdr>
          <w:top w:val="single" w:color="auto" w:sz="4" w:space="1"/>
          <w:left w:val="single" w:color="auto" w:sz="4" w:space="4"/>
          <w:bottom w:val="single" w:color="auto" w:sz="4" w:space="1"/>
          <w:right w:val="single" w:color="auto" w:sz="4" w:space="4"/>
        </w:pBdr>
        <w:wordWrap w:val="0"/>
        <w:snapToGrid w:val="0"/>
        <w:spacing w:line="480" w:lineRule="exact"/>
        <w:ind w:firstLine="420" w:firstLineChars="200"/>
        <w:rPr>
          <w:rFonts w:ascii="宋体" w:hAnsi="宋体" w:cs="宋体"/>
          <w:szCs w:val="21"/>
        </w:rPr>
      </w:pPr>
      <w:r>
        <w:rPr>
          <w:rFonts w:hint="eastAsia" w:ascii="宋体" w:hAnsi="宋体" w:cs="宋体"/>
          <w:color w:val="auto"/>
          <w:sz w:val="21"/>
          <w:szCs w:val="21"/>
          <w:u w:val="single"/>
          <w:lang w:val="en-US" w:eastAsia="zh-CN"/>
        </w:rPr>
        <w:t>2025年12个直属单位内部审计服务</w:t>
      </w:r>
      <w:r>
        <w:rPr>
          <w:rFonts w:hint="eastAsia" w:ascii="宋体" w:hAnsi="宋体" w:cs="宋体"/>
          <w:szCs w:val="21"/>
        </w:rPr>
        <w:t>的</w:t>
      </w:r>
      <w:r>
        <w:rPr>
          <w:rFonts w:hint="eastAsia" w:ascii="宋体" w:hAnsi="宋体" w:eastAsia="宋体" w:cs="宋体"/>
          <w:color w:val="auto"/>
          <w:sz w:val="21"/>
          <w:szCs w:val="21"/>
        </w:rPr>
        <w:t>潜在供应商应在</w:t>
      </w:r>
      <w:r>
        <w:rPr>
          <w:rFonts w:hint="eastAsia" w:ascii="宋体" w:hAnsi="宋体" w:eastAsia="宋体" w:cs="宋体"/>
          <w:color w:val="auto"/>
          <w:sz w:val="21"/>
          <w:szCs w:val="21"/>
          <w:highlight w:val="none"/>
          <w:u w:val="single"/>
        </w:rPr>
        <w:t>上</w:t>
      </w:r>
      <w:r>
        <w:rPr>
          <w:rFonts w:hint="eastAsia" w:ascii="宋体" w:hAnsi="宋体" w:eastAsia="宋体" w:cs="宋体"/>
          <w:color w:val="auto"/>
          <w:sz w:val="21"/>
          <w:szCs w:val="21"/>
          <w:u w:val="single"/>
          <w:lang w:val="en-US" w:eastAsia="zh-CN"/>
        </w:rPr>
        <w:t>海正弘建设工程顾问有限公司广西分公司（南宁市东葛路163号绿地中央广场B1栋9楼(东面)）</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获取采购文件</w:t>
      </w:r>
      <w:r>
        <w:rPr>
          <w:rFonts w:hint="eastAsia" w:ascii="宋体" w:hAnsi="宋体" w:eastAsia="宋体" w:cs="宋体"/>
          <w:color w:val="auto"/>
          <w:sz w:val="21"/>
          <w:szCs w:val="21"/>
          <w:highlight w:val="none"/>
        </w:rPr>
        <w:t>，并于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u w:val="single"/>
        </w:rPr>
        <w:t>02</w:t>
      </w:r>
      <w:r>
        <w:rPr>
          <w:rFonts w:hint="eastAsia" w:ascii="宋体" w:hAnsi="宋体" w:eastAsia="宋体" w:cs="宋体"/>
          <w:color w:val="0000FF"/>
          <w:sz w:val="21"/>
          <w:szCs w:val="21"/>
          <w:highlight w:val="none"/>
          <w:u w:val="single"/>
          <w:lang w:val="en-US" w:eastAsia="zh-CN"/>
        </w:rPr>
        <w:t>5</w:t>
      </w:r>
      <w:r>
        <w:rPr>
          <w:rFonts w:hint="eastAsia" w:ascii="宋体" w:hAnsi="宋体" w:eastAsia="宋体" w:cs="宋体"/>
          <w:color w:val="0000FF"/>
          <w:sz w:val="21"/>
          <w:szCs w:val="21"/>
          <w:highlight w:val="none"/>
        </w:rPr>
        <w:t>年</w:t>
      </w:r>
      <w:r>
        <w:rPr>
          <w:rFonts w:hint="eastAsia" w:ascii="宋体" w:hAnsi="宋体" w:eastAsia="宋体" w:cs="宋体"/>
          <w:color w:val="0000FF"/>
          <w:sz w:val="21"/>
          <w:szCs w:val="21"/>
          <w:highlight w:val="none"/>
          <w:u w:val="single"/>
        </w:rPr>
        <w:t xml:space="preserve"> </w:t>
      </w:r>
      <w:r>
        <w:rPr>
          <w:rFonts w:hint="eastAsia" w:ascii="宋体" w:hAnsi="宋体" w:cs="宋体"/>
          <w:color w:val="0000FF"/>
          <w:sz w:val="21"/>
          <w:szCs w:val="21"/>
          <w:highlight w:val="none"/>
          <w:u w:val="single"/>
          <w:lang w:val="en-US" w:eastAsia="zh-CN"/>
        </w:rPr>
        <w:t xml:space="preserve"> </w:t>
      </w:r>
      <w:r>
        <w:rPr>
          <w:rFonts w:hint="eastAsia" w:ascii="宋体" w:hAnsi="宋体" w:eastAsia="宋体" w:cs="宋体"/>
          <w:color w:val="0000FF"/>
          <w:sz w:val="21"/>
          <w:szCs w:val="21"/>
          <w:highlight w:val="none"/>
          <w:u w:val="single"/>
          <w:lang w:val="en-US" w:eastAsia="zh-CN"/>
        </w:rPr>
        <w:t xml:space="preserve"> </w:t>
      </w:r>
      <w:r>
        <w:rPr>
          <w:rFonts w:hint="eastAsia" w:ascii="宋体" w:hAnsi="宋体" w:eastAsia="宋体" w:cs="宋体"/>
          <w:color w:val="0000FF"/>
          <w:sz w:val="21"/>
          <w:szCs w:val="21"/>
          <w:highlight w:val="none"/>
        </w:rPr>
        <w:t>月</w:t>
      </w:r>
      <w:r>
        <w:rPr>
          <w:rFonts w:hint="eastAsia" w:ascii="宋体" w:hAnsi="宋体" w:eastAsia="宋体" w:cs="宋体"/>
          <w:color w:val="0000FF"/>
          <w:sz w:val="21"/>
          <w:szCs w:val="21"/>
          <w:highlight w:val="none"/>
          <w:u w:val="single"/>
          <w:lang w:val="en-US" w:eastAsia="zh-CN"/>
        </w:rPr>
        <w:t xml:space="preserve"> </w:t>
      </w:r>
      <w:r>
        <w:rPr>
          <w:rFonts w:hint="eastAsia" w:ascii="宋体" w:hAnsi="宋体" w:cs="宋体"/>
          <w:color w:val="0000FF"/>
          <w:sz w:val="21"/>
          <w:szCs w:val="21"/>
          <w:highlight w:val="none"/>
          <w:u w:val="single"/>
          <w:lang w:val="en-US" w:eastAsia="zh-CN"/>
        </w:rPr>
        <w:t xml:space="preserve"> </w:t>
      </w:r>
      <w:r>
        <w:rPr>
          <w:rFonts w:hint="eastAsia" w:ascii="宋体" w:hAnsi="宋体" w:eastAsia="宋体" w:cs="宋体"/>
          <w:color w:val="0000FF"/>
          <w:sz w:val="21"/>
          <w:szCs w:val="21"/>
          <w:highlight w:val="none"/>
        </w:rPr>
        <w:t>日</w:t>
      </w:r>
      <w:r>
        <w:rPr>
          <w:rFonts w:hint="eastAsia" w:ascii="宋体" w:hAnsi="宋体" w:eastAsia="宋体" w:cs="宋体"/>
          <w:color w:val="0000FF"/>
          <w:sz w:val="21"/>
          <w:szCs w:val="21"/>
          <w:highlight w:val="none"/>
          <w:u w:val="single"/>
        </w:rPr>
        <w:t xml:space="preserve"> 9</w:t>
      </w:r>
      <w:r>
        <w:rPr>
          <w:rFonts w:hint="eastAsia" w:ascii="宋体" w:hAnsi="宋体" w:eastAsia="宋体" w:cs="宋体"/>
          <w:color w:val="auto"/>
          <w:sz w:val="21"/>
          <w:szCs w:val="21"/>
        </w:rPr>
        <w:t xml:space="preserve"> 时</w:t>
      </w:r>
      <w:r>
        <w:rPr>
          <w:rFonts w:hint="eastAsia" w:ascii="宋体" w:hAnsi="宋体" w:eastAsia="宋体" w:cs="宋体"/>
          <w:color w:val="auto"/>
          <w:sz w:val="21"/>
          <w:szCs w:val="21"/>
          <w:u w:val="single"/>
        </w:rPr>
        <w:t xml:space="preserve"> 30 </w:t>
      </w:r>
      <w:r>
        <w:rPr>
          <w:rFonts w:hint="eastAsia" w:ascii="宋体" w:hAnsi="宋体" w:eastAsia="宋体" w:cs="宋体"/>
          <w:color w:val="auto"/>
          <w:sz w:val="21"/>
          <w:szCs w:val="21"/>
        </w:rPr>
        <w:t>分（北京时间）前提交响应文件。</w:t>
      </w:r>
    </w:p>
    <w:p w14:paraId="548C84D9">
      <w:pPr>
        <w:widowControl/>
        <w:numPr>
          <w:ilvl w:val="255"/>
          <w:numId w:val="0"/>
        </w:numPr>
        <w:tabs>
          <w:tab w:val="left" w:pos="3148"/>
        </w:tabs>
        <w:snapToGrid w:val="0"/>
        <w:spacing w:line="480" w:lineRule="exact"/>
        <w:ind w:firstLine="422" w:firstLineChars="200"/>
        <w:rPr>
          <w:rFonts w:ascii="宋体" w:hAnsi="宋体" w:cs="宋体"/>
          <w:b/>
          <w:bCs/>
          <w:szCs w:val="21"/>
        </w:rPr>
      </w:pPr>
      <w:bookmarkStart w:id="14" w:name="_Toc17411"/>
      <w:bookmarkStart w:id="15" w:name="_Toc19575"/>
      <w:bookmarkStart w:id="16" w:name="_Toc19949"/>
      <w:r>
        <w:rPr>
          <w:rFonts w:hint="eastAsia" w:ascii="宋体" w:hAnsi="宋体" w:cs="宋体"/>
          <w:b/>
          <w:bCs/>
          <w:szCs w:val="21"/>
        </w:rPr>
        <w:t>一、项目基本情况</w:t>
      </w:r>
      <w:bookmarkEnd w:id="14"/>
      <w:bookmarkEnd w:id="15"/>
      <w:bookmarkEnd w:id="16"/>
    </w:p>
    <w:p w14:paraId="6A16425D">
      <w:pPr>
        <w:snapToGrid w:val="0"/>
        <w:spacing w:line="480" w:lineRule="exact"/>
        <w:ind w:firstLine="422" w:firstLineChars="200"/>
        <w:rPr>
          <w:rFonts w:ascii="宋体" w:hAnsi="宋体" w:cs="宋体"/>
          <w:color w:val="auto"/>
          <w:szCs w:val="21"/>
        </w:rPr>
      </w:pPr>
      <w:r>
        <w:rPr>
          <w:rFonts w:hint="eastAsia" w:ascii="宋体" w:hAnsi="宋体" w:cs="宋体"/>
          <w:b/>
          <w:bCs/>
          <w:szCs w:val="21"/>
        </w:rPr>
        <w:t>项目编号：</w:t>
      </w:r>
      <w:r>
        <w:rPr>
          <w:rFonts w:hint="eastAsia" w:ascii="宋体" w:hAnsi="宋体" w:cs="宋体"/>
          <w:color w:val="auto"/>
          <w:szCs w:val="21"/>
          <w:lang w:eastAsia="zh-CN"/>
        </w:rPr>
        <w:t>ZHGX-2025-029</w:t>
      </w:r>
      <w:r>
        <w:rPr>
          <w:rFonts w:hint="eastAsia" w:ascii="宋体" w:hAnsi="宋体" w:cs="宋体"/>
          <w:color w:val="auto"/>
          <w:szCs w:val="21"/>
        </w:rPr>
        <w:t xml:space="preserve"> </w:t>
      </w:r>
    </w:p>
    <w:p w14:paraId="170652C4">
      <w:pPr>
        <w:snapToGrid w:val="0"/>
        <w:spacing w:line="480" w:lineRule="exact"/>
        <w:ind w:firstLine="422" w:firstLineChars="200"/>
        <w:rPr>
          <w:rFonts w:hint="eastAsia" w:ascii="宋体" w:hAnsi="宋体" w:eastAsia="宋体" w:cs="宋体"/>
          <w:szCs w:val="21"/>
          <w:lang w:eastAsia="zh-CN"/>
        </w:rPr>
      </w:pPr>
      <w:r>
        <w:rPr>
          <w:rFonts w:hint="eastAsia" w:ascii="宋体" w:hAnsi="宋体" w:cs="宋体"/>
          <w:b/>
          <w:bCs/>
          <w:color w:val="auto"/>
          <w:szCs w:val="21"/>
        </w:rPr>
        <w:t>项目名称：</w:t>
      </w:r>
      <w:r>
        <w:rPr>
          <w:rFonts w:hint="eastAsia" w:ascii="宋体" w:hAnsi="宋体" w:cs="宋体"/>
          <w:szCs w:val="21"/>
          <w:lang w:eastAsia="zh-CN"/>
        </w:rPr>
        <w:t>2025年12个直属单位内部审计服务</w:t>
      </w:r>
    </w:p>
    <w:p w14:paraId="012D8E2B">
      <w:pPr>
        <w:snapToGrid w:val="0"/>
        <w:spacing w:line="480" w:lineRule="exact"/>
        <w:ind w:firstLine="422" w:firstLineChars="200"/>
        <w:rPr>
          <w:rFonts w:ascii="宋体" w:hAnsi="宋体" w:cs="宋体"/>
          <w:szCs w:val="21"/>
        </w:rPr>
      </w:pPr>
      <w:r>
        <w:rPr>
          <w:rFonts w:hint="eastAsia" w:ascii="宋体" w:hAnsi="宋体" w:cs="宋体"/>
          <w:b/>
          <w:bCs/>
          <w:szCs w:val="21"/>
        </w:rPr>
        <w:t>采购方式：</w:t>
      </w:r>
      <w:r>
        <w:rPr>
          <w:rFonts w:hint="eastAsia" w:ascii="宋体" w:hAnsi="宋体" w:cs="宋体"/>
          <w:szCs w:val="21"/>
        </w:rPr>
        <w:t>竞争性磋商</w:t>
      </w:r>
    </w:p>
    <w:p w14:paraId="185169F1">
      <w:pPr>
        <w:snapToGrid w:val="0"/>
        <w:spacing w:line="480" w:lineRule="exact"/>
        <w:ind w:firstLine="422" w:firstLineChars="200"/>
        <w:rPr>
          <w:rFonts w:ascii="宋体" w:hAnsi="宋体" w:cs="宋体"/>
          <w:szCs w:val="21"/>
        </w:rPr>
      </w:pPr>
      <w:r>
        <w:rPr>
          <w:rFonts w:hint="eastAsia" w:ascii="宋体" w:hAnsi="宋体" w:cs="宋体"/>
          <w:b/>
          <w:bCs/>
          <w:szCs w:val="21"/>
        </w:rPr>
        <w:t>预算金额：</w:t>
      </w:r>
      <w:r>
        <w:rPr>
          <w:rFonts w:hint="eastAsia" w:ascii="宋体" w:hAnsi="宋体" w:cs="宋体"/>
          <w:szCs w:val="21"/>
        </w:rPr>
        <w:t>人民币</w:t>
      </w:r>
      <w:r>
        <w:rPr>
          <w:rFonts w:hint="eastAsia" w:ascii="宋体" w:hAnsi="宋体" w:cs="宋体"/>
          <w:szCs w:val="21"/>
          <w:lang w:eastAsia="zh-CN"/>
        </w:rPr>
        <w:t>伍拾伍万元整</w:t>
      </w:r>
      <w:r>
        <w:rPr>
          <w:rFonts w:hint="eastAsia" w:ascii="宋体" w:hAnsi="宋体" w:cs="宋体"/>
          <w:szCs w:val="21"/>
        </w:rPr>
        <w:t>（¥</w:t>
      </w:r>
      <w:r>
        <w:rPr>
          <w:rFonts w:hint="eastAsia" w:ascii="宋体" w:hAnsi="宋体" w:cs="宋体"/>
          <w:szCs w:val="21"/>
          <w:lang w:val="en-US" w:eastAsia="zh-CN"/>
        </w:rPr>
        <w:t>550</w:t>
      </w:r>
      <w:r>
        <w:rPr>
          <w:rFonts w:hint="eastAsia" w:ascii="宋体" w:hAnsi="宋体" w:cs="宋体"/>
          <w:szCs w:val="21"/>
        </w:rPr>
        <w:t>000.00元）</w:t>
      </w:r>
    </w:p>
    <w:p w14:paraId="5F2E891E">
      <w:pPr>
        <w:snapToGrid w:val="0"/>
        <w:spacing w:line="480" w:lineRule="exact"/>
        <w:ind w:firstLine="422" w:firstLineChars="200"/>
        <w:rPr>
          <w:rFonts w:ascii="宋体" w:hAnsi="宋体" w:cs="宋体"/>
          <w:szCs w:val="21"/>
        </w:rPr>
      </w:pPr>
      <w:r>
        <w:rPr>
          <w:rFonts w:hint="eastAsia" w:ascii="宋体" w:hAnsi="宋体" w:cs="宋体"/>
          <w:b/>
          <w:bCs/>
          <w:szCs w:val="21"/>
        </w:rPr>
        <w:t>最高限价：</w:t>
      </w:r>
      <w:r>
        <w:rPr>
          <w:rFonts w:hint="eastAsia" w:ascii="宋体" w:hAnsi="宋体" w:cs="宋体"/>
          <w:szCs w:val="21"/>
        </w:rPr>
        <w:t>人民币</w:t>
      </w:r>
      <w:r>
        <w:rPr>
          <w:rFonts w:hint="eastAsia" w:ascii="宋体" w:hAnsi="宋体" w:cs="宋体"/>
          <w:szCs w:val="21"/>
          <w:lang w:eastAsia="zh-CN"/>
        </w:rPr>
        <w:t>伍拾伍万元整</w:t>
      </w:r>
      <w:r>
        <w:rPr>
          <w:rFonts w:hint="eastAsia" w:ascii="宋体" w:hAnsi="宋体" w:cs="宋体"/>
          <w:szCs w:val="21"/>
        </w:rPr>
        <w:t>（¥</w:t>
      </w:r>
      <w:r>
        <w:rPr>
          <w:rFonts w:hint="eastAsia" w:ascii="宋体" w:hAnsi="宋体" w:cs="宋体"/>
          <w:szCs w:val="21"/>
          <w:lang w:val="en-US" w:eastAsia="zh-CN"/>
        </w:rPr>
        <w:t>550</w:t>
      </w:r>
      <w:r>
        <w:rPr>
          <w:rFonts w:hint="eastAsia" w:ascii="宋体" w:hAnsi="宋体" w:cs="宋体"/>
          <w:szCs w:val="21"/>
        </w:rPr>
        <w:t>000.00元）</w:t>
      </w:r>
    </w:p>
    <w:p w14:paraId="0EA8C342">
      <w:pPr>
        <w:snapToGrid w:val="0"/>
        <w:spacing w:line="480" w:lineRule="exact"/>
        <w:ind w:firstLine="422" w:firstLineChars="200"/>
        <w:rPr>
          <w:rFonts w:ascii="宋体" w:hAnsi="宋体" w:cs="宋体"/>
          <w:color w:val="auto"/>
          <w:szCs w:val="21"/>
          <w:highlight w:val="none"/>
        </w:rPr>
      </w:pPr>
      <w:r>
        <w:rPr>
          <w:rFonts w:hint="eastAsia" w:ascii="宋体" w:hAnsi="宋体" w:cs="宋体"/>
          <w:b/>
          <w:bCs/>
          <w:szCs w:val="21"/>
        </w:rPr>
        <w:t>采购需求：</w:t>
      </w:r>
      <w:r>
        <w:rPr>
          <w:rFonts w:hint="eastAsia" w:ascii="宋体" w:hAnsi="宋体" w:cs="宋体"/>
          <w:szCs w:val="21"/>
          <w:lang w:eastAsia="zh-CN"/>
        </w:rPr>
        <w:t>2025年12个直属单位内部审计服务</w:t>
      </w:r>
      <w:r>
        <w:rPr>
          <w:rFonts w:hint="eastAsia" w:ascii="宋体" w:hAnsi="宋体" w:cs="宋体"/>
          <w:color w:val="auto"/>
          <w:szCs w:val="21"/>
          <w:lang w:eastAsia="zh-CN"/>
        </w:rPr>
        <w:t>服务采购</w:t>
      </w:r>
      <w:r>
        <w:rPr>
          <w:rFonts w:hint="eastAsia" w:ascii="宋体" w:hAnsi="宋体" w:cs="宋体"/>
          <w:color w:val="auto"/>
          <w:szCs w:val="21"/>
          <w:lang w:val="en-US" w:eastAsia="zh-CN"/>
        </w:rPr>
        <w:t>1项</w:t>
      </w:r>
      <w:r>
        <w:rPr>
          <w:rFonts w:hint="eastAsia"/>
          <w:color w:val="auto"/>
          <w:highlight w:val="none"/>
          <w:lang w:val="en-US" w:eastAsia="zh-CN"/>
        </w:rPr>
        <w:t>，</w:t>
      </w:r>
      <w:r>
        <w:rPr>
          <w:rFonts w:hint="eastAsia" w:ascii="宋体" w:hAnsi="宋体" w:cs="宋体"/>
          <w:color w:val="auto"/>
          <w:szCs w:val="21"/>
        </w:rPr>
        <w:t>具体内容详见竞争性磋商采购文件。</w:t>
      </w:r>
    </w:p>
    <w:p w14:paraId="3C5C4A41">
      <w:pPr>
        <w:snapToGrid w:val="0"/>
        <w:spacing w:line="480" w:lineRule="exact"/>
        <w:ind w:firstLine="422" w:firstLineChars="200"/>
        <w:rPr>
          <w:rFonts w:hint="eastAsia" w:ascii="宋体" w:hAnsi="宋体" w:eastAsia="宋体" w:cs="Times New Roman"/>
          <w:b w:val="0"/>
          <w:color w:val="auto"/>
          <w:sz w:val="21"/>
          <w:szCs w:val="21"/>
          <w:highlight w:val="none"/>
          <w:lang w:val="en-US" w:eastAsia="zh-CN"/>
        </w:rPr>
      </w:pPr>
      <w:r>
        <w:rPr>
          <w:rFonts w:hint="eastAsia" w:ascii="宋体" w:hAnsi="宋体" w:cs="宋体"/>
          <w:b/>
          <w:bCs/>
          <w:color w:val="auto"/>
          <w:szCs w:val="21"/>
          <w:highlight w:val="none"/>
        </w:rPr>
        <w:t>合同履行期限：</w:t>
      </w:r>
      <w:r>
        <w:rPr>
          <w:rFonts w:hint="eastAsia" w:ascii="宋体" w:hAnsi="宋体" w:cs="宋体"/>
          <w:color w:val="auto"/>
          <w:szCs w:val="21"/>
          <w:highlight w:val="none"/>
        </w:rPr>
        <w:t>项目计划于</w:t>
      </w:r>
      <w:r>
        <w:rPr>
          <w:rFonts w:hint="eastAsia" w:ascii="宋体" w:hAnsi="宋体" w:cs="宋体"/>
          <w:color w:val="auto"/>
          <w:szCs w:val="21"/>
          <w:highlight w:val="none"/>
          <w:lang w:eastAsia="zh-CN"/>
        </w:rPr>
        <w:t>签合同之日起</w:t>
      </w:r>
      <w:r>
        <w:rPr>
          <w:rFonts w:hint="eastAsia" w:ascii="宋体" w:hAnsi="宋体" w:cs="宋体"/>
          <w:color w:val="auto"/>
          <w:szCs w:val="21"/>
          <w:highlight w:val="none"/>
        </w:rPr>
        <w:t>开始工作，至2025年12月</w:t>
      </w:r>
      <w:r>
        <w:rPr>
          <w:rFonts w:hint="eastAsia" w:ascii="宋体" w:hAnsi="宋体" w:cs="宋体"/>
          <w:color w:val="auto"/>
          <w:szCs w:val="21"/>
          <w:highlight w:val="none"/>
          <w:lang w:val="en-US" w:eastAsia="zh-CN"/>
        </w:rPr>
        <w:t>1日前</w:t>
      </w:r>
      <w:r>
        <w:rPr>
          <w:rFonts w:hint="eastAsia" w:ascii="宋体" w:hAnsi="宋体" w:cs="宋体"/>
          <w:color w:val="auto"/>
          <w:szCs w:val="21"/>
          <w:highlight w:val="none"/>
        </w:rPr>
        <w:t>完成项目的全部工作任务</w:t>
      </w:r>
      <w:r>
        <w:rPr>
          <w:rFonts w:hint="eastAsia" w:ascii="宋体" w:hAnsi="宋体" w:cs="宋体"/>
          <w:color w:val="auto"/>
          <w:szCs w:val="21"/>
          <w:highlight w:val="none"/>
          <w:lang w:val="en-US" w:eastAsia="zh-CN"/>
        </w:rPr>
        <w:t>，组织项目验收</w:t>
      </w:r>
      <w:r>
        <w:rPr>
          <w:rFonts w:hint="eastAsia" w:ascii="宋体" w:hAnsi="宋体" w:cs="宋体"/>
          <w:color w:val="auto"/>
          <w:szCs w:val="21"/>
          <w:highlight w:val="none"/>
        </w:rPr>
        <w:t>并验收合格。</w:t>
      </w:r>
    </w:p>
    <w:p w14:paraId="66A646DB">
      <w:pPr>
        <w:widowControl/>
        <w:numPr>
          <w:ilvl w:val="255"/>
          <w:numId w:val="0"/>
        </w:numPr>
        <w:tabs>
          <w:tab w:val="left" w:pos="3148"/>
        </w:tabs>
        <w:snapToGrid w:val="0"/>
        <w:spacing w:line="480" w:lineRule="exact"/>
        <w:ind w:firstLine="422" w:firstLineChars="200"/>
        <w:rPr>
          <w:rFonts w:ascii="宋体" w:hAnsi="宋体" w:cs="宋体"/>
          <w:b/>
          <w:bCs/>
          <w:color w:val="auto"/>
          <w:szCs w:val="21"/>
          <w:highlight w:val="none"/>
        </w:rPr>
      </w:pPr>
      <w:bookmarkStart w:id="17" w:name="_Toc11534"/>
      <w:bookmarkStart w:id="18" w:name="_Toc21043"/>
      <w:bookmarkStart w:id="19" w:name="_Toc13881"/>
      <w:r>
        <w:rPr>
          <w:rFonts w:hint="eastAsia" w:ascii="宋体" w:hAnsi="宋体" w:cs="宋体"/>
          <w:b/>
          <w:bCs/>
          <w:color w:val="auto"/>
          <w:szCs w:val="21"/>
          <w:highlight w:val="none"/>
        </w:rPr>
        <w:t>二、申请人的资格要求：</w:t>
      </w:r>
      <w:bookmarkEnd w:id="17"/>
      <w:bookmarkEnd w:id="18"/>
      <w:bookmarkEnd w:id="19"/>
    </w:p>
    <w:p w14:paraId="3B971BF5">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1、满</w:t>
      </w:r>
      <w:r>
        <w:rPr>
          <w:rFonts w:hint="eastAsia" w:ascii="宋体" w:hAnsi="宋体" w:eastAsia="宋体" w:cs="宋体"/>
          <w:color w:val="auto"/>
          <w:szCs w:val="21"/>
          <w:highlight w:val="none"/>
        </w:rPr>
        <w:t>足《中华人民共和国政府采购法》第二十二条规定。</w:t>
      </w:r>
    </w:p>
    <w:p w14:paraId="46C1DDB4">
      <w:pPr>
        <w:snapToGrid w:val="0"/>
        <w:spacing w:line="4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Cs w:val="21"/>
          <w:highlight w:val="none"/>
          <w:lang w:eastAsia="zh-CN"/>
        </w:rPr>
        <w:t>无。</w:t>
      </w:r>
    </w:p>
    <w:p w14:paraId="2E3BB197">
      <w:pPr>
        <w:snapToGrid w:val="0"/>
        <w:spacing w:line="480" w:lineRule="exact"/>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rPr>
        <w:t>：</w:t>
      </w:r>
      <w:r>
        <w:rPr>
          <w:rFonts w:hint="eastAsia" w:ascii="宋体" w:hAnsi="宋体" w:cs="宋体"/>
          <w:color w:val="auto"/>
          <w:szCs w:val="21"/>
          <w:highlight w:val="none"/>
          <w:lang w:eastAsia="zh-CN"/>
        </w:rPr>
        <w:t>具有财政主管部门颁发的会计师事务所执业证书，在人员、设备、资金等方面具有相应的能力和良好的信誉</w:t>
      </w:r>
      <w:r>
        <w:rPr>
          <w:rFonts w:hint="eastAsia" w:ascii="宋体" w:hAnsi="宋体" w:cs="宋体"/>
          <w:color w:val="auto"/>
          <w:szCs w:val="21"/>
          <w:highlight w:val="none"/>
        </w:rPr>
        <w:t>。</w:t>
      </w:r>
    </w:p>
    <w:p w14:paraId="26E29C3C">
      <w:pPr>
        <w:snapToGrid w:val="0"/>
        <w:spacing w:line="480" w:lineRule="exact"/>
        <w:ind w:firstLine="420" w:firstLineChars="200"/>
        <w:rPr>
          <w:rFonts w:ascii="宋体" w:hAnsi="宋体" w:cs="宋体"/>
          <w:szCs w:val="21"/>
        </w:rPr>
      </w:pPr>
      <w:r>
        <w:rPr>
          <w:rFonts w:hint="eastAsia" w:ascii="宋体" w:hAnsi="宋体" w:cs="宋体"/>
          <w:color w:val="auto"/>
          <w:szCs w:val="21"/>
          <w:highlight w:val="none"/>
        </w:rPr>
        <w:t>4、对在“信用中国”网站(www.creditchina.gov.cn)、中国政</w:t>
      </w:r>
      <w:r>
        <w:rPr>
          <w:rFonts w:hint="eastAsia" w:ascii="宋体" w:hAnsi="宋体" w:cs="宋体"/>
          <w:szCs w:val="21"/>
        </w:rPr>
        <w:t>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64C8E1DE">
      <w:pPr>
        <w:snapToGrid w:val="0"/>
        <w:spacing w:line="480" w:lineRule="exact"/>
        <w:ind w:firstLine="420" w:firstLineChars="200"/>
        <w:rPr>
          <w:rFonts w:ascii="宋体" w:hAnsi="宋体" w:cs="宋体"/>
          <w:szCs w:val="21"/>
        </w:rPr>
      </w:pPr>
      <w:r>
        <w:rPr>
          <w:rFonts w:hint="eastAsia" w:ascii="宋体" w:hAnsi="宋体" w:cs="宋体"/>
          <w:szCs w:val="21"/>
        </w:rPr>
        <w:t>5、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151CD1F9">
      <w:pPr>
        <w:snapToGrid w:val="0"/>
        <w:spacing w:line="480" w:lineRule="exact"/>
        <w:ind w:firstLine="420" w:firstLineChars="200"/>
        <w:rPr>
          <w:rFonts w:ascii="宋体" w:hAnsi="宋体" w:cs="宋体"/>
          <w:szCs w:val="21"/>
        </w:rPr>
      </w:pPr>
      <w:r>
        <w:rPr>
          <w:rFonts w:hint="eastAsia" w:ascii="宋体" w:hAnsi="宋体" w:cs="宋体"/>
          <w:szCs w:val="21"/>
        </w:rPr>
        <w:t>6、本项目不接受联合体。</w:t>
      </w:r>
    </w:p>
    <w:p w14:paraId="4E3BF983">
      <w:pPr>
        <w:pStyle w:val="25"/>
        <w:snapToGrid w:val="0"/>
        <w:spacing w:before="0" w:beforeAutospacing="0" w:after="0" w:afterAutospacing="0" w:line="480" w:lineRule="exact"/>
        <w:ind w:firstLine="422" w:firstLineChars="200"/>
        <w:jc w:val="both"/>
        <w:rPr>
          <w:rFonts w:hint="eastAsia" w:ascii="宋体" w:hAnsi="宋体" w:eastAsia="宋体" w:cs="宋体"/>
          <w:b/>
          <w:bCs/>
          <w:color w:val="auto"/>
          <w:sz w:val="21"/>
          <w:szCs w:val="21"/>
          <w:highlight w:val="none"/>
        </w:rPr>
      </w:pPr>
      <w:bookmarkStart w:id="20" w:name="_Toc15707"/>
      <w:bookmarkStart w:id="21" w:name="_Toc23202"/>
      <w:bookmarkStart w:id="22" w:name="_Toc4945"/>
      <w:r>
        <w:rPr>
          <w:rFonts w:hint="eastAsia" w:ascii="宋体" w:hAnsi="宋体" w:eastAsia="宋体" w:cs="宋体"/>
          <w:b/>
          <w:bCs/>
          <w:color w:val="auto"/>
          <w:sz w:val="21"/>
          <w:szCs w:val="21"/>
          <w:highlight w:val="none"/>
        </w:rPr>
        <w:t>三、获取采购文件</w:t>
      </w:r>
      <w:bookmarkEnd w:id="20"/>
      <w:bookmarkEnd w:id="21"/>
      <w:bookmarkEnd w:id="22"/>
    </w:p>
    <w:p w14:paraId="6CC1E3A9">
      <w:pPr>
        <w:pStyle w:val="25"/>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bookmarkStart w:id="23" w:name="_Toc28172"/>
      <w:bookmarkStart w:id="24" w:name="_Toc26222"/>
      <w:bookmarkStart w:id="25" w:name="_Toc1"/>
      <w:r>
        <w:rPr>
          <w:rFonts w:hint="eastAsia" w:ascii="宋体" w:hAnsi="宋体" w:eastAsia="宋体" w:cs="宋体"/>
          <w:color w:val="auto"/>
          <w:sz w:val="21"/>
          <w:szCs w:val="21"/>
          <w:highlight w:val="none"/>
        </w:rPr>
        <w:t>1、获取时间：20</w:t>
      </w:r>
      <w:r>
        <w:rPr>
          <w:rFonts w:hint="eastAsia" w:ascii="宋体" w:hAnsi="宋体" w:eastAsia="宋体" w:cs="宋体"/>
          <w:color w:val="0000FF"/>
          <w:sz w:val="21"/>
          <w:szCs w:val="21"/>
          <w:highlight w:val="none"/>
        </w:rPr>
        <w:t>2</w:t>
      </w:r>
      <w:r>
        <w:rPr>
          <w:rFonts w:hint="eastAsia" w:ascii="宋体" w:hAnsi="宋体" w:eastAsia="宋体" w:cs="宋体"/>
          <w:color w:val="0000FF"/>
          <w:sz w:val="21"/>
          <w:szCs w:val="21"/>
          <w:highlight w:val="none"/>
          <w:lang w:val="en-US" w:eastAsia="zh-CN"/>
        </w:rPr>
        <w:t>5</w:t>
      </w:r>
      <w:r>
        <w:rPr>
          <w:rFonts w:hint="eastAsia" w:ascii="宋体" w:hAnsi="宋体" w:eastAsia="宋体" w:cs="宋体"/>
          <w:color w:val="0000FF"/>
          <w:sz w:val="21"/>
          <w:szCs w:val="21"/>
          <w:highlight w:val="none"/>
        </w:rPr>
        <w:t>年</w:t>
      </w:r>
      <w:r>
        <w:rPr>
          <w:rFonts w:hint="eastAsia"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月</w:t>
      </w:r>
      <w:r>
        <w:rPr>
          <w:rFonts w:hint="eastAsia"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日</w:t>
      </w:r>
      <w:r>
        <w:rPr>
          <w:rFonts w:hint="eastAsia" w:ascii="宋体" w:hAnsi="宋体" w:eastAsia="宋体" w:cs="宋体"/>
          <w:color w:val="auto"/>
          <w:sz w:val="21"/>
          <w:szCs w:val="21"/>
          <w:highlight w:val="none"/>
        </w:rPr>
        <w:t>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13</w:t>
      </w:r>
      <w:r>
        <w:rPr>
          <w:rFonts w:hint="eastAsia" w:ascii="宋体" w:hAnsi="宋体" w:eastAsia="宋体" w:cs="宋体"/>
          <w:color w:val="auto"/>
          <w:sz w:val="21"/>
          <w:szCs w:val="21"/>
          <w:highlight w:val="none"/>
        </w:rPr>
        <w:t>日止（工作日，节假日除外），每日上午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：00至12：00，下午14:30至17：30（北京时间，下同）。</w:t>
      </w:r>
      <w:bookmarkEnd w:id="23"/>
      <w:bookmarkEnd w:id="24"/>
      <w:bookmarkEnd w:id="25"/>
    </w:p>
    <w:p w14:paraId="47CDFB70">
      <w:pPr>
        <w:pStyle w:val="25"/>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、获取竞争性磋商文件的方式：潜在供应商通过电子邮件获取采购文件，获取采购文件</w:t>
      </w:r>
      <w:r>
        <w:rPr>
          <w:rFonts w:hint="eastAsia" w:cs="宋体"/>
          <w:color w:val="auto"/>
          <w:sz w:val="21"/>
          <w:szCs w:val="21"/>
          <w:highlight w:val="none"/>
          <w:lang w:eastAsia="zh-CN"/>
        </w:rPr>
        <w:t>前</w:t>
      </w:r>
      <w:r>
        <w:rPr>
          <w:rFonts w:hint="eastAsia" w:ascii="宋体" w:hAnsi="宋体" w:eastAsia="宋体" w:cs="宋体"/>
          <w:color w:val="auto"/>
          <w:sz w:val="21"/>
          <w:szCs w:val="21"/>
          <w:highlight w:val="none"/>
        </w:rPr>
        <w:t>将证明文件及联系方式提交至下述邮箱（zhgxfgs@163.com），核查完毕后将采购文件电子版以电子邮件形式发送至供应商邮箱。证明材料：营业执照复印件</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事业单位法人证书</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val="en-US" w:eastAsia="zh-CN"/>
        </w:rPr>
        <w:t>、会计师事务所执业证书</w:t>
      </w:r>
      <w:r>
        <w:rPr>
          <w:rFonts w:hint="eastAsia" w:cs="宋体"/>
          <w:color w:val="auto"/>
          <w:sz w:val="21"/>
          <w:szCs w:val="21"/>
          <w:highlight w:val="none"/>
          <w:lang w:val="en-US" w:eastAsia="zh-CN"/>
        </w:rPr>
        <w:t>复印件、</w:t>
      </w:r>
      <w:r>
        <w:rPr>
          <w:rFonts w:hint="eastAsia" w:ascii="宋体" w:hAnsi="宋体" w:eastAsia="宋体" w:cs="宋体"/>
          <w:color w:val="auto"/>
          <w:sz w:val="21"/>
          <w:szCs w:val="21"/>
          <w:highlight w:val="none"/>
        </w:rPr>
        <w:t>法定代表人授权委托书（如有委托）、委托人身份证复印件（如有委托），以上证明材料均需加盖单位公章的清晰扫描件。</w:t>
      </w:r>
    </w:p>
    <w:p w14:paraId="2B5630CE">
      <w:pPr>
        <w:pStyle w:val="25"/>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bookmarkStart w:id="26" w:name="_Toc7224"/>
      <w:bookmarkStart w:id="27" w:name="_Toc201"/>
      <w:bookmarkStart w:id="28" w:name="_Toc26757"/>
      <w:r>
        <w:rPr>
          <w:rFonts w:hint="eastAsia" w:ascii="宋体" w:hAnsi="宋体" w:eastAsia="宋体" w:cs="宋体"/>
          <w:color w:val="auto"/>
          <w:sz w:val="21"/>
          <w:szCs w:val="21"/>
          <w:highlight w:val="none"/>
          <w:lang w:val="en-US" w:eastAsia="zh-CN"/>
        </w:rPr>
        <w:t>3、</w:t>
      </w:r>
      <w:bookmarkEnd w:id="26"/>
      <w:bookmarkEnd w:id="27"/>
      <w:bookmarkEnd w:id="28"/>
      <w:bookmarkStart w:id="29" w:name="_Toc29566"/>
      <w:bookmarkStart w:id="30" w:name="_Toc13521"/>
      <w:bookmarkStart w:id="31" w:name="_Toc7856"/>
      <w:r>
        <w:rPr>
          <w:rFonts w:hint="eastAsia" w:ascii="宋体" w:hAnsi="宋体" w:eastAsia="宋体" w:cs="宋体"/>
          <w:color w:val="auto"/>
          <w:sz w:val="21"/>
          <w:szCs w:val="21"/>
          <w:highlight w:val="none"/>
          <w:lang w:val="en-US" w:eastAsia="zh-CN"/>
        </w:rPr>
        <w:t>售价:竞争性磋商文件工本费每本售价300元</w:t>
      </w:r>
      <w:bookmarkEnd w:id="29"/>
      <w:bookmarkEnd w:id="30"/>
      <w:bookmarkEnd w:id="31"/>
      <w:r>
        <w:rPr>
          <w:rFonts w:hint="eastAsia" w:ascii="宋体" w:hAnsi="宋体" w:eastAsia="宋体" w:cs="宋体"/>
          <w:color w:val="auto"/>
          <w:sz w:val="21"/>
          <w:szCs w:val="21"/>
          <w:highlight w:val="none"/>
          <w:lang w:val="en-US" w:eastAsia="zh-CN"/>
        </w:rPr>
        <w:t>，售后不退（需对公账户转账）。供应商</w:t>
      </w:r>
      <w:r>
        <w:rPr>
          <w:rFonts w:hint="eastAsia" w:cs="宋体"/>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于获取截</w:t>
      </w:r>
      <w:r>
        <w:rPr>
          <w:rFonts w:hint="eastAsia" w:ascii="宋体" w:hAnsi="宋体" w:eastAsia="宋体" w:cs="宋体"/>
          <w:color w:val="auto"/>
          <w:sz w:val="21"/>
          <w:szCs w:val="21"/>
          <w:highlight w:val="none"/>
          <w:lang w:bidi="ar"/>
        </w:rPr>
        <w:t>止时间前将工本费汇到采购代理机构下述指定账号</w:t>
      </w:r>
      <w:r>
        <w:rPr>
          <w:rFonts w:hint="eastAsia" w:ascii="宋体" w:hAnsi="宋体" w:eastAsia="宋体" w:cs="宋体"/>
          <w:color w:val="auto"/>
          <w:sz w:val="21"/>
          <w:szCs w:val="21"/>
          <w:highlight w:val="none"/>
          <w:lang w:val="en-US" w:eastAsia="zh-CN" w:bidi="ar"/>
        </w:rPr>
        <w:t>(备注汇款公司简称及项目编号</w:t>
      </w:r>
      <w:r>
        <w:rPr>
          <w:rFonts w:hint="eastAsia" w:ascii="宋体" w:hAnsi="宋体" w:eastAsia="宋体" w:cs="宋体"/>
          <w:color w:val="auto"/>
          <w:sz w:val="21"/>
          <w:szCs w:val="21"/>
          <w:highlight w:val="none"/>
          <w:lang w:bidi="ar"/>
        </w:rPr>
        <w:t>）；</w:t>
      </w:r>
      <w:r>
        <w:rPr>
          <w:rFonts w:hint="eastAsia" w:ascii="宋体" w:hAnsi="宋体" w:eastAsia="宋体" w:cs="宋体"/>
          <w:b/>
          <w:color w:val="auto"/>
          <w:sz w:val="21"/>
          <w:szCs w:val="21"/>
          <w:highlight w:val="none"/>
          <w:lang w:bidi="ar"/>
        </w:rPr>
        <w:t>依据《国家税务总局关于增值税发票开具有关问题的公告》国家税务总局公告2017年第16号的规定，供应商在索取发票时，请提供纳税人识别号或统一社会信用代码。</w:t>
      </w:r>
    </w:p>
    <w:p w14:paraId="1BBE385E">
      <w:pPr>
        <w:pStyle w:val="25"/>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开户全称：上海正弘建设工程顾问有限公司广西分公司</w:t>
      </w:r>
    </w:p>
    <w:p w14:paraId="159EC2EE">
      <w:pPr>
        <w:pStyle w:val="25"/>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开户银行：广西北部湾银行南宁市嘉宾支行</w:t>
      </w:r>
    </w:p>
    <w:p w14:paraId="56866A11">
      <w:pPr>
        <w:pStyle w:val="25"/>
        <w:snapToGrid w:val="0"/>
        <w:spacing w:before="0" w:beforeAutospacing="0" w:after="0" w:afterAutospacing="0" w:line="480" w:lineRule="exact"/>
        <w:ind w:firstLine="420"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    号：0804 0120 9000 7555</w:t>
      </w:r>
      <w:r>
        <w:rPr>
          <w:rFonts w:hint="eastAsia" w:ascii="宋体" w:hAnsi="宋体" w:eastAsia="宋体" w:cs="宋体"/>
          <w:b/>
          <w:bCs/>
          <w:color w:val="auto"/>
          <w:sz w:val="21"/>
          <w:szCs w:val="21"/>
          <w:highlight w:val="none"/>
          <w:lang w:val="en-US" w:eastAsia="zh-CN"/>
        </w:rPr>
        <w:t>（此账号仅为收取招标文件工本费，注意与保证金账号区分）</w:t>
      </w:r>
    </w:p>
    <w:p w14:paraId="0D22E4B7">
      <w:pPr>
        <w:spacing w:line="480" w:lineRule="exact"/>
        <w:ind w:firstLine="211" w:firstLineChars="100"/>
        <w:rPr>
          <w:rFonts w:hint="eastAsia" w:ascii="宋体" w:hAnsi="宋体" w:eastAsia="宋体" w:cs="宋体"/>
          <w:b/>
          <w:bCs/>
          <w:szCs w:val="21"/>
        </w:rPr>
      </w:pPr>
      <w:bookmarkStart w:id="32" w:name="_Toc22564"/>
      <w:bookmarkStart w:id="33" w:name="_Toc6764"/>
      <w:bookmarkStart w:id="34" w:name="_Toc17224"/>
      <w:r>
        <w:rPr>
          <w:rFonts w:hint="eastAsia" w:ascii="宋体" w:hAnsi="宋体" w:cs="宋体"/>
          <w:b/>
          <w:bCs/>
          <w:szCs w:val="21"/>
        </w:rPr>
        <w:t>四、响应文件提交</w:t>
      </w:r>
      <w:bookmarkEnd w:id="32"/>
      <w:bookmarkEnd w:id="33"/>
      <w:bookmarkEnd w:id="34"/>
    </w:p>
    <w:p w14:paraId="7CD4BA09">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截止时间：</w:t>
      </w:r>
      <w:r>
        <w:rPr>
          <w:rFonts w:hint="eastAsia" w:ascii="宋体" w:hAnsi="宋体" w:eastAsia="宋体" w:cs="宋体"/>
          <w:szCs w:val="21"/>
          <w:u w:val="single"/>
        </w:rPr>
        <w:t xml:space="preserve"> 20</w:t>
      </w:r>
      <w:r>
        <w:rPr>
          <w:rFonts w:hint="eastAsia" w:ascii="宋体" w:hAnsi="宋体" w:eastAsia="宋体" w:cs="宋体"/>
          <w:color w:val="0000FF"/>
          <w:szCs w:val="21"/>
          <w:u w:val="single"/>
        </w:rPr>
        <w:t>2</w:t>
      </w:r>
      <w:r>
        <w:rPr>
          <w:rFonts w:hint="eastAsia" w:ascii="宋体" w:hAnsi="宋体" w:cs="宋体"/>
          <w:color w:val="0000FF"/>
          <w:szCs w:val="21"/>
          <w:u w:val="single"/>
          <w:lang w:val="en-US" w:eastAsia="zh-CN"/>
        </w:rPr>
        <w:t>5</w:t>
      </w:r>
      <w:r>
        <w:rPr>
          <w:rFonts w:hint="eastAsia" w:ascii="宋体" w:hAnsi="宋体" w:eastAsia="宋体" w:cs="宋体"/>
          <w:color w:val="0000FF"/>
          <w:szCs w:val="21"/>
          <w:u w:val="single"/>
        </w:rPr>
        <w:t>年</w:t>
      </w:r>
      <w:r>
        <w:rPr>
          <w:rFonts w:hint="eastAsia" w:ascii="宋体" w:hAnsi="宋体" w:cs="宋体"/>
          <w:color w:val="0000FF"/>
          <w:szCs w:val="21"/>
          <w:u w:val="single"/>
          <w:lang w:val="en-US" w:eastAsia="zh-CN"/>
        </w:rPr>
        <w:t xml:space="preserve">  </w:t>
      </w:r>
      <w:r>
        <w:rPr>
          <w:rFonts w:hint="eastAsia" w:ascii="宋体" w:hAnsi="宋体" w:eastAsia="宋体" w:cs="宋体"/>
          <w:color w:val="0000FF"/>
          <w:szCs w:val="21"/>
          <w:u w:val="single"/>
        </w:rPr>
        <w:t>月</w:t>
      </w:r>
      <w:r>
        <w:rPr>
          <w:rFonts w:hint="eastAsia" w:ascii="宋体" w:hAnsi="宋体" w:cs="宋体"/>
          <w:color w:val="0000FF"/>
          <w:szCs w:val="21"/>
          <w:u w:val="single"/>
          <w:lang w:val="en-US" w:eastAsia="zh-CN"/>
        </w:rPr>
        <w:t xml:space="preserve">  </w:t>
      </w:r>
      <w:r>
        <w:rPr>
          <w:rFonts w:hint="eastAsia" w:ascii="宋体" w:hAnsi="宋体" w:eastAsia="宋体" w:cs="宋体"/>
          <w:color w:val="0000FF"/>
          <w:szCs w:val="21"/>
          <w:u w:val="single"/>
        </w:rPr>
        <w:t>日</w:t>
      </w:r>
      <w:r>
        <w:rPr>
          <w:rFonts w:hint="eastAsia" w:ascii="宋体" w:hAnsi="宋体" w:cs="宋体"/>
          <w:color w:val="0000FF"/>
          <w:szCs w:val="21"/>
          <w:u w:val="single"/>
          <w:lang w:val="en-US" w:eastAsia="zh-CN"/>
        </w:rPr>
        <w:t>9</w:t>
      </w:r>
      <w:r>
        <w:rPr>
          <w:rFonts w:hint="eastAsia" w:ascii="宋体" w:hAnsi="宋体" w:eastAsia="宋体" w:cs="宋体"/>
          <w:szCs w:val="21"/>
          <w:u w:val="single"/>
          <w:lang w:eastAsia="zh-CN"/>
        </w:rPr>
        <w:t>时</w:t>
      </w:r>
      <w:r>
        <w:rPr>
          <w:rFonts w:hint="eastAsia" w:ascii="宋体" w:hAnsi="宋体" w:eastAsia="宋体" w:cs="宋体"/>
          <w:szCs w:val="21"/>
          <w:u w:val="single"/>
          <w:lang w:val="en-US" w:eastAsia="zh-CN"/>
        </w:rPr>
        <w:t>3</w:t>
      </w:r>
      <w:r>
        <w:rPr>
          <w:rFonts w:hint="eastAsia" w:ascii="宋体" w:hAnsi="宋体" w:eastAsia="宋体" w:cs="宋体"/>
          <w:szCs w:val="21"/>
          <w:u w:val="single"/>
        </w:rPr>
        <w:t>0分</w:t>
      </w:r>
      <w:r>
        <w:rPr>
          <w:rFonts w:hint="eastAsia" w:ascii="宋体" w:hAnsi="宋体" w:eastAsia="宋体" w:cs="宋体"/>
          <w:szCs w:val="21"/>
        </w:rPr>
        <w:t>（北京时间）</w:t>
      </w:r>
    </w:p>
    <w:p w14:paraId="551773C3">
      <w:pPr>
        <w:pStyle w:val="25"/>
        <w:snapToGrid w:val="0"/>
        <w:spacing w:before="0" w:beforeAutospacing="0" w:after="0" w:afterAutospacing="0" w:line="480" w:lineRule="exact"/>
        <w:ind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rPr>
        <w:t>地点：</w:t>
      </w:r>
      <w:r>
        <w:rPr>
          <w:rFonts w:hint="eastAsia" w:ascii="宋体" w:hAnsi="宋体" w:eastAsia="宋体" w:cs="宋体"/>
          <w:color w:val="auto"/>
          <w:sz w:val="21"/>
          <w:szCs w:val="21"/>
          <w:highlight w:val="none"/>
        </w:rPr>
        <w:t>上海正弘建设工程顾问有限公司广西分公司（南宁市东葛路163号绿地中央广场B1栋9楼(东面)）开标室。</w:t>
      </w:r>
    </w:p>
    <w:p w14:paraId="6BD55096">
      <w:pPr>
        <w:widowControl/>
        <w:numPr>
          <w:ilvl w:val="1"/>
          <w:numId w:val="0"/>
        </w:numPr>
        <w:tabs>
          <w:tab w:val="left" w:pos="3148"/>
        </w:tabs>
        <w:snapToGrid w:val="0"/>
        <w:spacing w:line="480" w:lineRule="exact"/>
        <w:ind w:firstLine="422" w:firstLineChars="200"/>
        <w:rPr>
          <w:rFonts w:hint="eastAsia" w:ascii="宋体" w:hAnsi="宋体" w:eastAsia="宋体" w:cs="宋体"/>
          <w:b/>
          <w:bCs/>
          <w:szCs w:val="21"/>
          <w:highlight w:val="none"/>
        </w:rPr>
      </w:pPr>
      <w:bookmarkStart w:id="35" w:name="_Toc20785"/>
      <w:bookmarkStart w:id="36" w:name="_Toc22176"/>
      <w:bookmarkStart w:id="37" w:name="_Toc21627"/>
      <w:r>
        <w:rPr>
          <w:rFonts w:hint="eastAsia" w:ascii="宋体" w:hAnsi="宋体" w:eastAsia="宋体" w:cs="宋体"/>
          <w:b/>
          <w:bCs/>
          <w:szCs w:val="21"/>
          <w:highlight w:val="none"/>
        </w:rPr>
        <w:t>五、开启</w:t>
      </w:r>
      <w:bookmarkEnd w:id="35"/>
      <w:bookmarkEnd w:id="36"/>
      <w:bookmarkEnd w:id="37"/>
    </w:p>
    <w:p w14:paraId="298DEAF2">
      <w:pPr>
        <w:snapToGrid w:val="0"/>
        <w:spacing w:line="48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时间：</w:t>
      </w:r>
      <w:r>
        <w:rPr>
          <w:rFonts w:hint="eastAsia" w:ascii="宋体" w:hAnsi="宋体" w:eastAsia="宋体" w:cs="宋体"/>
          <w:szCs w:val="21"/>
          <w:u w:val="single"/>
        </w:rPr>
        <w:t xml:space="preserve"> 20</w:t>
      </w:r>
      <w:r>
        <w:rPr>
          <w:rFonts w:hint="eastAsia" w:ascii="宋体" w:hAnsi="宋体" w:eastAsia="宋体" w:cs="宋体"/>
          <w:color w:val="0000FF"/>
          <w:szCs w:val="21"/>
          <w:u w:val="single"/>
        </w:rPr>
        <w:t>2</w:t>
      </w:r>
      <w:r>
        <w:rPr>
          <w:rFonts w:hint="eastAsia" w:ascii="宋体" w:hAnsi="宋体" w:cs="宋体"/>
          <w:color w:val="0000FF"/>
          <w:szCs w:val="21"/>
          <w:u w:val="single"/>
          <w:lang w:val="en-US" w:eastAsia="zh-CN"/>
        </w:rPr>
        <w:t>5</w:t>
      </w:r>
      <w:r>
        <w:rPr>
          <w:rFonts w:hint="eastAsia" w:ascii="宋体" w:hAnsi="宋体" w:eastAsia="宋体" w:cs="宋体"/>
          <w:color w:val="0000FF"/>
          <w:szCs w:val="21"/>
          <w:u w:val="single"/>
        </w:rPr>
        <w:t>年</w:t>
      </w:r>
      <w:r>
        <w:rPr>
          <w:rFonts w:hint="eastAsia" w:ascii="宋体" w:hAnsi="宋体" w:cs="宋体"/>
          <w:color w:val="0000FF"/>
          <w:szCs w:val="21"/>
          <w:u w:val="single"/>
          <w:lang w:val="en-US" w:eastAsia="zh-CN"/>
        </w:rPr>
        <w:t xml:space="preserve">  </w:t>
      </w:r>
      <w:r>
        <w:rPr>
          <w:rFonts w:hint="eastAsia" w:ascii="宋体" w:hAnsi="宋体" w:eastAsia="宋体" w:cs="宋体"/>
          <w:color w:val="0000FF"/>
          <w:szCs w:val="21"/>
          <w:u w:val="single"/>
        </w:rPr>
        <w:t>月</w:t>
      </w:r>
      <w:r>
        <w:rPr>
          <w:rFonts w:hint="eastAsia" w:ascii="宋体" w:hAnsi="宋体" w:cs="宋体"/>
          <w:color w:val="0000FF"/>
          <w:szCs w:val="21"/>
          <w:u w:val="single"/>
          <w:lang w:val="en-US" w:eastAsia="zh-CN"/>
        </w:rPr>
        <w:t xml:space="preserve">  </w:t>
      </w:r>
      <w:r>
        <w:rPr>
          <w:rFonts w:hint="eastAsia" w:ascii="宋体" w:hAnsi="宋体" w:eastAsia="宋体" w:cs="宋体"/>
          <w:color w:val="0000FF"/>
          <w:szCs w:val="21"/>
          <w:u w:val="single"/>
        </w:rPr>
        <w:t>日</w:t>
      </w:r>
      <w:r>
        <w:rPr>
          <w:rFonts w:hint="eastAsia" w:ascii="宋体" w:hAnsi="宋体" w:cs="宋体"/>
          <w:color w:val="0000FF"/>
          <w:szCs w:val="21"/>
          <w:u w:val="single"/>
          <w:lang w:val="en-US" w:eastAsia="zh-CN"/>
        </w:rPr>
        <w:t>9</w:t>
      </w:r>
      <w:r>
        <w:rPr>
          <w:rFonts w:hint="eastAsia" w:ascii="宋体" w:hAnsi="宋体" w:eastAsia="宋体" w:cs="宋体"/>
          <w:szCs w:val="21"/>
          <w:u w:val="single"/>
          <w:lang w:eastAsia="zh-CN"/>
        </w:rPr>
        <w:t>时</w:t>
      </w:r>
      <w:r>
        <w:rPr>
          <w:rFonts w:hint="eastAsia" w:ascii="宋体" w:hAnsi="宋体" w:eastAsia="宋体" w:cs="宋体"/>
          <w:szCs w:val="21"/>
          <w:u w:val="single"/>
          <w:lang w:val="en-US" w:eastAsia="zh-CN"/>
        </w:rPr>
        <w:t>3</w:t>
      </w:r>
      <w:r>
        <w:rPr>
          <w:rFonts w:hint="eastAsia" w:ascii="宋体" w:hAnsi="宋体" w:eastAsia="宋体" w:cs="宋体"/>
          <w:szCs w:val="21"/>
          <w:u w:val="single"/>
        </w:rPr>
        <w:t>0分</w:t>
      </w:r>
      <w:r>
        <w:rPr>
          <w:rFonts w:hint="eastAsia" w:ascii="宋体" w:hAnsi="宋体" w:eastAsia="宋体" w:cs="宋体"/>
          <w:szCs w:val="21"/>
          <w:highlight w:val="none"/>
        </w:rPr>
        <w:t>（北京时间）</w:t>
      </w:r>
    </w:p>
    <w:p w14:paraId="783723C3">
      <w:pPr>
        <w:pStyle w:val="25"/>
        <w:snapToGrid w:val="0"/>
        <w:spacing w:before="0" w:beforeAutospacing="0" w:after="0" w:afterAutospacing="0" w:line="480" w:lineRule="exact"/>
        <w:ind w:firstLine="480" w:firstLineChars="200"/>
        <w:jc w:val="both"/>
        <w:rPr>
          <w:rFonts w:hint="eastAsia" w:ascii="宋体" w:hAnsi="宋体" w:eastAsia="宋体" w:cs="宋体"/>
          <w:szCs w:val="21"/>
          <w:highlight w:val="none"/>
          <w:u w:val="single"/>
        </w:rPr>
      </w:pPr>
      <w:r>
        <w:rPr>
          <w:rFonts w:hint="eastAsia" w:ascii="宋体" w:hAnsi="宋体" w:eastAsia="宋体" w:cs="宋体"/>
          <w:szCs w:val="21"/>
          <w:highlight w:val="none"/>
        </w:rPr>
        <w:t>地点：</w:t>
      </w:r>
      <w:r>
        <w:rPr>
          <w:rFonts w:hint="eastAsia" w:ascii="宋体" w:hAnsi="宋体" w:eastAsia="宋体" w:cs="宋体"/>
          <w:color w:val="auto"/>
          <w:sz w:val="21"/>
          <w:szCs w:val="21"/>
          <w:highlight w:val="none"/>
        </w:rPr>
        <w:t>上海正弘建设工程顾问有限公司广西分公司（南宁市东葛路163号绿地中央广场B1栋9楼(东面)）</w:t>
      </w:r>
      <w:r>
        <w:rPr>
          <w:rFonts w:hint="eastAsia" w:ascii="宋体" w:hAnsi="宋体" w:eastAsia="宋体" w:cs="宋体"/>
          <w:color w:val="auto"/>
          <w:sz w:val="21"/>
          <w:szCs w:val="21"/>
          <w:highlight w:val="none"/>
          <w:lang w:eastAsia="zh-CN"/>
        </w:rPr>
        <w:t>评</w:t>
      </w:r>
      <w:r>
        <w:rPr>
          <w:rFonts w:hint="eastAsia" w:ascii="宋体" w:hAnsi="宋体" w:eastAsia="宋体" w:cs="宋体"/>
          <w:color w:val="auto"/>
          <w:sz w:val="21"/>
          <w:szCs w:val="21"/>
          <w:highlight w:val="none"/>
        </w:rPr>
        <w:t>标室。</w:t>
      </w:r>
    </w:p>
    <w:p w14:paraId="0AFB91BA">
      <w:pPr>
        <w:widowControl/>
        <w:numPr>
          <w:ilvl w:val="1"/>
          <w:numId w:val="0"/>
        </w:numPr>
        <w:tabs>
          <w:tab w:val="left" w:pos="3148"/>
        </w:tabs>
        <w:snapToGrid w:val="0"/>
        <w:spacing w:line="480" w:lineRule="exact"/>
        <w:ind w:firstLine="422" w:firstLineChars="200"/>
        <w:rPr>
          <w:rFonts w:hint="eastAsia" w:ascii="宋体" w:hAnsi="宋体" w:eastAsia="宋体" w:cs="宋体"/>
          <w:bCs/>
          <w:szCs w:val="21"/>
          <w:highlight w:val="none"/>
        </w:rPr>
      </w:pPr>
      <w:bookmarkStart w:id="38" w:name="_Toc28690"/>
      <w:bookmarkStart w:id="39" w:name="_Toc26398"/>
      <w:bookmarkStart w:id="40" w:name="_Toc21070"/>
      <w:r>
        <w:rPr>
          <w:rFonts w:hint="eastAsia" w:ascii="宋体" w:hAnsi="宋体" w:eastAsia="宋体" w:cs="宋体"/>
          <w:b/>
          <w:bCs/>
          <w:szCs w:val="21"/>
          <w:highlight w:val="none"/>
        </w:rPr>
        <w:t>六、公告期限：</w:t>
      </w:r>
      <w:r>
        <w:rPr>
          <w:rFonts w:hint="eastAsia" w:ascii="宋体" w:hAnsi="宋体" w:eastAsia="宋体" w:cs="宋体"/>
          <w:bCs/>
          <w:szCs w:val="21"/>
          <w:highlight w:val="none"/>
        </w:rPr>
        <w:t>自本公告发布之日起5个工作日</w:t>
      </w:r>
      <w:bookmarkEnd w:id="38"/>
      <w:bookmarkEnd w:id="39"/>
      <w:bookmarkEnd w:id="40"/>
    </w:p>
    <w:p w14:paraId="752623BD">
      <w:pPr>
        <w:widowControl/>
        <w:numPr>
          <w:ilvl w:val="255"/>
          <w:numId w:val="0"/>
        </w:numPr>
        <w:tabs>
          <w:tab w:val="left" w:pos="3148"/>
        </w:tabs>
        <w:snapToGrid w:val="0"/>
        <w:spacing w:line="480" w:lineRule="exact"/>
        <w:ind w:firstLine="422" w:firstLineChars="200"/>
        <w:rPr>
          <w:rFonts w:hint="eastAsia" w:ascii="宋体" w:hAnsi="宋体" w:eastAsia="宋体" w:cs="宋体"/>
          <w:b/>
          <w:bCs/>
          <w:color w:val="auto"/>
          <w:szCs w:val="21"/>
        </w:rPr>
      </w:pPr>
      <w:bookmarkStart w:id="41" w:name="_Toc17583"/>
      <w:bookmarkStart w:id="42" w:name="_Toc7186"/>
      <w:bookmarkStart w:id="43" w:name="_Toc21201"/>
      <w:r>
        <w:rPr>
          <w:rFonts w:hint="eastAsia" w:ascii="宋体" w:hAnsi="宋体" w:eastAsia="宋体" w:cs="宋体"/>
          <w:b/>
          <w:bCs/>
          <w:color w:val="auto"/>
          <w:szCs w:val="21"/>
        </w:rPr>
        <w:t>七、其他补充事宜：</w:t>
      </w:r>
      <w:bookmarkEnd w:id="41"/>
      <w:bookmarkEnd w:id="42"/>
      <w:bookmarkEnd w:id="43"/>
    </w:p>
    <w:p w14:paraId="63F7A44B">
      <w:pPr>
        <w:pStyle w:val="25"/>
        <w:keepNext w:val="0"/>
        <w:keepLines w:val="0"/>
        <w:pageBreakBefore w:val="0"/>
        <w:kinsoku/>
        <w:wordWrap/>
        <w:overflowPunct/>
        <w:topLinePunct w:val="0"/>
        <w:autoSpaceDE/>
        <w:autoSpaceDN/>
        <w:bidi w:val="0"/>
        <w:adjustRightInd/>
        <w:snapToGrid w:val="0"/>
        <w:spacing w:before="0" w:beforeAutospacing="0" w:after="0" w:afterAutospacing="0" w:line="360" w:lineRule="exact"/>
        <w:ind w:firstLine="420" w:firstLineChars="200"/>
        <w:jc w:val="both"/>
        <w:textAlignment w:val="auto"/>
        <w:rPr>
          <w:rFonts w:hint="eastAsia" w:ascii="宋体" w:hAnsi="宋体" w:cs="宋体"/>
          <w:color w:val="auto"/>
          <w:sz w:val="21"/>
          <w:szCs w:val="21"/>
          <w:highlight w:val="none"/>
          <w:lang w:eastAsia="zh-CN"/>
        </w:rPr>
      </w:pPr>
      <w:bookmarkStart w:id="44" w:name="_Toc11221"/>
      <w:bookmarkStart w:id="45" w:name="_Toc18328"/>
      <w:bookmarkStart w:id="46" w:name="_Toc29436"/>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磋商保证金（人民币）：</w:t>
      </w:r>
      <w:r>
        <w:rPr>
          <w:rFonts w:hint="eastAsia" w:cs="宋体"/>
          <w:color w:val="auto"/>
          <w:sz w:val="21"/>
          <w:szCs w:val="21"/>
          <w:highlight w:val="none"/>
          <w:lang w:eastAsia="zh-CN"/>
        </w:rPr>
        <w:t>贰</w:t>
      </w:r>
      <w:r>
        <w:rPr>
          <w:rFonts w:hint="eastAsia" w:ascii="宋体" w:hAnsi="宋体" w:cs="宋体"/>
          <w:color w:val="auto"/>
          <w:sz w:val="21"/>
          <w:szCs w:val="21"/>
          <w:highlight w:val="none"/>
          <w:lang w:eastAsia="zh-CN"/>
        </w:rPr>
        <w:t>仟元整（￥</w:t>
      </w:r>
      <w:r>
        <w:rPr>
          <w:rFonts w:hint="eastAsia" w:cs="宋体"/>
          <w:color w:val="auto"/>
          <w:sz w:val="21"/>
          <w:szCs w:val="21"/>
          <w:highlight w:val="none"/>
          <w:lang w:val="en-US" w:eastAsia="zh-CN"/>
        </w:rPr>
        <w:t>2</w:t>
      </w:r>
      <w:r>
        <w:rPr>
          <w:rFonts w:hint="eastAsia" w:ascii="宋体" w:hAnsi="宋体" w:cs="宋体"/>
          <w:color w:val="auto"/>
          <w:sz w:val="21"/>
          <w:szCs w:val="21"/>
          <w:highlight w:val="none"/>
          <w:lang w:eastAsia="zh-CN"/>
        </w:rPr>
        <w:t>000.00 元）（须足额交纳）。</w:t>
      </w:r>
    </w:p>
    <w:p w14:paraId="4B0D23C3">
      <w:pPr>
        <w:pStyle w:val="25"/>
        <w:keepNext w:val="0"/>
        <w:keepLines w:val="0"/>
        <w:pageBreakBefore w:val="0"/>
        <w:kinsoku/>
        <w:wordWrap/>
        <w:overflowPunct/>
        <w:topLinePunct w:val="0"/>
        <w:autoSpaceDE/>
        <w:autoSpaceDN/>
        <w:bidi w:val="0"/>
        <w:adjustRightInd/>
        <w:snapToGrid w:val="0"/>
        <w:spacing w:before="0" w:beforeAutospacing="0" w:after="0" w:afterAutospacing="0" w:line="360" w:lineRule="exact"/>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供应商必须于响应文件递交截止时间前将竞争性磋商保证金以电汇、转账、汇票等非现金形式交至以下账户（具体以保证金到账时间为准）。</w:t>
      </w:r>
    </w:p>
    <w:p w14:paraId="102998CB">
      <w:pPr>
        <w:pStyle w:val="25"/>
        <w:keepNext w:val="0"/>
        <w:keepLines w:val="0"/>
        <w:pageBreakBefore w:val="0"/>
        <w:kinsoku/>
        <w:wordWrap/>
        <w:overflowPunct/>
        <w:topLinePunct w:val="0"/>
        <w:autoSpaceDE/>
        <w:autoSpaceDN/>
        <w:bidi w:val="0"/>
        <w:adjustRightInd/>
        <w:snapToGrid w:val="0"/>
        <w:spacing w:before="0" w:beforeAutospacing="0" w:after="0" w:afterAutospacing="0" w:line="360" w:lineRule="exact"/>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开户名称：上海正弘建设工程顾问有限公司广西分公司</w:t>
      </w:r>
    </w:p>
    <w:p w14:paraId="530D9965">
      <w:pPr>
        <w:pStyle w:val="25"/>
        <w:keepNext w:val="0"/>
        <w:keepLines w:val="0"/>
        <w:pageBreakBefore w:val="0"/>
        <w:kinsoku/>
        <w:wordWrap/>
        <w:overflowPunct/>
        <w:topLinePunct w:val="0"/>
        <w:autoSpaceDE/>
        <w:autoSpaceDN/>
        <w:bidi w:val="0"/>
        <w:adjustRightInd/>
        <w:snapToGrid w:val="0"/>
        <w:spacing w:before="0" w:beforeAutospacing="0" w:after="0" w:afterAutospacing="0" w:line="360" w:lineRule="exact"/>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开户银行：广西北部湾银行南宁市南湖支行  </w:t>
      </w:r>
    </w:p>
    <w:p w14:paraId="43390EE1">
      <w:pPr>
        <w:pStyle w:val="25"/>
        <w:keepNext w:val="0"/>
        <w:keepLines w:val="0"/>
        <w:pageBreakBefore w:val="0"/>
        <w:kinsoku/>
        <w:wordWrap/>
        <w:overflowPunct/>
        <w:topLinePunct w:val="0"/>
        <w:autoSpaceDE/>
        <w:autoSpaceDN/>
        <w:bidi w:val="0"/>
        <w:adjustRightInd/>
        <w:snapToGrid w:val="0"/>
        <w:spacing w:before="0" w:beforeAutospacing="0" w:after="0" w:afterAutospacing="0" w:line="360" w:lineRule="exact"/>
        <w:ind w:firstLine="420" w:firstLineChars="200"/>
        <w:jc w:val="both"/>
        <w:textAlignment w:val="auto"/>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lang w:eastAsia="zh-CN"/>
        </w:rPr>
        <w:t>银行账号：8000 5285 7655 557</w:t>
      </w:r>
      <w:r>
        <w:rPr>
          <w:rFonts w:hint="eastAsia" w:ascii="宋体" w:hAnsi="宋体" w:eastAsia="宋体" w:cs="宋体"/>
          <w:b/>
          <w:bCs/>
          <w:color w:val="auto"/>
          <w:kern w:val="2"/>
          <w:sz w:val="21"/>
          <w:szCs w:val="21"/>
          <w:highlight w:val="none"/>
          <w:shd w:val="clear" w:color="auto" w:fill="auto"/>
          <w:lang w:val="en-US" w:eastAsia="zh-CN" w:bidi="ar-SA"/>
        </w:rPr>
        <w:t>（此账号仅为收取保证金，注意与招标文件工本费账号区分）</w:t>
      </w:r>
    </w:p>
    <w:p w14:paraId="55C069EE">
      <w:pPr>
        <w:pStyle w:val="25"/>
        <w:snapToGrid w:val="0"/>
        <w:spacing w:before="0" w:beforeAutospacing="0" w:after="0" w:afterAutospacing="0" w:line="480" w:lineRule="exact"/>
        <w:ind w:firstLine="420" w:firstLineChars="200"/>
        <w:jc w:val="both"/>
        <w:rPr>
          <w:rFonts w:hint="eastAsia"/>
          <w:color w:val="auto"/>
          <w:kern w:val="2"/>
          <w:sz w:val="21"/>
          <w:szCs w:val="21"/>
          <w:highlight w:val="none"/>
        </w:rPr>
      </w:pPr>
      <w:r>
        <w:rPr>
          <w:rFonts w:hint="eastAsia"/>
          <w:kern w:val="2"/>
          <w:sz w:val="21"/>
          <w:szCs w:val="21"/>
          <w:lang w:val="en-US" w:eastAsia="zh-CN"/>
        </w:rPr>
        <w:t>2.</w:t>
      </w:r>
      <w:r>
        <w:rPr>
          <w:rFonts w:hint="eastAsia"/>
          <w:kern w:val="2"/>
          <w:sz w:val="21"/>
          <w:szCs w:val="21"/>
        </w:rPr>
        <w:t>网上查询地址：</w:t>
      </w:r>
      <w:bookmarkEnd w:id="44"/>
      <w:bookmarkEnd w:id="45"/>
      <w:bookmarkEnd w:id="46"/>
      <w:r>
        <w:rPr>
          <w:rFonts w:hint="eastAsia"/>
          <w:kern w:val="2"/>
          <w:sz w:val="21"/>
          <w:szCs w:val="21"/>
          <w:lang w:eastAsia="zh-CN"/>
        </w:rPr>
        <w:t>中国</w:t>
      </w:r>
      <w:r>
        <w:rPr>
          <w:rFonts w:hint="eastAsia"/>
          <w:kern w:val="2"/>
          <w:sz w:val="21"/>
          <w:szCs w:val="21"/>
        </w:rPr>
        <w:t>采购与招标网（</w:t>
      </w:r>
      <w:r>
        <w:rPr>
          <w:rFonts w:hint="eastAsia" w:ascii="宋体" w:hAnsi="宋体" w:eastAsia="宋体" w:cs="宋体"/>
          <w:sz w:val="21"/>
          <w:szCs w:val="21"/>
          <w:lang w:val="en-US" w:eastAsia="zh-CN"/>
        </w:rPr>
        <w:t>http://www.chinabidding.cn/</w:t>
      </w:r>
      <w:r>
        <w:rPr>
          <w:rFonts w:hint="eastAsia"/>
          <w:kern w:val="2"/>
          <w:sz w:val="21"/>
          <w:szCs w:val="21"/>
        </w:rPr>
        <w:t>）、上海正弘建设工程顾问有限公司（http://www.zhengho</w:t>
      </w:r>
      <w:r>
        <w:rPr>
          <w:rFonts w:hint="eastAsia"/>
          <w:color w:val="auto"/>
          <w:kern w:val="2"/>
          <w:sz w:val="21"/>
          <w:szCs w:val="21"/>
        </w:rPr>
        <w:t>ng.</w:t>
      </w:r>
      <w:r>
        <w:rPr>
          <w:rFonts w:hint="eastAsia"/>
          <w:color w:val="auto"/>
          <w:kern w:val="2"/>
          <w:sz w:val="21"/>
          <w:szCs w:val="21"/>
          <w:highlight w:val="none"/>
        </w:rPr>
        <w:t>net.cn/）</w:t>
      </w:r>
      <w:r>
        <w:rPr>
          <w:rFonts w:hint="eastAsia"/>
          <w:color w:val="auto"/>
          <w:kern w:val="2"/>
          <w:sz w:val="21"/>
          <w:szCs w:val="21"/>
          <w:highlight w:val="none"/>
          <w:lang w:val="en-US" w:eastAsia="zh-CN"/>
        </w:rPr>
        <w:t>、</w:t>
      </w:r>
      <w:r>
        <w:rPr>
          <w:rFonts w:hint="eastAsia"/>
          <w:color w:val="auto"/>
          <w:kern w:val="2"/>
          <w:sz w:val="21"/>
          <w:szCs w:val="21"/>
          <w:highlight w:val="none"/>
        </w:rPr>
        <w:t>广西壮族自治区生态环境厅网站</w:t>
      </w:r>
      <w:r>
        <w:rPr>
          <w:rFonts w:hint="eastAsia"/>
          <w:color w:val="auto"/>
          <w:kern w:val="2"/>
          <w:sz w:val="21"/>
          <w:szCs w:val="21"/>
          <w:highlight w:val="none"/>
          <w:lang w:eastAsia="zh-CN"/>
        </w:rPr>
        <w:t>（http://sthjt.gxzf.gov.cn/）</w:t>
      </w:r>
      <w:r>
        <w:rPr>
          <w:rFonts w:hint="eastAsia"/>
          <w:color w:val="auto"/>
          <w:kern w:val="2"/>
          <w:sz w:val="21"/>
          <w:szCs w:val="21"/>
          <w:highlight w:val="none"/>
        </w:rPr>
        <w:t>。</w:t>
      </w:r>
    </w:p>
    <w:p w14:paraId="79AD4F33">
      <w:pPr>
        <w:widowControl/>
        <w:numPr>
          <w:ilvl w:val="255"/>
          <w:numId w:val="0"/>
        </w:numPr>
        <w:tabs>
          <w:tab w:val="left" w:pos="3148"/>
        </w:tabs>
        <w:snapToGrid w:val="0"/>
        <w:spacing w:line="480" w:lineRule="exact"/>
        <w:ind w:firstLine="422" w:firstLineChars="200"/>
        <w:rPr>
          <w:rFonts w:ascii="宋体" w:hAnsi="宋体" w:cs="宋体"/>
          <w:b/>
          <w:bCs/>
          <w:color w:val="auto"/>
          <w:szCs w:val="21"/>
          <w:highlight w:val="none"/>
        </w:rPr>
      </w:pPr>
      <w:bookmarkStart w:id="47" w:name="_Toc6696"/>
      <w:bookmarkStart w:id="48" w:name="_Toc12689"/>
      <w:bookmarkStart w:id="49" w:name="_Toc15560"/>
      <w:r>
        <w:rPr>
          <w:rFonts w:hint="eastAsia" w:ascii="宋体" w:hAnsi="宋体" w:cs="宋体"/>
          <w:b/>
          <w:bCs/>
          <w:color w:val="auto"/>
          <w:szCs w:val="21"/>
          <w:highlight w:val="none"/>
        </w:rPr>
        <w:t>八、凡对本次采购提出询问，请按以下方式联系</w:t>
      </w:r>
      <w:bookmarkEnd w:id="47"/>
      <w:bookmarkEnd w:id="48"/>
      <w:bookmarkEnd w:id="49"/>
      <w:r>
        <w:rPr>
          <w:rFonts w:hint="eastAsia" w:ascii="宋体" w:hAnsi="宋体" w:cs="宋体"/>
          <w:b/>
          <w:bCs/>
          <w:color w:val="auto"/>
          <w:szCs w:val="21"/>
          <w:highlight w:val="none"/>
        </w:rPr>
        <w:t>：</w:t>
      </w:r>
    </w:p>
    <w:p w14:paraId="381DB399">
      <w:pPr>
        <w:keepNext w:val="0"/>
        <w:keepLines w:val="0"/>
        <w:pageBreakBefore w:val="0"/>
        <w:kinsoku/>
        <w:wordWrap/>
        <w:overflowPunct/>
        <w:topLinePunct w:val="0"/>
        <w:autoSpaceDE/>
        <w:autoSpaceDN/>
        <w:bidi w:val="0"/>
        <w:adjustRightInd/>
        <w:spacing w:line="440" w:lineRule="exact"/>
        <w:ind w:firstLine="567" w:firstLineChars="27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6A422C9A">
      <w:pPr>
        <w:keepNext w:val="0"/>
        <w:keepLines w:val="0"/>
        <w:pageBreakBefore w:val="0"/>
        <w:kinsoku/>
        <w:wordWrap/>
        <w:overflowPunct/>
        <w:topLinePunct w:val="0"/>
        <w:autoSpaceDE/>
        <w:autoSpaceDN/>
        <w:bidi w:val="0"/>
        <w:adjustRightInd/>
        <w:spacing w:line="440" w:lineRule="exact"/>
        <w:ind w:firstLine="567" w:firstLineChars="27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广西壮族自治区生态环境厅</w:t>
      </w:r>
    </w:p>
    <w:p w14:paraId="209556E5">
      <w:pPr>
        <w:keepNext w:val="0"/>
        <w:keepLines w:val="0"/>
        <w:pageBreakBefore w:val="0"/>
        <w:kinsoku/>
        <w:wordWrap/>
        <w:overflowPunct/>
        <w:topLinePunct w:val="0"/>
        <w:autoSpaceDE/>
        <w:autoSpaceDN/>
        <w:bidi w:val="0"/>
        <w:adjustRightInd/>
        <w:spacing w:line="440" w:lineRule="exact"/>
        <w:ind w:firstLine="567" w:firstLineChars="27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址：南宁市青秀区佛子岭路16号</w:t>
      </w:r>
    </w:p>
    <w:p w14:paraId="0A570978">
      <w:pPr>
        <w:keepNext w:val="0"/>
        <w:keepLines w:val="0"/>
        <w:pageBreakBefore w:val="0"/>
        <w:kinsoku/>
        <w:wordWrap/>
        <w:overflowPunct/>
        <w:topLinePunct w:val="0"/>
        <w:autoSpaceDE/>
        <w:autoSpaceDN/>
        <w:bidi w:val="0"/>
        <w:adjustRightInd/>
        <w:spacing w:line="440" w:lineRule="exact"/>
        <w:ind w:firstLine="567" w:firstLineChars="27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张工</w:t>
      </w:r>
    </w:p>
    <w:p w14:paraId="7DC1F9C3">
      <w:pPr>
        <w:keepNext w:val="0"/>
        <w:keepLines w:val="0"/>
        <w:pageBreakBefore w:val="0"/>
        <w:kinsoku/>
        <w:wordWrap/>
        <w:overflowPunct/>
        <w:topLinePunct w:val="0"/>
        <w:autoSpaceDE/>
        <w:autoSpaceDN/>
        <w:bidi w:val="0"/>
        <w:adjustRightInd/>
        <w:spacing w:line="440" w:lineRule="exact"/>
        <w:ind w:firstLine="567" w:firstLineChars="27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w:t>
      </w:r>
      <w:r>
        <w:rPr>
          <w:rFonts w:hint="eastAsia" w:ascii="宋体" w:hAnsi="宋体" w:eastAsia="宋体" w:cs="宋体"/>
          <w:color w:val="auto"/>
          <w:szCs w:val="21"/>
          <w:highlight w:val="none"/>
          <w:lang w:eastAsia="zh-CN"/>
        </w:rPr>
        <w:t>电话：</w:t>
      </w:r>
      <w:r>
        <w:rPr>
          <w:rFonts w:hint="eastAsia" w:ascii="宋体" w:hAnsi="宋体" w:eastAsia="宋体" w:cs="宋体"/>
          <w:color w:val="auto"/>
          <w:szCs w:val="21"/>
          <w:highlight w:val="none"/>
          <w:lang w:val="en-US" w:eastAsia="zh-CN"/>
        </w:rPr>
        <w:t>0771-2853299</w:t>
      </w:r>
    </w:p>
    <w:p w14:paraId="7036ADC1">
      <w:pPr>
        <w:keepNext w:val="0"/>
        <w:keepLines w:val="0"/>
        <w:pageBreakBefore w:val="0"/>
        <w:kinsoku/>
        <w:wordWrap/>
        <w:overflowPunct/>
        <w:topLinePunct w:val="0"/>
        <w:autoSpaceDE/>
        <w:autoSpaceDN/>
        <w:bidi w:val="0"/>
        <w:adjustRightInd/>
        <w:spacing w:line="440" w:lineRule="exact"/>
        <w:ind w:firstLine="567" w:firstLineChars="27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7736BC4F">
      <w:pPr>
        <w:keepNext w:val="0"/>
        <w:keepLines w:val="0"/>
        <w:pageBreakBefore w:val="0"/>
        <w:kinsoku/>
        <w:wordWrap/>
        <w:overflowPunct/>
        <w:topLinePunct w:val="0"/>
        <w:autoSpaceDE/>
        <w:autoSpaceDN/>
        <w:bidi w:val="0"/>
        <w:adjustRightInd/>
        <w:spacing w:line="440" w:lineRule="exact"/>
        <w:ind w:firstLine="567" w:firstLineChars="270"/>
        <w:jc w:val="left"/>
        <w:textAlignment w:val="auto"/>
        <w:rPr>
          <w:rFonts w:hint="eastAsia" w:ascii="宋体" w:hAnsi="宋体" w:eastAsia="宋体" w:cs="宋体"/>
          <w:color w:val="auto"/>
          <w:szCs w:val="21"/>
          <w:highlight w:val="none"/>
        </w:rPr>
      </w:pPr>
      <w:bookmarkStart w:id="50" w:name="_Toc28359087"/>
      <w:bookmarkStart w:id="51" w:name="_Toc28359010"/>
      <w:r>
        <w:rPr>
          <w:rFonts w:hint="eastAsia" w:ascii="宋体" w:hAnsi="宋体" w:eastAsia="宋体" w:cs="宋体"/>
          <w:color w:val="auto"/>
          <w:szCs w:val="21"/>
          <w:highlight w:val="none"/>
        </w:rPr>
        <w:t>采购代理机构：上海正弘建设工程顾问有限公司</w:t>
      </w:r>
    </w:p>
    <w:p w14:paraId="7E4950A1">
      <w:pPr>
        <w:keepNext w:val="0"/>
        <w:keepLines w:val="0"/>
        <w:pageBreakBefore w:val="0"/>
        <w:kinsoku/>
        <w:wordWrap/>
        <w:overflowPunct/>
        <w:topLinePunct w:val="0"/>
        <w:autoSpaceDE/>
        <w:autoSpaceDN/>
        <w:bidi w:val="0"/>
        <w:adjustRightInd/>
        <w:spacing w:line="440" w:lineRule="exact"/>
        <w:ind w:firstLine="567" w:firstLineChars="27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址：南宁市青秀区东葛路163号绿地中央广场B1栋9层（东面） </w:t>
      </w:r>
    </w:p>
    <w:bookmarkEnd w:id="50"/>
    <w:bookmarkEnd w:id="51"/>
    <w:p w14:paraId="7A1C342B">
      <w:pPr>
        <w:keepNext w:val="0"/>
        <w:keepLines w:val="0"/>
        <w:pageBreakBefore w:val="0"/>
        <w:kinsoku/>
        <w:wordWrap/>
        <w:overflowPunct/>
        <w:topLinePunct w:val="0"/>
        <w:autoSpaceDE/>
        <w:autoSpaceDN/>
        <w:bidi w:val="0"/>
        <w:adjustRightInd/>
        <w:spacing w:line="440" w:lineRule="exact"/>
        <w:ind w:firstLine="567" w:firstLineChars="27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项目联系人：李冬宁</w:t>
      </w:r>
    </w:p>
    <w:p w14:paraId="39568D03">
      <w:pPr>
        <w:keepNext w:val="0"/>
        <w:keepLines w:val="0"/>
        <w:pageBreakBefore w:val="0"/>
        <w:kinsoku/>
        <w:wordWrap/>
        <w:overflowPunct/>
        <w:topLinePunct w:val="0"/>
        <w:autoSpaceDE/>
        <w:autoSpaceDN/>
        <w:bidi w:val="0"/>
        <w:adjustRightInd/>
        <w:spacing w:line="440" w:lineRule="exact"/>
        <w:ind w:firstLine="567" w:firstLineChars="27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w:t>
      </w:r>
      <w:r>
        <w:rPr>
          <w:rFonts w:hint="eastAsia" w:ascii="宋体" w:hAnsi="宋体" w:eastAsia="宋体" w:cs="宋体"/>
          <w:color w:val="auto"/>
          <w:szCs w:val="21"/>
          <w:highlight w:val="none"/>
          <w:lang w:eastAsia="zh-CN"/>
        </w:rPr>
        <w:t>电话</w:t>
      </w:r>
      <w:r>
        <w:rPr>
          <w:rFonts w:hint="eastAsia" w:ascii="宋体" w:hAnsi="宋体" w:eastAsia="宋体" w:cs="宋体"/>
          <w:color w:val="auto"/>
          <w:szCs w:val="21"/>
          <w:highlight w:val="none"/>
        </w:rPr>
        <w:t>：0771-5300530</w:t>
      </w:r>
    </w:p>
    <w:p w14:paraId="5F44D7B0">
      <w:pPr>
        <w:snapToGrid w:val="0"/>
        <w:spacing w:line="480" w:lineRule="exact"/>
        <w:ind w:firstLine="630" w:firstLineChars="300"/>
        <w:rPr>
          <w:rFonts w:ascii="宋体" w:hAnsi="宋体" w:cs="宋体"/>
          <w:szCs w:val="21"/>
        </w:rPr>
      </w:pPr>
      <w:r>
        <w:rPr>
          <w:rFonts w:hint="eastAsia" w:ascii="宋体" w:hAnsi="宋体" w:cs="宋体"/>
          <w:szCs w:val="21"/>
        </w:rPr>
        <w:t xml:space="preserve">              </w:t>
      </w:r>
    </w:p>
    <w:p w14:paraId="2645938A">
      <w:pPr>
        <w:spacing w:line="560" w:lineRule="exact"/>
        <w:ind w:firstLine="630" w:firstLineChars="300"/>
        <w:rPr>
          <w:rFonts w:ascii="宋体" w:hAnsi="宋体" w:cs="宋体"/>
          <w:kern w:val="0"/>
          <w:szCs w:val="21"/>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上海正弘建设工程顾问有限公司</w:t>
      </w:r>
    </w:p>
    <w:p w14:paraId="12996139">
      <w:pPr>
        <w:snapToGrid w:val="0"/>
        <w:spacing w:line="480" w:lineRule="exact"/>
        <w:ind w:firstLine="420" w:firstLineChars="200"/>
        <w:jc w:val="center"/>
        <w:rPr>
          <w:rFonts w:ascii="宋体" w:hAnsi="宋体" w:cs="宋体"/>
          <w:color w:val="0000FF"/>
          <w:kern w:val="0"/>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color w:val="0000FF"/>
          <w:szCs w:val="21"/>
        </w:rPr>
        <w:t xml:space="preserve">  202</w:t>
      </w:r>
      <w:r>
        <w:rPr>
          <w:rFonts w:hint="eastAsia" w:ascii="宋体" w:hAnsi="宋体" w:cs="宋体"/>
          <w:color w:val="0000FF"/>
          <w:szCs w:val="21"/>
          <w:lang w:val="en-US" w:eastAsia="zh-CN"/>
        </w:rPr>
        <w:t>5</w:t>
      </w:r>
      <w:r>
        <w:rPr>
          <w:rFonts w:hint="eastAsia" w:ascii="宋体" w:hAnsi="宋体" w:cs="宋体"/>
          <w:color w:val="0000FF"/>
          <w:szCs w:val="21"/>
        </w:rPr>
        <w:t>年</w:t>
      </w:r>
      <w:r>
        <w:rPr>
          <w:rFonts w:hint="eastAsia" w:ascii="宋体" w:hAnsi="宋体" w:cs="宋体"/>
          <w:color w:val="0000FF"/>
          <w:szCs w:val="21"/>
          <w:lang w:val="en-US" w:eastAsia="zh-CN"/>
        </w:rPr>
        <w:t xml:space="preserve">  </w:t>
      </w:r>
      <w:r>
        <w:rPr>
          <w:rFonts w:hint="eastAsia" w:ascii="宋体" w:hAnsi="宋体" w:cs="宋体"/>
          <w:color w:val="0000FF"/>
          <w:szCs w:val="21"/>
        </w:rPr>
        <w:t>月</w:t>
      </w:r>
      <w:r>
        <w:rPr>
          <w:rFonts w:hint="eastAsia" w:ascii="宋体" w:hAnsi="宋体" w:cs="宋体"/>
          <w:color w:val="0000FF"/>
          <w:szCs w:val="21"/>
          <w:lang w:val="en-US" w:eastAsia="zh-CN"/>
        </w:rPr>
        <w:t xml:space="preserve">  </w:t>
      </w:r>
      <w:r>
        <w:rPr>
          <w:rFonts w:hint="eastAsia" w:ascii="宋体" w:hAnsi="宋体" w:cs="宋体"/>
          <w:color w:val="0000FF"/>
          <w:szCs w:val="21"/>
        </w:rPr>
        <w:t>日</w:t>
      </w:r>
      <w:r>
        <w:rPr>
          <w:rFonts w:hint="eastAsia" w:ascii="宋体" w:hAnsi="宋体" w:cs="宋体"/>
          <w:color w:val="0000FF"/>
          <w:kern w:val="0"/>
          <w:szCs w:val="21"/>
        </w:rPr>
        <w:t xml:space="preserve">  </w:t>
      </w:r>
    </w:p>
    <w:p w14:paraId="7F965E28">
      <w:pPr>
        <w:spacing w:line="360" w:lineRule="auto"/>
        <w:jc w:val="center"/>
        <w:rPr>
          <w:rFonts w:ascii="宋体" w:hAnsi="宋体" w:cs="宋体"/>
          <w:caps/>
          <w:sz w:val="24"/>
        </w:rPr>
      </w:pPr>
    </w:p>
    <w:p w14:paraId="67AE0534">
      <w:pPr>
        <w:rPr>
          <w:rFonts w:ascii="宋体" w:hAnsi="宋体" w:cs="宋体"/>
          <w:sz w:val="27"/>
          <w:szCs w:val="27"/>
        </w:rPr>
      </w:pPr>
    </w:p>
    <w:p w14:paraId="4E1F8945">
      <w:pPr>
        <w:rPr>
          <w:rFonts w:ascii="宋体" w:hAnsi="宋体" w:cs="宋体"/>
          <w:b/>
          <w:sz w:val="32"/>
          <w:szCs w:val="32"/>
        </w:rPr>
      </w:pPr>
      <w:bookmarkStart w:id="52" w:name="_Toc14507"/>
      <w:bookmarkStart w:id="53" w:name="_Toc460253699"/>
      <w:bookmarkStart w:id="54" w:name="_Toc485920201"/>
      <w:r>
        <w:rPr>
          <w:rFonts w:hint="eastAsia" w:ascii="宋体" w:hAnsi="宋体" w:cs="宋体"/>
          <w:b/>
          <w:sz w:val="32"/>
          <w:szCs w:val="32"/>
        </w:rPr>
        <w:br w:type="page"/>
      </w:r>
    </w:p>
    <w:p w14:paraId="6523C06E">
      <w:pPr>
        <w:spacing w:line="360" w:lineRule="auto"/>
        <w:jc w:val="center"/>
        <w:outlineLvl w:val="0"/>
        <w:rPr>
          <w:rFonts w:ascii="宋体" w:hAnsi="宋体" w:cs="宋体"/>
          <w:b/>
          <w:bCs/>
          <w:sz w:val="32"/>
          <w:szCs w:val="32"/>
        </w:rPr>
      </w:pPr>
      <w:bookmarkStart w:id="55" w:name="_Toc29237"/>
      <w:r>
        <w:rPr>
          <w:rFonts w:hint="eastAsia" w:ascii="宋体" w:hAnsi="宋体" w:cs="宋体"/>
          <w:b/>
          <w:sz w:val="32"/>
          <w:szCs w:val="32"/>
        </w:rPr>
        <w:t>第二章  磋商供应商须知</w:t>
      </w:r>
      <w:bookmarkEnd w:id="52"/>
      <w:bookmarkEnd w:id="55"/>
      <w:bookmarkStart w:id="56" w:name="_Toc213326415"/>
    </w:p>
    <w:bookmarkEnd w:id="56"/>
    <w:p w14:paraId="396BCCA9">
      <w:pPr>
        <w:pStyle w:val="13"/>
        <w:spacing w:line="360" w:lineRule="auto"/>
        <w:ind w:firstLine="420" w:firstLineChars="200"/>
        <w:jc w:val="left"/>
        <w:rPr>
          <w:rFonts w:hAnsi="宋体" w:cs="宋体"/>
          <w:szCs w:val="21"/>
        </w:rPr>
      </w:pPr>
      <w:bookmarkStart w:id="57" w:name="_Toc460253702"/>
      <w:r>
        <w:rPr>
          <w:rFonts w:hint="eastAsia" w:hAnsi="宋体" w:cs="宋体"/>
          <w:szCs w:val="21"/>
        </w:rPr>
        <w:t>本表是关于本次采购项目的具体资料，是对后列条款的具体补充和修改。所有与本次采购有关的事宜，以本表规定的为准。</w:t>
      </w:r>
      <w:bookmarkEnd w:id="57"/>
    </w:p>
    <w:tbl>
      <w:tblPr>
        <w:tblStyle w:val="28"/>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6676"/>
      </w:tblGrid>
      <w:tr w14:paraId="27C4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bottom"/>
          </w:tcPr>
          <w:p w14:paraId="6FB6E94D">
            <w:pPr>
              <w:pStyle w:val="13"/>
              <w:snapToGrid w:val="0"/>
              <w:spacing w:line="504" w:lineRule="auto"/>
              <w:jc w:val="center"/>
              <w:rPr>
                <w:rFonts w:hAnsi="宋体" w:cs="宋体"/>
                <w:b/>
                <w:bCs/>
                <w:kern w:val="0"/>
                <w:szCs w:val="21"/>
              </w:rPr>
            </w:pPr>
            <w:r>
              <w:rPr>
                <w:rFonts w:hint="eastAsia" w:hAnsi="宋体" w:cs="宋体"/>
                <w:b/>
                <w:bCs/>
                <w:kern w:val="0"/>
                <w:szCs w:val="21"/>
              </w:rPr>
              <w:t>条款号</w:t>
            </w:r>
          </w:p>
        </w:tc>
        <w:tc>
          <w:tcPr>
            <w:tcW w:w="2539" w:type="dxa"/>
            <w:vAlign w:val="bottom"/>
          </w:tcPr>
          <w:p w14:paraId="33AB9DE9">
            <w:pPr>
              <w:pStyle w:val="13"/>
              <w:snapToGrid w:val="0"/>
              <w:spacing w:line="504" w:lineRule="auto"/>
              <w:jc w:val="center"/>
              <w:rPr>
                <w:rFonts w:hAnsi="宋体" w:cs="宋体"/>
                <w:b/>
                <w:bCs/>
                <w:kern w:val="0"/>
                <w:szCs w:val="21"/>
              </w:rPr>
            </w:pPr>
            <w:r>
              <w:rPr>
                <w:rFonts w:hint="eastAsia" w:hAnsi="宋体" w:cs="宋体"/>
                <w:b/>
                <w:bCs/>
                <w:kern w:val="0"/>
                <w:szCs w:val="21"/>
              </w:rPr>
              <w:t>条款名称</w:t>
            </w:r>
          </w:p>
        </w:tc>
        <w:tc>
          <w:tcPr>
            <w:tcW w:w="6676" w:type="dxa"/>
            <w:vAlign w:val="bottom"/>
          </w:tcPr>
          <w:p w14:paraId="7560768A">
            <w:pPr>
              <w:pStyle w:val="13"/>
              <w:snapToGrid w:val="0"/>
              <w:spacing w:line="504" w:lineRule="auto"/>
              <w:jc w:val="center"/>
              <w:rPr>
                <w:rFonts w:hAnsi="宋体" w:cs="宋体"/>
                <w:b/>
                <w:bCs/>
                <w:kern w:val="0"/>
                <w:szCs w:val="21"/>
              </w:rPr>
            </w:pPr>
            <w:r>
              <w:rPr>
                <w:rFonts w:hint="eastAsia" w:hAnsi="宋体" w:cs="宋体"/>
                <w:b/>
                <w:bCs/>
                <w:kern w:val="0"/>
                <w:szCs w:val="21"/>
              </w:rPr>
              <w:t>详细内容</w:t>
            </w:r>
          </w:p>
        </w:tc>
      </w:tr>
      <w:tr w14:paraId="38FB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35809137">
            <w:pPr>
              <w:pStyle w:val="13"/>
              <w:snapToGrid w:val="0"/>
              <w:spacing w:line="504" w:lineRule="auto"/>
              <w:jc w:val="center"/>
              <w:rPr>
                <w:rFonts w:hAnsi="宋体" w:cs="宋体"/>
                <w:kern w:val="0"/>
                <w:szCs w:val="21"/>
              </w:rPr>
            </w:pPr>
            <w:r>
              <w:rPr>
                <w:rFonts w:hint="eastAsia" w:hAnsi="宋体" w:cs="宋体"/>
                <w:kern w:val="0"/>
                <w:szCs w:val="21"/>
              </w:rPr>
              <w:t>1.1</w:t>
            </w:r>
          </w:p>
        </w:tc>
        <w:tc>
          <w:tcPr>
            <w:tcW w:w="2539" w:type="dxa"/>
            <w:vAlign w:val="center"/>
          </w:tcPr>
          <w:p w14:paraId="29E86561">
            <w:pPr>
              <w:pStyle w:val="13"/>
              <w:snapToGrid w:val="0"/>
              <w:spacing w:line="504" w:lineRule="auto"/>
              <w:jc w:val="center"/>
              <w:rPr>
                <w:rFonts w:hAnsi="宋体" w:cs="宋体"/>
                <w:kern w:val="0"/>
                <w:szCs w:val="21"/>
              </w:rPr>
            </w:pPr>
            <w:r>
              <w:rPr>
                <w:rFonts w:hint="eastAsia" w:hAnsi="宋体" w:cs="宋体"/>
                <w:kern w:val="0"/>
                <w:szCs w:val="21"/>
              </w:rPr>
              <w:t>采购人</w:t>
            </w:r>
          </w:p>
        </w:tc>
        <w:tc>
          <w:tcPr>
            <w:tcW w:w="6676" w:type="dxa"/>
            <w:vAlign w:val="center"/>
          </w:tcPr>
          <w:p w14:paraId="0D6D0C11">
            <w:pPr>
              <w:snapToGrid w:val="0"/>
              <w:spacing w:line="504"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名 称：</w:t>
            </w:r>
            <w:r>
              <w:rPr>
                <w:rFonts w:hint="eastAsia" w:ascii="宋体" w:hAnsi="宋体" w:cs="宋体"/>
                <w:color w:val="auto"/>
                <w:szCs w:val="21"/>
                <w:highlight w:val="none"/>
                <w:lang w:eastAsia="zh-CN"/>
              </w:rPr>
              <w:t>广西壮族自治区生态环境厅</w:t>
            </w:r>
          </w:p>
          <w:p w14:paraId="2F28C7DB">
            <w:pPr>
              <w:snapToGrid w:val="0"/>
              <w:spacing w:line="504"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地址：</w:t>
            </w:r>
            <w:r>
              <w:rPr>
                <w:rFonts w:hint="eastAsia" w:ascii="宋体" w:hAnsi="宋体" w:eastAsia="宋体" w:cs="宋体"/>
                <w:color w:val="auto"/>
                <w:szCs w:val="21"/>
                <w:highlight w:val="none"/>
              </w:rPr>
              <w:t>南宁市青秀区佛子岭路16号</w:t>
            </w:r>
          </w:p>
          <w:p w14:paraId="1E7ADC8A">
            <w:pPr>
              <w:snapToGrid w:val="0"/>
              <w:spacing w:line="504" w:lineRule="auto"/>
              <w:jc w:val="left"/>
              <w:rPr>
                <w:rFonts w:hint="eastAsia" w:ascii="宋体" w:hAnsi="宋体" w:cs="宋体"/>
                <w:color w:val="auto"/>
                <w:szCs w:val="21"/>
                <w:lang w:eastAsia="zh-CN"/>
              </w:rPr>
            </w:pPr>
            <w:r>
              <w:rPr>
                <w:rFonts w:hint="eastAsia" w:ascii="宋体" w:hAnsi="宋体" w:cs="宋体"/>
                <w:color w:val="auto"/>
                <w:szCs w:val="21"/>
              </w:rPr>
              <w:t>联系人：</w:t>
            </w:r>
            <w:r>
              <w:rPr>
                <w:rFonts w:hint="eastAsia" w:ascii="宋体" w:hAnsi="宋体" w:cs="宋体"/>
                <w:color w:val="auto"/>
                <w:szCs w:val="21"/>
                <w:lang w:eastAsia="zh-CN"/>
              </w:rPr>
              <w:t>张工</w:t>
            </w:r>
          </w:p>
          <w:p w14:paraId="7F2C8F3E">
            <w:pPr>
              <w:snapToGrid w:val="0"/>
              <w:spacing w:line="504" w:lineRule="auto"/>
              <w:jc w:val="left"/>
              <w:rPr>
                <w:rFonts w:ascii="宋体" w:hAnsi="宋体" w:cs="宋体"/>
                <w:color w:val="auto"/>
                <w:szCs w:val="21"/>
              </w:rPr>
            </w:pPr>
            <w:r>
              <w:rPr>
                <w:rFonts w:hint="eastAsia" w:ascii="宋体" w:hAnsi="宋体" w:cs="宋体"/>
                <w:color w:val="auto"/>
                <w:szCs w:val="21"/>
              </w:rPr>
              <w:t>联系</w:t>
            </w:r>
            <w:r>
              <w:rPr>
                <w:rFonts w:hint="eastAsia" w:ascii="宋体" w:hAnsi="宋体" w:cs="宋体"/>
                <w:color w:val="auto"/>
                <w:szCs w:val="21"/>
                <w:lang w:eastAsia="zh-CN"/>
              </w:rPr>
              <w:t>电话：</w:t>
            </w:r>
            <w:r>
              <w:rPr>
                <w:rFonts w:hint="eastAsia" w:ascii="宋体" w:hAnsi="宋体" w:cs="宋体"/>
                <w:color w:val="auto"/>
                <w:szCs w:val="21"/>
                <w:lang w:val="en-US" w:eastAsia="zh-CN"/>
              </w:rPr>
              <w:t>0771-2853299</w:t>
            </w:r>
          </w:p>
        </w:tc>
      </w:tr>
      <w:tr w14:paraId="3888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63943AF5">
            <w:pPr>
              <w:pStyle w:val="13"/>
              <w:snapToGrid w:val="0"/>
              <w:spacing w:line="504" w:lineRule="auto"/>
              <w:jc w:val="center"/>
              <w:rPr>
                <w:rFonts w:hAnsi="宋体" w:cs="宋体"/>
                <w:kern w:val="0"/>
                <w:szCs w:val="21"/>
              </w:rPr>
            </w:pPr>
            <w:r>
              <w:rPr>
                <w:rFonts w:hint="eastAsia" w:hAnsi="宋体" w:cs="宋体"/>
                <w:kern w:val="0"/>
                <w:szCs w:val="21"/>
              </w:rPr>
              <w:t>1.2</w:t>
            </w:r>
          </w:p>
        </w:tc>
        <w:tc>
          <w:tcPr>
            <w:tcW w:w="2539" w:type="dxa"/>
            <w:vAlign w:val="center"/>
          </w:tcPr>
          <w:p w14:paraId="4BAA65C1">
            <w:pPr>
              <w:pStyle w:val="13"/>
              <w:snapToGrid w:val="0"/>
              <w:spacing w:line="504" w:lineRule="auto"/>
              <w:jc w:val="center"/>
              <w:rPr>
                <w:rFonts w:hAnsi="宋体" w:cs="宋体"/>
                <w:kern w:val="0"/>
                <w:szCs w:val="21"/>
              </w:rPr>
            </w:pPr>
            <w:r>
              <w:rPr>
                <w:rFonts w:hint="eastAsia" w:hAnsi="宋体" w:cs="宋体"/>
                <w:kern w:val="0"/>
                <w:szCs w:val="21"/>
              </w:rPr>
              <w:t>采购代理机构</w:t>
            </w:r>
          </w:p>
        </w:tc>
        <w:tc>
          <w:tcPr>
            <w:tcW w:w="6676" w:type="dxa"/>
            <w:vAlign w:val="center"/>
          </w:tcPr>
          <w:p w14:paraId="4844583B">
            <w:pPr>
              <w:snapToGrid w:val="0"/>
              <w:spacing w:line="504" w:lineRule="auto"/>
              <w:jc w:val="left"/>
              <w:rPr>
                <w:rFonts w:hint="eastAsia" w:ascii="宋体" w:hAnsi="宋体" w:eastAsia="宋体" w:cs="宋体"/>
                <w:color w:val="auto"/>
                <w:szCs w:val="21"/>
              </w:rPr>
            </w:pPr>
            <w:r>
              <w:rPr>
                <w:rFonts w:hint="eastAsia" w:ascii="宋体" w:hAnsi="宋体" w:eastAsia="宋体" w:cs="宋体"/>
                <w:color w:val="auto"/>
                <w:szCs w:val="21"/>
              </w:rPr>
              <w:t xml:space="preserve">名称：上海正弘建设工程顾问有限公司 </w:t>
            </w:r>
          </w:p>
          <w:p w14:paraId="11833CDC">
            <w:pPr>
              <w:snapToGrid w:val="0"/>
              <w:spacing w:line="504" w:lineRule="auto"/>
              <w:jc w:val="left"/>
              <w:rPr>
                <w:rFonts w:hint="eastAsia" w:ascii="宋体" w:hAnsi="宋体" w:eastAsia="宋体" w:cs="宋体"/>
                <w:color w:val="auto"/>
                <w:szCs w:val="21"/>
              </w:rPr>
            </w:pPr>
            <w:r>
              <w:rPr>
                <w:rFonts w:hint="eastAsia" w:ascii="宋体" w:hAnsi="宋体" w:eastAsia="宋体" w:cs="宋体"/>
                <w:color w:val="auto"/>
                <w:szCs w:val="21"/>
              </w:rPr>
              <w:t>地址：南宁市青秀区东葛路163号绿地中央广场B1栋9层（东面） </w:t>
            </w:r>
          </w:p>
          <w:p w14:paraId="121C3679">
            <w:pPr>
              <w:snapToGrid w:val="0"/>
              <w:spacing w:line="504" w:lineRule="auto"/>
              <w:jc w:val="left"/>
              <w:rPr>
                <w:rFonts w:hint="eastAsia" w:ascii="宋体" w:hAnsi="宋体" w:eastAsia="宋体" w:cs="宋体"/>
                <w:color w:val="auto"/>
                <w:szCs w:val="21"/>
              </w:rPr>
            </w:pPr>
            <w:r>
              <w:rPr>
                <w:rFonts w:hint="eastAsia" w:ascii="宋体" w:hAnsi="宋体" w:eastAsia="宋体" w:cs="宋体"/>
                <w:color w:val="auto"/>
                <w:szCs w:val="21"/>
              </w:rPr>
              <w:t>项目联系人：李冬宁</w:t>
            </w:r>
          </w:p>
          <w:p w14:paraId="4583F592">
            <w:pPr>
              <w:snapToGrid w:val="0"/>
              <w:spacing w:line="504" w:lineRule="auto"/>
              <w:jc w:val="left"/>
              <w:rPr>
                <w:rFonts w:ascii="宋体" w:hAnsi="宋体" w:cs="宋体"/>
                <w:color w:val="auto"/>
                <w:kern w:val="0"/>
                <w:szCs w:val="21"/>
              </w:rPr>
            </w:pPr>
            <w:r>
              <w:rPr>
                <w:rFonts w:hint="eastAsia" w:ascii="宋体" w:hAnsi="宋体" w:eastAsia="宋体" w:cs="宋体"/>
                <w:color w:val="auto"/>
                <w:szCs w:val="21"/>
              </w:rPr>
              <w:t>联系电话：0771-5300530</w:t>
            </w:r>
          </w:p>
        </w:tc>
      </w:tr>
      <w:tr w14:paraId="4FF0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04" w:type="dxa"/>
            <w:vAlign w:val="center"/>
          </w:tcPr>
          <w:p w14:paraId="3E3D7C1A">
            <w:pPr>
              <w:jc w:val="center"/>
              <w:rPr>
                <w:rFonts w:ascii="宋体" w:hAnsi="宋体" w:cs="宋体"/>
                <w:szCs w:val="21"/>
              </w:rPr>
            </w:pPr>
            <w:r>
              <w:rPr>
                <w:rFonts w:hint="eastAsia" w:ascii="宋体" w:hAnsi="宋体" w:cs="宋体"/>
                <w:szCs w:val="21"/>
              </w:rPr>
              <w:t>1.3</w:t>
            </w:r>
          </w:p>
        </w:tc>
        <w:tc>
          <w:tcPr>
            <w:tcW w:w="2539" w:type="dxa"/>
            <w:vAlign w:val="center"/>
          </w:tcPr>
          <w:p w14:paraId="04861AB9">
            <w:pPr>
              <w:jc w:val="center"/>
              <w:rPr>
                <w:rFonts w:ascii="宋体" w:hAnsi="宋体" w:cs="宋体"/>
                <w:szCs w:val="21"/>
              </w:rPr>
            </w:pPr>
            <w:r>
              <w:rPr>
                <w:rFonts w:hint="eastAsia" w:ascii="宋体" w:hAnsi="宋体" w:cs="宋体"/>
                <w:szCs w:val="21"/>
              </w:rPr>
              <w:t>项目名称</w:t>
            </w:r>
          </w:p>
        </w:tc>
        <w:tc>
          <w:tcPr>
            <w:tcW w:w="6676" w:type="dxa"/>
            <w:vAlign w:val="center"/>
          </w:tcPr>
          <w:p w14:paraId="46DD9331">
            <w:pPr>
              <w:jc w:val="left"/>
              <w:rPr>
                <w:rFonts w:hint="eastAsia" w:ascii="宋体" w:hAnsi="宋体" w:eastAsia="宋体" w:cs="宋体"/>
                <w:szCs w:val="21"/>
                <w:lang w:eastAsia="zh-CN"/>
              </w:rPr>
            </w:pPr>
            <w:r>
              <w:rPr>
                <w:rFonts w:hint="eastAsia" w:ascii="宋体" w:hAnsi="宋体" w:cs="宋体"/>
                <w:szCs w:val="21"/>
                <w:lang w:eastAsia="zh-CN"/>
              </w:rPr>
              <w:t>2025年12个直属单位内部审计服务</w:t>
            </w:r>
          </w:p>
        </w:tc>
      </w:tr>
      <w:tr w14:paraId="5E71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04" w:type="dxa"/>
            <w:vAlign w:val="center"/>
          </w:tcPr>
          <w:p w14:paraId="11F02226">
            <w:pPr>
              <w:jc w:val="center"/>
              <w:rPr>
                <w:rFonts w:ascii="宋体" w:hAnsi="宋体" w:cs="宋体"/>
                <w:szCs w:val="21"/>
              </w:rPr>
            </w:pPr>
            <w:r>
              <w:rPr>
                <w:rFonts w:hint="eastAsia" w:ascii="宋体" w:hAnsi="宋体" w:cs="宋体"/>
                <w:szCs w:val="21"/>
              </w:rPr>
              <w:t>1.4</w:t>
            </w:r>
          </w:p>
        </w:tc>
        <w:tc>
          <w:tcPr>
            <w:tcW w:w="2539" w:type="dxa"/>
            <w:vAlign w:val="center"/>
          </w:tcPr>
          <w:p w14:paraId="7690D707">
            <w:pPr>
              <w:jc w:val="center"/>
              <w:rPr>
                <w:rFonts w:ascii="宋体" w:hAnsi="宋体" w:cs="宋体"/>
                <w:szCs w:val="21"/>
              </w:rPr>
            </w:pPr>
            <w:r>
              <w:rPr>
                <w:rFonts w:hint="eastAsia" w:ascii="宋体" w:hAnsi="宋体" w:cs="宋体"/>
                <w:szCs w:val="21"/>
              </w:rPr>
              <w:t>项目编号</w:t>
            </w:r>
          </w:p>
        </w:tc>
        <w:tc>
          <w:tcPr>
            <w:tcW w:w="6676" w:type="dxa"/>
            <w:vAlign w:val="center"/>
          </w:tcPr>
          <w:p w14:paraId="63400899">
            <w:pPr>
              <w:rPr>
                <w:rFonts w:hint="eastAsia" w:ascii="宋体" w:hAnsi="宋体" w:eastAsia="宋体" w:cs="宋体"/>
                <w:szCs w:val="21"/>
                <w:lang w:val="en-US" w:eastAsia="zh-CN"/>
              </w:rPr>
            </w:pPr>
            <w:r>
              <w:rPr>
                <w:rFonts w:hint="eastAsia" w:ascii="宋体" w:hAnsi="宋体" w:cs="宋体"/>
                <w:szCs w:val="21"/>
                <w:lang w:eastAsia="zh-CN"/>
              </w:rPr>
              <w:t>ZHGX-2025-029</w:t>
            </w:r>
          </w:p>
        </w:tc>
      </w:tr>
      <w:tr w14:paraId="78A8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04" w:type="dxa"/>
            <w:vAlign w:val="center"/>
          </w:tcPr>
          <w:p w14:paraId="1427CCF9">
            <w:pPr>
              <w:jc w:val="center"/>
              <w:rPr>
                <w:rFonts w:ascii="宋体" w:hAnsi="宋体" w:cs="宋体"/>
                <w:szCs w:val="21"/>
              </w:rPr>
            </w:pPr>
            <w:r>
              <w:rPr>
                <w:rFonts w:hint="eastAsia" w:ascii="宋体" w:hAnsi="宋体" w:cs="宋体"/>
                <w:szCs w:val="21"/>
              </w:rPr>
              <w:t>1.5</w:t>
            </w:r>
          </w:p>
        </w:tc>
        <w:tc>
          <w:tcPr>
            <w:tcW w:w="2539" w:type="dxa"/>
            <w:vAlign w:val="center"/>
          </w:tcPr>
          <w:p w14:paraId="3F7C6712">
            <w:pPr>
              <w:jc w:val="center"/>
              <w:rPr>
                <w:rFonts w:ascii="宋体" w:hAnsi="宋体" w:cs="宋体"/>
                <w:szCs w:val="21"/>
              </w:rPr>
            </w:pPr>
            <w:r>
              <w:rPr>
                <w:rFonts w:hint="eastAsia" w:ascii="宋体" w:hAnsi="宋体" w:cs="宋体"/>
                <w:szCs w:val="21"/>
              </w:rPr>
              <w:t>采购预算</w:t>
            </w:r>
          </w:p>
        </w:tc>
        <w:tc>
          <w:tcPr>
            <w:tcW w:w="6676" w:type="dxa"/>
            <w:vAlign w:val="center"/>
          </w:tcPr>
          <w:p w14:paraId="25255C9B">
            <w:pPr>
              <w:rPr>
                <w:rFonts w:ascii="宋体" w:hAnsi="宋体" w:cs="宋体"/>
                <w:szCs w:val="21"/>
              </w:rPr>
            </w:pPr>
            <w:r>
              <w:rPr>
                <w:rFonts w:hint="eastAsia" w:ascii="宋体" w:hAnsi="宋体" w:cs="宋体"/>
                <w:szCs w:val="21"/>
              </w:rPr>
              <w:t>人民币</w:t>
            </w:r>
            <w:r>
              <w:rPr>
                <w:rFonts w:hint="eastAsia" w:ascii="宋体" w:hAnsi="宋体" w:cs="宋体"/>
                <w:szCs w:val="21"/>
                <w:lang w:eastAsia="zh-CN"/>
              </w:rPr>
              <w:t>伍拾伍万元整</w:t>
            </w:r>
            <w:r>
              <w:rPr>
                <w:rFonts w:hint="eastAsia" w:ascii="宋体" w:hAnsi="宋体" w:cs="宋体"/>
                <w:szCs w:val="21"/>
              </w:rPr>
              <w:t>（¥</w:t>
            </w:r>
            <w:r>
              <w:rPr>
                <w:rFonts w:hint="eastAsia" w:ascii="宋体" w:hAnsi="宋体" w:cs="宋体"/>
                <w:szCs w:val="21"/>
                <w:lang w:val="en-US" w:eastAsia="zh-CN"/>
              </w:rPr>
              <w:t>550</w:t>
            </w:r>
            <w:r>
              <w:rPr>
                <w:rFonts w:hint="eastAsia" w:ascii="宋体" w:hAnsi="宋体" w:cs="宋体"/>
                <w:szCs w:val="21"/>
              </w:rPr>
              <w:t>000.00元）</w:t>
            </w:r>
          </w:p>
        </w:tc>
      </w:tr>
      <w:tr w14:paraId="7DCB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2099B169">
            <w:pPr>
              <w:pStyle w:val="13"/>
              <w:snapToGrid w:val="0"/>
              <w:spacing w:line="504" w:lineRule="auto"/>
              <w:jc w:val="center"/>
              <w:rPr>
                <w:rFonts w:hAnsi="宋体" w:cs="宋体"/>
                <w:kern w:val="0"/>
                <w:szCs w:val="21"/>
              </w:rPr>
            </w:pPr>
            <w:r>
              <w:rPr>
                <w:rFonts w:hint="eastAsia" w:hAnsi="宋体" w:cs="宋体"/>
                <w:kern w:val="0"/>
                <w:szCs w:val="21"/>
              </w:rPr>
              <w:t>1.7</w:t>
            </w:r>
          </w:p>
        </w:tc>
        <w:tc>
          <w:tcPr>
            <w:tcW w:w="2539" w:type="dxa"/>
            <w:vAlign w:val="center"/>
          </w:tcPr>
          <w:p w14:paraId="663EA4F7">
            <w:pPr>
              <w:pStyle w:val="13"/>
              <w:snapToGrid w:val="0"/>
              <w:spacing w:line="504" w:lineRule="auto"/>
              <w:jc w:val="left"/>
              <w:rPr>
                <w:rFonts w:hAnsi="宋体" w:cs="宋体"/>
                <w:kern w:val="0"/>
                <w:szCs w:val="21"/>
              </w:rPr>
            </w:pPr>
            <w:r>
              <w:rPr>
                <w:rFonts w:hint="eastAsia" w:hAnsi="宋体" w:cs="宋体"/>
                <w:kern w:val="0"/>
                <w:szCs w:val="21"/>
              </w:rPr>
              <w:t>获取竞争性磋商文件的时间、地点、方式及竞争性磋商文件售价</w:t>
            </w:r>
          </w:p>
        </w:tc>
        <w:tc>
          <w:tcPr>
            <w:tcW w:w="6676" w:type="dxa"/>
            <w:vAlign w:val="center"/>
          </w:tcPr>
          <w:p w14:paraId="05232957">
            <w:pPr>
              <w:numPr>
                <w:ilvl w:val="0"/>
                <w:numId w:val="0"/>
              </w:numPr>
              <w:spacing w:line="504" w:lineRule="auto"/>
              <w:rPr>
                <w:rFonts w:ascii="宋体" w:hAnsi="宋体" w:cs="宋体"/>
                <w:szCs w:val="21"/>
              </w:rPr>
            </w:pPr>
            <w:r>
              <w:rPr>
                <w:rFonts w:hint="eastAsia" w:ascii="宋体" w:hAnsi="宋体" w:cs="宋体"/>
                <w:szCs w:val="21"/>
                <w:lang w:eastAsia="zh-CN"/>
              </w:rPr>
              <w:t>详见磋商公告</w:t>
            </w:r>
          </w:p>
        </w:tc>
      </w:tr>
      <w:tr w14:paraId="7D80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45295651">
            <w:pPr>
              <w:jc w:val="center"/>
              <w:rPr>
                <w:rFonts w:ascii="宋体" w:hAnsi="宋体" w:cs="宋体"/>
                <w:szCs w:val="21"/>
              </w:rPr>
            </w:pPr>
            <w:r>
              <w:rPr>
                <w:rFonts w:hint="eastAsia" w:ascii="宋体" w:hAnsi="宋体" w:cs="宋体"/>
                <w:szCs w:val="21"/>
              </w:rPr>
              <w:t>1.8</w:t>
            </w:r>
          </w:p>
        </w:tc>
        <w:tc>
          <w:tcPr>
            <w:tcW w:w="2539" w:type="dxa"/>
            <w:vAlign w:val="center"/>
          </w:tcPr>
          <w:p w14:paraId="2299D967">
            <w:pPr>
              <w:jc w:val="center"/>
              <w:rPr>
                <w:rFonts w:ascii="宋体" w:hAnsi="宋体" w:cs="宋体"/>
                <w:szCs w:val="21"/>
              </w:rPr>
            </w:pPr>
            <w:r>
              <w:rPr>
                <w:rFonts w:hint="eastAsia" w:ascii="宋体" w:hAnsi="宋体" w:cs="宋体"/>
                <w:szCs w:val="21"/>
              </w:rPr>
              <w:t>预留采购份额</w:t>
            </w:r>
          </w:p>
        </w:tc>
        <w:tc>
          <w:tcPr>
            <w:tcW w:w="6676" w:type="dxa"/>
            <w:vAlign w:val="center"/>
          </w:tcPr>
          <w:p w14:paraId="1B899A4F">
            <w:pPr>
              <w:spacing w:line="504" w:lineRule="auto"/>
              <w:jc w:val="left"/>
              <w:rPr>
                <w:rFonts w:ascii="宋体" w:hAnsi="宋体" w:cs="宋体"/>
                <w:szCs w:val="21"/>
              </w:rPr>
            </w:pPr>
            <w:r>
              <w:rPr>
                <w:rFonts w:hint="eastAsia" w:ascii="宋体" w:hAnsi="宋体" w:cs="宋体"/>
                <w:szCs w:val="21"/>
              </w:rPr>
              <w:t>无</w:t>
            </w:r>
          </w:p>
        </w:tc>
      </w:tr>
      <w:tr w14:paraId="5D7D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1C3AB024">
            <w:pPr>
              <w:pStyle w:val="13"/>
              <w:snapToGrid w:val="0"/>
              <w:spacing w:line="504" w:lineRule="auto"/>
              <w:jc w:val="center"/>
              <w:rPr>
                <w:rFonts w:hAnsi="宋体" w:cs="宋体"/>
                <w:kern w:val="0"/>
                <w:szCs w:val="21"/>
              </w:rPr>
            </w:pPr>
            <w:r>
              <w:rPr>
                <w:rFonts w:hint="eastAsia" w:hAnsi="宋体" w:cs="宋体"/>
                <w:kern w:val="0"/>
                <w:szCs w:val="21"/>
              </w:rPr>
              <w:t>3.2</w:t>
            </w:r>
          </w:p>
        </w:tc>
        <w:tc>
          <w:tcPr>
            <w:tcW w:w="2539" w:type="dxa"/>
            <w:vAlign w:val="center"/>
          </w:tcPr>
          <w:p w14:paraId="0BAD1B29">
            <w:pPr>
              <w:pStyle w:val="13"/>
              <w:snapToGrid w:val="0"/>
              <w:spacing w:line="504" w:lineRule="auto"/>
              <w:jc w:val="center"/>
              <w:rPr>
                <w:rFonts w:hAnsi="宋体" w:cs="宋体"/>
                <w:kern w:val="0"/>
                <w:szCs w:val="21"/>
              </w:rPr>
            </w:pPr>
            <w:r>
              <w:rPr>
                <w:rFonts w:hint="eastAsia" w:hAnsi="宋体" w:cs="宋体"/>
                <w:kern w:val="0"/>
                <w:szCs w:val="21"/>
              </w:rPr>
              <w:t>磋商供应商应具备的资格条件</w:t>
            </w:r>
          </w:p>
        </w:tc>
        <w:tc>
          <w:tcPr>
            <w:tcW w:w="6676" w:type="dxa"/>
            <w:vAlign w:val="center"/>
          </w:tcPr>
          <w:p w14:paraId="3E5AA328">
            <w:pPr>
              <w:snapToGrid w:val="0"/>
              <w:spacing w:line="48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申请人的资格要求：</w:t>
            </w:r>
          </w:p>
          <w:p w14:paraId="673B3478">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C17FB24">
            <w:pPr>
              <w:snapToGrid w:val="0"/>
              <w:spacing w:line="4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Cs w:val="21"/>
                <w:highlight w:val="none"/>
                <w:lang w:eastAsia="zh-CN"/>
              </w:rPr>
              <w:t>无。</w:t>
            </w:r>
          </w:p>
          <w:p w14:paraId="6812B7C9">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eastAsia="zh-CN"/>
              </w:rPr>
              <w:t>具有财政主管部门颁发的会计师事务所执业证书，在人员、设备、资金等方面具有相应的能力和良好的信誉</w:t>
            </w:r>
            <w:r>
              <w:rPr>
                <w:rFonts w:hint="eastAsia" w:ascii="宋体" w:hAnsi="宋体" w:eastAsia="宋体" w:cs="宋体"/>
                <w:color w:val="auto"/>
                <w:szCs w:val="21"/>
                <w:highlight w:val="none"/>
              </w:rPr>
              <w:t>。</w:t>
            </w:r>
          </w:p>
          <w:p w14:paraId="20E67429">
            <w:pPr>
              <w:snapToGrid w:val="0"/>
              <w:spacing w:line="480" w:lineRule="exact"/>
              <w:ind w:firstLine="420" w:firstLineChars="200"/>
              <w:rPr>
                <w:rFonts w:ascii="宋体" w:hAnsi="宋体" w:cs="宋体"/>
                <w:szCs w:val="21"/>
              </w:rPr>
            </w:pPr>
            <w:r>
              <w:rPr>
                <w:rFonts w:hint="eastAsia" w:ascii="宋体" w:hAnsi="宋体" w:eastAsia="宋体" w:cs="宋体"/>
                <w:color w:val="auto"/>
                <w:szCs w:val="21"/>
                <w:highlight w:val="none"/>
              </w:rPr>
              <w:t>4、对在“信用中国”</w:t>
            </w:r>
            <w:r>
              <w:rPr>
                <w:rFonts w:hint="eastAsia" w:ascii="宋体" w:hAnsi="宋体" w:cs="宋体"/>
                <w:color w:val="auto"/>
                <w:szCs w:val="21"/>
                <w:highlight w:val="none"/>
              </w:rPr>
              <w:t>网站(www.creditchina.gov.cn)、中国政</w:t>
            </w:r>
            <w:r>
              <w:rPr>
                <w:rFonts w:hint="eastAsia" w:ascii="宋体" w:hAnsi="宋体" w:cs="宋体"/>
                <w:szCs w:val="21"/>
              </w:rPr>
              <w:t>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73C416F6">
            <w:pPr>
              <w:snapToGrid w:val="0"/>
              <w:spacing w:line="480" w:lineRule="exact"/>
              <w:ind w:firstLine="420" w:firstLineChars="200"/>
              <w:rPr>
                <w:rFonts w:ascii="宋体" w:hAnsi="宋体" w:cs="宋体"/>
                <w:szCs w:val="21"/>
              </w:rPr>
            </w:pPr>
            <w:r>
              <w:rPr>
                <w:rFonts w:hint="eastAsia" w:ascii="宋体" w:hAnsi="宋体" w:cs="宋体"/>
                <w:szCs w:val="21"/>
              </w:rPr>
              <w:t>5、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2553C702">
            <w:pPr>
              <w:snapToGrid w:val="0"/>
              <w:spacing w:line="480" w:lineRule="exact"/>
              <w:ind w:firstLine="420" w:firstLineChars="200"/>
              <w:rPr>
                <w:rFonts w:ascii="宋体" w:hAnsi="宋体" w:cs="宋体"/>
                <w:szCs w:val="21"/>
              </w:rPr>
            </w:pPr>
            <w:r>
              <w:rPr>
                <w:rFonts w:hint="eastAsia" w:ascii="宋体" w:hAnsi="宋体" w:cs="宋体"/>
                <w:szCs w:val="21"/>
              </w:rPr>
              <w:t>6、本项目不接受联合体。</w:t>
            </w:r>
          </w:p>
        </w:tc>
      </w:tr>
      <w:tr w14:paraId="43F1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3A9C9C29">
            <w:pPr>
              <w:pStyle w:val="13"/>
              <w:snapToGrid w:val="0"/>
              <w:spacing w:line="504" w:lineRule="auto"/>
              <w:jc w:val="center"/>
              <w:rPr>
                <w:rFonts w:hAnsi="宋体" w:cs="宋体"/>
                <w:kern w:val="0"/>
                <w:szCs w:val="21"/>
              </w:rPr>
            </w:pPr>
            <w:r>
              <w:rPr>
                <w:rFonts w:hint="eastAsia" w:hAnsi="宋体" w:cs="宋体"/>
                <w:kern w:val="0"/>
                <w:szCs w:val="21"/>
              </w:rPr>
              <w:t>4.2</w:t>
            </w:r>
          </w:p>
        </w:tc>
        <w:tc>
          <w:tcPr>
            <w:tcW w:w="2539" w:type="dxa"/>
            <w:vAlign w:val="center"/>
          </w:tcPr>
          <w:p w14:paraId="5BD3BFD4">
            <w:pPr>
              <w:pStyle w:val="13"/>
              <w:snapToGrid w:val="0"/>
              <w:spacing w:line="504" w:lineRule="auto"/>
              <w:jc w:val="center"/>
              <w:rPr>
                <w:rFonts w:hAnsi="宋体" w:cs="宋体"/>
                <w:kern w:val="0"/>
                <w:szCs w:val="21"/>
              </w:rPr>
            </w:pPr>
            <w:r>
              <w:rPr>
                <w:rFonts w:hint="eastAsia" w:hAnsi="宋体" w:cs="宋体"/>
                <w:kern w:val="0"/>
                <w:szCs w:val="21"/>
              </w:rPr>
              <w:t>质疑受理</w:t>
            </w:r>
          </w:p>
        </w:tc>
        <w:tc>
          <w:tcPr>
            <w:tcW w:w="6676" w:type="dxa"/>
            <w:vAlign w:val="center"/>
          </w:tcPr>
          <w:p w14:paraId="4AA55B66">
            <w:pPr>
              <w:snapToGrid w:val="0"/>
              <w:spacing w:line="480" w:lineRule="exact"/>
              <w:rPr>
                <w:rFonts w:hint="eastAsia" w:ascii="宋体" w:hAnsi="宋体" w:eastAsia="宋体" w:cs="宋体"/>
                <w:szCs w:val="21"/>
              </w:rPr>
            </w:pPr>
            <w:r>
              <w:rPr>
                <w:rFonts w:hint="eastAsia" w:ascii="宋体" w:hAnsi="宋体" w:eastAsia="宋体" w:cs="宋体"/>
                <w:szCs w:val="21"/>
              </w:rPr>
              <w:t>质疑书的提交地点：上海正弘建设工程顾问有限公司 （地址：南宁市青秀区东葛路163号绿地中央广场B1栋9层（东面））</w:t>
            </w:r>
          </w:p>
          <w:p w14:paraId="417D2D25">
            <w:pPr>
              <w:snapToGrid w:val="0"/>
              <w:spacing w:line="480" w:lineRule="exact"/>
              <w:rPr>
                <w:rFonts w:ascii="宋体" w:hAnsi="宋体" w:cs="宋体"/>
                <w:kern w:val="0"/>
                <w:szCs w:val="21"/>
              </w:rPr>
            </w:pPr>
            <w:r>
              <w:rPr>
                <w:rFonts w:hint="eastAsia" w:ascii="宋体" w:hAnsi="宋体" w:eastAsia="宋体" w:cs="宋体"/>
                <w:szCs w:val="21"/>
              </w:rPr>
              <w:t>质疑受理电话：0771-5300530</w:t>
            </w:r>
          </w:p>
        </w:tc>
      </w:tr>
      <w:tr w14:paraId="2412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1DBA24E1">
            <w:pPr>
              <w:pStyle w:val="13"/>
              <w:snapToGrid w:val="0"/>
              <w:spacing w:line="504" w:lineRule="auto"/>
              <w:jc w:val="center"/>
              <w:rPr>
                <w:rFonts w:hAnsi="宋体" w:cs="宋体"/>
                <w:kern w:val="0"/>
                <w:szCs w:val="21"/>
              </w:rPr>
            </w:pPr>
            <w:r>
              <w:rPr>
                <w:rFonts w:hint="eastAsia" w:hAnsi="宋体" w:cs="宋体"/>
                <w:kern w:val="0"/>
                <w:szCs w:val="21"/>
              </w:rPr>
              <w:t>8.8</w:t>
            </w:r>
          </w:p>
        </w:tc>
        <w:tc>
          <w:tcPr>
            <w:tcW w:w="2539" w:type="dxa"/>
            <w:vAlign w:val="center"/>
          </w:tcPr>
          <w:p w14:paraId="2745D798">
            <w:pPr>
              <w:pStyle w:val="13"/>
              <w:snapToGrid w:val="0"/>
              <w:spacing w:line="504" w:lineRule="auto"/>
              <w:jc w:val="center"/>
              <w:rPr>
                <w:rFonts w:hAnsi="宋体" w:cs="宋体"/>
                <w:kern w:val="0"/>
                <w:szCs w:val="21"/>
              </w:rPr>
            </w:pPr>
            <w:r>
              <w:rPr>
                <w:rFonts w:hint="eastAsia" w:hAnsi="宋体" w:cs="宋体"/>
                <w:kern w:val="0"/>
                <w:szCs w:val="21"/>
              </w:rPr>
              <w:t>响应文件份数</w:t>
            </w:r>
          </w:p>
        </w:tc>
        <w:tc>
          <w:tcPr>
            <w:tcW w:w="6676" w:type="dxa"/>
            <w:vAlign w:val="center"/>
          </w:tcPr>
          <w:p w14:paraId="4C557BB3">
            <w:pPr>
              <w:snapToGrid w:val="0"/>
              <w:spacing w:line="480" w:lineRule="exact"/>
              <w:rPr>
                <w:rFonts w:hint="eastAsia" w:ascii="宋体" w:hAnsi="宋体" w:eastAsia="宋体" w:cs="宋体"/>
                <w:szCs w:val="21"/>
                <w:lang w:eastAsia="zh-CN"/>
              </w:rPr>
            </w:pPr>
            <w:r>
              <w:rPr>
                <w:rFonts w:hint="eastAsia" w:ascii="宋体" w:hAnsi="宋体" w:eastAsia="宋体" w:cs="宋体"/>
                <w:szCs w:val="21"/>
              </w:rPr>
              <w:t>报价文件：正本1份，副本</w:t>
            </w:r>
            <w:r>
              <w:rPr>
                <w:rFonts w:hint="eastAsia" w:ascii="宋体" w:hAnsi="宋体" w:eastAsia="宋体" w:cs="宋体"/>
                <w:szCs w:val="21"/>
                <w:lang w:val="en-US" w:eastAsia="zh-CN"/>
              </w:rPr>
              <w:t>2</w:t>
            </w:r>
            <w:r>
              <w:rPr>
                <w:rFonts w:hint="eastAsia" w:ascii="宋体" w:hAnsi="宋体" w:eastAsia="宋体" w:cs="宋体"/>
                <w:szCs w:val="21"/>
              </w:rPr>
              <w:t>份</w:t>
            </w:r>
            <w:r>
              <w:rPr>
                <w:rFonts w:hint="eastAsia" w:ascii="宋体" w:hAnsi="宋体" w:eastAsia="宋体" w:cs="宋体"/>
                <w:szCs w:val="21"/>
                <w:lang w:eastAsia="zh-CN"/>
              </w:rPr>
              <w:t>；</w:t>
            </w:r>
          </w:p>
          <w:p w14:paraId="22A60C8F">
            <w:pPr>
              <w:snapToGrid w:val="0"/>
              <w:spacing w:line="480" w:lineRule="exact"/>
              <w:rPr>
                <w:rFonts w:hint="eastAsia" w:ascii="宋体" w:hAnsi="宋体" w:eastAsia="宋体" w:cs="宋体"/>
                <w:szCs w:val="21"/>
                <w:lang w:eastAsia="zh-CN"/>
              </w:rPr>
            </w:pPr>
            <w:r>
              <w:rPr>
                <w:rFonts w:hint="eastAsia" w:ascii="宋体" w:hAnsi="宋体" w:eastAsia="宋体" w:cs="宋体"/>
                <w:szCs w:val="21"/>
              </w:rPr>
              <w:t>商务文件：正本1份，副本</w:t>
            </w:r>
            <w:r>
              <w:rPr>
                <w:rFonts w:hint="eastAsia" w:ascii="宋体" w:hAnsi="宋体" w:eastAsia="宋体" w:cs="宋体"/>
                <w:szCs w:val="21"/>
                <w:lang w:val="en-US" w:eastAsia="zh-CN"/>
              </w:rPr>
              <w:t>2</w:t>
            </w:r>
            <w:r>
              <w:rPr>
                <w:rFonts w:hint="eastAsia" w:ascii="宋体" w:hAnsi="宋体" w:eastAsia="宋体" w:cs="宋体"/>
                <w:szCs w:val="21"/>
              </w:rPr>
              <w:t>份</w:t>
            </w:r>
            <w:r>
              <w:rPr>
                <w:rFonts w:hint="eastAsia" w:ascii="宋体" w:hAnsi="宋体" w:eastAsia="宋体" w:cs="宋体"/>
                <w:szCs w:val="21"/>
                <w:lang w:eastAsia="zh-CN"/>
              </w:rPr>
              <w:t>；</w:t>
            </w:r>
          </w:p>
          <w:p w14:paraId="7E1F5428">
            <w:pPr>
              <w:snapToGrid w:val="0"/>
              <w:spacing w:line="480" w:lineRule="exact"/>
              <w:rPr>
                <w:rFonts w:hint="eastAsia" w:ascii="宋体" w:hAnsi="宋体" w:eastAsia="宋体" w:cs="宋体"/>
                <w:szCs w:val="21"/>
                <w:lang w:eastAsia="zh-CN"/>
              </w:rPr>
            </w:pPr>
            <w:r>
              <w:rPr>
                <w:rFonts w:hint="eastAsia" w:ascii="宋体" w:hAnsi="宋体" w:eastAsia="宋体" w:cs="宋体"/>
                <w:szCs w:val="21"/>
              </w:rPr>
              <w:t>技术文件：正本1份，副本</w:t>
            </w:r>
            <w:r>
              <w:rPr>
                <w:rFonts w:hint="eastAsia" w:ascii="宋体" w:hAnsi="宋体" w:eastAsia="宋体" w:cs="宋体"/>
                <w:szCs w:val="21"/>
                <w:lang w:val="en-US" w:eastAsia="zh-CN"/>
              </w:rPr>
              <w:t>2</w:t>
            </w:r>
            <w:r>
              <w:rPr>
                <w:rFonts w:hint="eastAsia" w:ascii="宋体" w:hAnsi="宋体" w:eastAsia="宋体" w:cs="宋体"/>
                <w:szCs w:val="21"/>
              </w:rPr>
              <w:t>份</w:t>
            </w:r>
            <w:r>
              <w:rPr>
                <w:rFonts w:hint="eastAsia" w:ascii="宋体" w:hAnsi="宋体" w:eastAsia="宋体" w:cs="宋体"/>
                <w:szCs w:val="21"/>
                <w:lang w:eastAsia="zh-CN"/>
              </w:rPr>
              <w:t>；</w:t>
            </w:r>
          </w:p>
          <w:p w14:paraId="14203804">
            <w:pPr>
              <w:pStyle w:val="13"/>
              <w:snapToGrid w:val="0"/>
              <w:spacing w:line="504" w:lineRule="auto"/>
              <w:jc w:val="left"/>
              <w:rPr>
                <w:rFonts w:hint="default" w:eastAsia="黑体"/>
                <w:lang w:val="en-US" w:eastAsia="zh-CN"/>
              </w:rPr>
            </w:pPr>
            <w:r>
              <w:rPr>
                <w:rFonts w:hint="eastAsia" w:ascii="宋体" w:hAnsi="宋体" w:eastAsia="宋体" w:cs="宋体"/>
                <w:b/>
                <w:bCs/>
                <w:szCs w:val="21"/>
                <w:lang w:eastAsia="zh-CN"/>
              </w:rPr>
              <w:t>备注：需提供以上响应文件盖章扫描件电子版</w:t>
            </w:r>
            <w:r>
              <w:rPr>
                <w:rFonts w:hint="eastAsia" w:hAnsi="宋体" w:cs="宋体"/>
                <w:b/>
                <w:bCs/>
                <w:szCs w:val="21"/>
                <w:lang w:val="en-US" w:eastAsia="zh-CN"/>
              </w:rPr>
              <w:t>PDF</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U盘</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1份。</w:t>
            </w:r>
          </w:p>
        </w:tc>
      </w:tr>
      <w:tr w14:paraId="7B96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7" w:hRule="atLeast"/>
          <w:jc w:val="center"/>
        </w:trPr>
        <w:tc>
          <w:tcPr>
            <w:tcW w:w="904" w:type="dxa"/>
            <w:vAlign w:val="center"/>
          </w:tcPr>
          <w:p w14:paraId="43DD8D7A">
            <w:pPr>
              <w:pStyle w:val="13"/>
              <w:snapToGrid w:val="0"/>
              <w:spacing w:line="504" w:lineRule="auto"/>
              <w:jc w:val="center"/>
              <w:rPr>
                <w:rFonts w:hAnsi="宋体" w:cs="宋体"/>
                <w:kern w:val="0"/>
                <w:szCs w:val="21"/>
              </w:rPr>
            </w:pPr>
            <w:r>
              <w:rPr>
                <w:rFonts w:hint="eastAsia" w:hAnsi="宋体" w:cs="宋体"/>
                <w:kern w:val="0"/>
                <w:szCs w:val="21"/>
              </w:rPr>
              <w:t>11.4</w:t>
            </w:r>
          </w:p>
        </w:tc>
        <w:tc>
          <w:tcPr>
            <w:tcW w:w="2539" w:type="dxa"/>
            <w:vAlign w:val="center"/>
          </w:tcPr>
          <w:p w14:paraId="10729400">
            <w:pPr>
              <w:pStyle w:val="13"/>
              <w:snapToGrid w:val="0"/>
              <w:spacing w:line="504" w:lineRule="auto"/>
              <w:jc w:val="center"/>
              <w:rPr>
                <w:rFonts w:hAnsi="宋体" w:cs="宋体"/>
                <w:kern w:val="0"/>
                <w:szCs w:val="21"/>
              </w:rPr>
            </w:pPr>
            <w:r>
              <w:rPr>
                <w:rFonts w:hint="eastAsia" w:hAnsi="宋体" w:cs="宋体"/>
                <w:kern w:val="0"/>
                <w:szCs w:val="21"/>
              </w:rPr>
              <w:t>采购代理服务费</w:t>
            </w:r>
          </w:p>
        </w:tc>
        <w:tc>
          <w:tcPr>
            <w:tcW w:w="6676" w:type="dxa"/>
            <w:vAlign w:val="center"/>
          </w:tcPr>
          <w:p w14:paraId="4256723F">
            <w:pPr>
              <w:pStyle w:val="13"/>
              <w:snapToGrid w:val="0"/>
              <w:spacing w:line="360" w:lineRule="auto"/>
              <w:rPr>
                <w:rFonts w:hAnsi="宋体" w:cs="宋体"/>
                <w:szCs w:val="21"/>
              </w:rPr>
            </w:pPr>
            <w:r>
              <w:rPr>
                <w:rFonts w:hint="eastAsia" w:hAnsi="宋体" w:cs="宋体"/>
                <w:szCs w:val="21"/>
              </w:rPr>
              <w:t xml:space="preserve">1. 是否收取采购代理费：☑是  □否 </w:t>
            </w:r>
          </w:p>
          <w:p w14:paraId="04740755">
            <w:pPr>
              <w:pStyle w:val="13"/>
              <w:snapToGrid w:val="0"/>
              <w:spacing w:line="360" w:lineRule="auto"/>
              <w:rPr>
                <w:rFonts w:hAnsi="宋体" w:cs="宋体"/>
                <w:szCs w:val="21"/>
              </w:rPr>
            </w:pPr>
            <w:r>
              <w:rPr>
                <w:rFonts w:hint="eastAsia" w:hAnsi="宋体" w:cs="宋体"/>
                <w:szCs w:val="21"/>
              </w:rPr>
              <w:t>2.采购代理费支付方式：</w:t>
            </w:r>
          </w:p>
          <w:p w14:paraId="2B91EFE0">
            <w:pPr>
              <w:pStyle w:val="13"/>
              <w:snapToGrid w:val="0"/>
              <w:spacing w:line="360" w:lineRule="auto"/>
              <w:rPr>
                <w:rFonts w:hAnsi="宋体" w:cs="宋体"/>
                <w:szCs w:val="21"/>
              </w:rPr>
            </w:pPr>
            <w:r>
              <w:rPr>
                <w:rFonts w:hint="eastAsia" w:hAnsi="宋体" w:cs="宋体"/>
                <w:szCs w:val="21"/>
              </w:rPr>
              <w:t>☑ 本项目代理服务费由</w:t>
            </w:r>
            <w:r>
              <w:rPr>
                <w:rFonts w:hint="eastAsia" w:hAnsi="宋体" w:cs="宋体"/>
                <w:szCs w:val="21"/>
                <w:u w:val="single"/>
              </w:rPr>
              <w:t>成交供应商</w:t>
            </w:r>
            <w:r>
              <w:rPr>
                <w:rFonts w:hint="eastAsia" w:hAnsi="宋体" w:cs="宋体"/>
                <w:szCs w:val="21"/>
              </w:rPr>
              <w:t>领取成交通知书前，一次性向采购代理机构支付。</w:t>
            </w:r>
          </w:p>
          <w:p w14:paraId="0A2F754C">
            <w:pPr>
              <w:pStyle w:val="13"/>
              <w:snapToGrid w:val="0"/>
              <w:spacing w:line="360" w:lineRule="auto"/>
              <w:rPr>
                <w:rFonts w:hAnsi="宋体" w:cs="宋体"/>
                <w:szCs w:val="21"/>
                <w:highlight w:val="none"/>
              </w:rPr>
            </w:pPr>
            <w:r>
              <w:rPr>
                <w:rFonts w:hint="eastAsia" w:hAnsi="宋体" w:cs="宋体"/>
                <w:szCs w:val="21"/>
              </w:rPr>
              <w:t>3.</w:t>
            </w:r>
            <w:r>
              <w:rPr>
                <w:rFonts w:hint="eastAsia" w:hAnsi="宋体" w:cs="宋体"/>
                <w:szCs w:val="21"/>
                <w:highlight w:val="none"/>
              </w:rPr>
              <w:t>采购代理费收取标准：</w:t>
            </w:r>
          </w:p>
          <w:p w14:paraId="0F40FB09">
            <w:pPr>
              <w:pStyle w:val="13"/>
              <w:snapToGrid w:val="0"/>
              <w:spacing w:line="360" w:lineRule="auto"/>
              <w:rPr>
                <w:rFonts w:hAnsi="宋体" w:cs="宋体"/>
                <w:szCs w:val="21"/>
                <w:highlight w:val="none"/>
                <w:lang w:bidi="ar"/>
              </w:rPr>
            </w:pPr>
            <w:r>
              <w:rPr>
                <w:rFonts w:hint="eastAsia" w:ascii="Segoe UI Symbol" w:hAnsi="Segoe UI Symbol" w:cs="Segoe UI Symbol"/>
                <w:szCs w:val="21"/>
                <w:highlight w:val="none"/>
                <w:lang w:eastAsia="zh-CN" w:bidi="ar"/>
              </w:rPr>
              <w:t>☑</w:t>
            </w:r>
            <w:r>
              <w:rPr>
                <w:rFonts w:hint="eastAsia" w:hAnsi="宋体" w:cs="宋体"/>
                <w:szCs w:val="21"/>
                <w:highlight w:val="none"/>
                <w:lang w:bidi="ar"/>
              </w:rPr>
              <w:t>以分标（</w:t>
            </w:r>
            <w:r>
              <w:rPr>
                <w:rFonts w:ascii="Segoe UI Symbol" w:hAnsi="Segoe UI Symbol" w:cs="Segoe UI Symbol"/>
                <w:szCs w:val="21"/>
                <w:highlight w:val="none"/>
                <w:lang w:bidi="ar"/>
              </w:rPr>
              <w:t>☑</w:t>
            </w:r>
            <w:r>
              <w:rPr>
                <w:rFonts w:hint="eastAsia" w:ascii="Segoe UI Symbol" w:hAnsi="Segoe UI Symbol" w:cs="Segoe UI Symbol"/>
                <w:szCs w:val="21"/>
                <w:highlight w:val="none"/>
                <w:lang w:bidi="ar"/>
              </w:rPr>
              <w:t>中标（</w:t>
            </w:r>
            <w:r>
              <w:rPr>
                <w:rFonts w:hint="eastAsia" w:hAnsi="宋体" w:cs="宋体"/>
                <w:szCs w:val="21"/>
                <w:highlight w:val="none"/>
                <w:lang w:bidi="ar"/>
              </w:rPr>
              <w:t>成交）金额/</w:t>
            </w:r>
            <w:r>
              <w:rPr>
                <w:rFonts w:hint="eastAsia" w:hAnsi="宋体" w:cs="Wingdings 2"/>
                <w:szCs w:val="21"/>
                <w:highlight w:val="none"/>
                <w:lang w:bidi="ar"/>
              </w:rPr>
              <w:t>□</w:t>
            </w:r>
            <w:r>
              <w:rPr>
                <w:rFonts w:hint="eastAsia" w:hAnsi="宋体" w:cs="宋体"/>
                <w:szCs w:val="21"/>
                <w:highlight w:val="none"/>
                <w:lang w:bidi="ar"/>
              </w:rPr>
              <w:t>采购预算/□暂定成交金额/□其他</w:t>
            </w:r>
            <w:r>
              <w:rPr>
                <w:rFonts w:hint="eastAsia" w:hAnsi="宋体" w:cs="宋体"/>
                <w:szCs w:val="21"/>
                <w:highlight w:val="none"/>
                <w:u w:val="single"/>
                <w:lang w:bidi="ar"/>
              </w:rPr>
              <w:t xml:space="preserve">   </w:t>
            </w:r>
            <w:r>
              <w:rPr>
                <w:rFonts w:hint="eastAsia" w:hAnsi="宋体" w:cs="宋体"/>
                <w:szCs w:val="21"/>
                <w:highlight w:val="none"/>
                <w:lang w:bidi="ar"/>
              </w:rPr>
              <w:t>）为计费额；</w:t>
            </w:r>
          </w:p>
          <w:p w14:paraId="4F1E3602">
            <w:pPr>
              <w:snapToGrid w:val="0"/>
              <w:spacing w:line="360" w:lineRule="auto"/>
              <w:rPr>
                <w:rFonts w:hint="eastAsia" w:ascii="宋体" w:hAnsi="宋体" w:cs="宋体"/>
                <w:b/>
                <w:szCs w:val="21"/>
                <w:u w:val="single"/>
                <w:lang w:bidi="ar"/>
              </w:rPr>
            </w:pPr>
            <w:r>
              <w:rPr>
                <w:rFonts w:hint="eastAsia" w:ascii="宋体" w:hAnsi="宋体" w:cs="宋体"/>
                <w:b/>
                <w:szCs w:val="21"/>
                <w:u w:val="single"/>
                <w:lang w:bidi="ar"/>
              </w:rPr>
              <w:t>基准价计算标准如下：</w:t>
            </w:r>
          </w:p>
          <w:tbl>
            <w:tblPr>
              <w:tblStyle w:val="28"/>
              <w:tblW w:w="6258"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1332"/>
              <w:gridCol w:w="1160"/>
              <w:gridCol w:w="1305"/>
            </w:tblGrid>
            <w:tr w14:paraId="535C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461" w:type="dxa"/>
                  <w:tcBorders>
                    <w:tl2br w:val="single" w:color="auto" w:sz="4" w:space="0"/>
                  </w:tcBorders>
                  <w:noWrap w:val="0"/>
                  <w:vAlign w:val="top"/>
                </w:tcPr>
                <w:p w14:paraId="231716B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 xml:space="preserve">             费率</w:t>
                  </w:r>
                </w:p>
                <w:p w14:paraId="0B05434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中标金额</w:t>
                  </w:r>
                </w:p>
              </w:tc>
              <w:tc>
                <w:tcPr>
                  <w:tcW w:w="1332" w:type="dxa"/>
                  <w:noWrap w:val="0"/>
                  <w:vAlign w:val="center"/>
                </w:tcPr>
                <w:p w14:paraId="155E9256">
                  <w:pPr>
                    <w:keepNext w:val="0"/>
                    <w:keepLines w:val="0"/>
                    <w:pageBreakBefore w:val="0"/>
                    <w:widowControl w:val="0"/>
                    <w:kinsoku/>
                    <w:wordWrap/>
                    <w:overflowPunct/>
                    <w:topLinePunct w:val="0"/>
                    <w:autoSpaceDE/>
                    <w:autoSpaceDN/>
                    <w:bidi w:val="0"/>
                    <w:adjustRightInd/>
                    <w:snapToGrid/>
                    <w:spacing w:line="600" w:lineRule="exact"/>
                    <w:ind w:firstLine="105" w:firstLineChars="5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货物招标</w:t>
                  </w:r>
                </w:p>
              </w:tc>
              <w:tc>
                <w:tcPr>
                  <w:tcW w:w="1160" w:type="dxa"/>
                  <w:noWrap w:val="0"/>
                  <w:vAlign w:val="center"/>
                </w:tcPr>
                <w:p w14:paraId="4968585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服务招标</w:t>
                  </w:r>
                </w:p>
              </w:tc>
              <w:tc>
                <w:tcPr>
                  <w:tcW w:w="1305" w:type="dxa"/>
                  <w:noWrap w:val="0"/>
                  <w:vAlign w:val="center"/>
                </w:tcPr>
                <w:p w14:paraId="10CBE08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工程招标</w:t>
                  </w:r>
                </w:p>
              </w:tc>
            </w:tr>
            <w:tr w14:paraId="2C4E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461" w:type="dxa"/>
                  <w:noWrap w:val="0"/>
                  <w:vAlign w:val="top"/>
                </w:tcPr>
                <w:p w14:paraId="15B44E9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100万元以下</w:t>
                  </w:r>
                </w:p>
              </w:tc>
              <w:tc>
                <w:tcPr>
                  <w:tcW w:w="1332" w:type="dxa"/>
                  <w:noWrap w:val="0"/>
                  <w:vAlign w:val="top"/>
                </w:tcPr>
                <w:p w14:paraId="0BD992F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  1.5%                </w:t>
                  </w:r>
                </w:p>
              </w:tc>
              <w:tc>
                <w:tcPr>
                  <w:tcW w:w="1160" w:type="dxa"/>
                  <w:noWrap w:val="0"/>
                  <w:vAlign w:val="top"/>
                </w:tcPr>
                <w:p w14:paraId="3D4206DB">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1.5%</w:t>
                  </w:r>
                </w:p>
              </w:tc>
              <w:tc>
                <w:tcPr>
                  <w:tcW w:w="1305" w:type="dxa"/>
                  <w:noWrap w:val="0"/>
                  <w:vAlign w:val="top"/>
                </w:tcPr>
                <w:p w14:paraId="09460226">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1.0% </w:t>
                  </w:r>
                </w:p>
              </w:tc>
            </w:tr>
            <w:tr w14:paraId="301C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461" w:type="dxa"/>
                  <w:noWrap w:val="0"/>
                  <w:vAlign w:val="top"/>
                </w:tcPr>
                <w:p w14:paraId="499A269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100～500万元</w:t>
                  </w:r>
                </w:p>
              </w:tc>
              <w:tc>
                <w:tcPr>
                  <w:tcW w:w="1332" w:type="dxa"/>
                  <w:noWrap w:val="0"/>
                  <w:vAlign w:val="top"/>
                </w:tcPr>
                <w:p w14:paraId="6047713F">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1.1%                 </w:t>
                  </w:r>
                </w:p>
              </w:tc>
              <w:tc>
                <w:tcPr>
                  <w:tcW w:w="1160" w:type="dxa"/>
                  <w:noWrap w:val="0"/>
                  <w:vAlign w:val="top"/>
                </w:tcPr>
                <w:p w14:paraId="72181408">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0.8%</w:t>
                  </w:r>
                </w:p>
              </w:tc>
              <w:tc>
                <w:tcPr>
                  <w:tcW w:w="1305" w:type="dxa"/>
                  <w:noWrap w:val="0"/>
                  <w:vAlign w:val="top"/>
                </w:tcPr>
                <w:p w14:paraId="6F7D8334">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0.7% </w:t>
                  </w:r>
                </w:p>
              </w:tc>
            </w:tr>
            <w:tr w14:paraId="0C78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461" w:type="dxa"/>
                  <w:noWrap w:val="0"/>
                  <w:vAlign w:val="top"/>
                </w:tcPr>
                <w:p w14:paraId="495376B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500～1000万元</w:t>
                  </w:r>
                </w:p>
              </w:tc>
              <w:tc>
                <w:tcPr>
                  <w:tcW w:w="1332" w:type="dxa"/>
                  <w:noWrap w:val="0"/>
                  <w:vAlign w:val="top"/>
                </w:tcPr>
                <w:p w14:paraId="1CAF7E3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  0.8%                </w:t>
                  </w:r>
                </w:p>
              </w:tc>
              <w:tc>
                <w:tcPr>
                  <w:tcW w:w="1160" w:type="dxa"/>
                  <w:noWrap w:val="0"/>
                  <w:vAlign w:val="top"/>
                </w:tcPr>
                <w:p w14:paraId="34A45602">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0.45%</w:t>
                  </w:r>
                </w:p>
              </w:tc>
              <w:tc>
                <w:tcPr>
                  <w:tcW w:w="1305" w:type="dxa"/>
                  <w:noWrap w:val="0"/>
                  <w:vAlign w:val="top"/>
                </w:tcPr>
                <w:p w14:paraId="2BD996FC">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0.55%</w:t>
                  </w:r>
                </w:p>
              </w:tc>
            </w:tr>
            <w:tr w14:paraId="313A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461" w:type="dxa"/>
                  <w:noWrap w:val="0"/>
                  <w:vAlign w:val="top"/>
                </w:tcPr>
                <w:p w14:paraId="7C29C2C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1000～5000万元</w:t>
                  </w:r>
                </w:p>
              </w:tc>
              <w:tc>
                <w:tcPr>
                  <w:tcW w:w="1332" w:type="dxa"/>
                  <w:noWrap w:val="0"/>
                  <w:vAlign w:val="top"/>
                </w:tcPr>
                <w:p w14:paraId="18A08D78">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0.5%                </w:t>
                  </w:r>
                </w:p>
              </w:tc>
              <w:tc>
                <w:tcPr>
                  <w:tcW w:w="1160" w:type="dxa"/>
                  <w:noWrap w:val="0"/>
                  <w:vAlign w:val="top"/>
                </w:tcPr>
                <w:p w14:paraId="7C36F284">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0.25%</w:t>
                  </w:r>
                </w:p>
              </w:tc>
              <w:tc>
                <w:tcPr>
                  <w:tcW w:w="1305" w:type="dxa"/>
                  <w:noWrap w:val="0"/>
                  <w:vAlign w:val="top"/>
                </w:tcPr>
                <w:p w14:paraId="452131C7">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0.35% </w:t>
                  </w:r>
                </w:p>
              </w:tc>
            </w:tr>
            <w:tr w14:paraId="3AD3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461" w:type="dxa"/>
                  <w:noWrap w:val="0"/>
                  <w:vAlign w:val="top"/>
                </w:tcPr>
                <w:p w14:paraId="1D36549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5000万元～1亿元</w:t>
                  </w:r>
                </w:p>
              </w:tc>
              <w:tc>
                <w:tcPr>
                  <w:tcW w:w="1332" w:type="dxa"/>
                  <w:noWrap w:val="0"/>
                  <w:vAlign w:val="top"/>
                </w:tcPr>
                <w:p w14:paraId="59D86FB6">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0.25%                 </w:t>
                  </w:r>
                </w:p>
              </w:tc>
              <w:tc>
                <w:tcPr>
                  <w:tcW w:w="1160" w:type="dxa"/>
                  <w:noWrap w:val="0"/>
                  <w:vAlign w:val="top"/>
                </w:tcPr>
                <w:p w14:paraId="4C66284A">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0.1%</w:t>
                  </w:r>
                </w:p>
              </w:tc>
              <w:tc>
                <w:tcPr>
                  <w:tcW w:w="1305" w:type="dxa"/>
                  <w:noWrap w:val="0"/>
                  <w:vAlign w:val="top"/>
                </w:tcPr>
                <w:p w14:paraId="2D4E013B">
                  <w:pPr>
                    <w:keepNext w:val="0"/>
                    <w:keepLines w:val="0"/>
                    <w:pageBreakBefore w:val="0"/>
                    <w:widowControl w:val="0"/>
                    <w:kinsoku/>
                    <w:wordWrap/>
                    <w:overflowPunct/>
                    <w:topLinePunct w:val="0"/>
                    <w:autoSpaceDE/>
                    <w:autoSpaceDN/>
                    <w:bidi w:val="0"/>
                    <w:adjustRightInd/>
                    <w:snapToGrid/>
                    <w:spacing w:line="600" w:lineRule="exact"/>
                    <w:ind w:firstLine="210" w:firstLineChars="1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0.2%</w:t>
                  </w:r>
                </w:p>
              </w:tc>
            </w:tr>
          </w:tbl>
          <w:p w14:paraId="47B10FE7">
            <w:pPr>
              <w:rPr>
                <w:rFonts w:hint="eastAsia" w:ascii="宋体" w:hAnsi="宋体" w:eastAsia="宋体" w:cs="宋体"/>
                <w:color w:val="auto"/>
                <w:sz w:val="21"/>
                <w:highlight w:val="none"/>
                <w:lang w:eastAsia="zh-CN"/>
              </w:rPr>
            </w:pPr>
          </w:p>
          <w:p w14:paraId="06C528BD">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lang w:eastAsia="zh-CN"/>
              </w:rPr>
              <w:t>参照</w:t>
            </w:r>
            <w:r>
              <w:rPr>
                <w:rFonts w:hint="eastAsia" w:ascii="宋体" w:hAnsi="宋体" w:eastAsia="宋体" w:cs="宋体"/>
                <w:szCs w:val="21"/>
              </w:rPr>
              <w:t>国家发展改革委员会（原国家计委）文件“国家计委关于印发《招标代理服务收费管理暂行办法》的通知”（计价格〔2002〕1980号）及“国家发展改革委关于降低部分建设项目收费标准规范收费行为等有关问题的通知”（发改价格〔2011〕534号）收费标准，</w:t>
            </w:r>
            <w:r>
              <w:rPr>
                <w:rFonts w:hint="eastAsia" w:ascii="宋体" w:hAnsi="宋体" w:eastAsia="宋体" w:cs="宋体"/>
                <w:szCs w:val="21"/>
                <w:lang w:val="en-US" w:eastAsia="zh-CN"/>
              </w:rPr>
              <w:t>按“服务类”标准采用差额定率累进法计取</w:t>
            </w:r>
            <w:r>
              <w:rPr>
                <w:rFonts w:hint="eastAsia" w:ascii="宋体" w:hAnsi="宋体" w:eastAsia="宋体" w:cs="宋体"/>
                <w:szCs w:val="21"/>
                <w:lang w:eastAsia="zh-CN"/>
              </w:rPr>
              <w:t>。</w:t>
            </w:r>
          </w:p>
          <w:p w14:paraId="29CB1806">
            <w:pPr>
              <w:snapToGrid w:val="0"/>
              <w:spacing w:line="480" w:lineRule="exact"/>
              <w:rPr>
                <w:rFonts w:hint="eastAsia" w:ascii="宋体" w:hAnsi="宋体" w:eastAsia="宋体" w:cs="宋体"/>
                <w:b/>
                <w:bCs/>
                <w:szCs w:val="21"/>
              </w:rPr>
            </w:pPr>
            <w:r>
              <w:rPr>
                <w:rFonts w:hint="eastAsia" w:ascii="宋体" w:hAnsi="宋体" w:eastAsia="宋体" w:cs="宋体"/>
                <w:b/>
                <w:bCs/>
                <w:szCs w:val="21"/>
              </w:rPr>
              <w:t>4. 采购代理费收取银行账户</w:t>
            </w:r>
          </w:p>
          <w:p w14:paraId="65802B4C">
            <w:pPr>
              <w:snapToGrid w:val="0"/>
              <w:spacing w:line="480" w:lineRule="exact"/>
              <w:rPr>
                <w:rFonts w:hint="eastAsia" w:ascii="宋体" w:hAnsi="宋体" w:eastAsia="宋体" w:cs="宋体"/>
                <w:szCs w:val="21"/>
              </w:rPr>
            </w:pPr>
            <w:r>
              <w:rPr>
                <w:rFonts w:hint="eastAsia" w:ascii="宋体" w:hAnsi="宋体" w:eastAsia="宋体" w:cs="宋体"/>
                <w:szCs w:val="21"/>
              </w:rPr>
              <w:t>开户名称：上海正弘建设工程顾问有限公司广西分公司</w:t>
            </w:r>
          </w:p>
          <w:p w14:paraId="05D8A082">
            <w:pPr>
              <w:snapToGrid w:val="0"/>
              <w:spacing w:line="480" w:lineRule="exact"/>
              <w:rPr>
                <w:rFonts w:hint="eastAsia" w:ascii="宋体" w:hAnsi="宋体" w:eastAsia="宋体" w:cs="宋体"/>
                <w:szCs w:val="21"/>
              </w:rPr>
            </w:pPr>
            <w:r>
              <w:rPr>
                <w:rFonts w:hint="eastAsia" w:ascii="宋体" w:hAnsi="宋体" w:eastAsia="宋体" w:cs="宋体"/>
                <w:szCs w:val="21"/>
              </w:rPr>
              <w:t>开户银行：广西北部湾银行南宁市嘉宾支行</w:t>
            </w:r>
          </w:p>
          <w:p w14:paraId="48E1179E">
            <w:pPr>
              <w:snapToGrid w:val="0"/>
              <w:spacing w:line="480" w:lineRule="exact"/>
              <w:rPr>
                <w:sz w:val="21"/>
                <w:szCs w:val="21"/>
              </w:rPr>
            </w:pPr>
            <w:r>
              <w:rPr>
                <w:rFonts w:hint="eastAsia" w:ascii="宋体" w:hAnsi="宋体" w:eastAsia="宋体" w:cs="宋体"/>
                <w:szCs w:val="21"/>
              </w:rPr>
              <w:t>银行账号：0804 0120 9000 7555</w:t>
            </w:r>
          </w:p>
        </w:tc>
      </w:tr>
      <w:tr w14:paraId="618F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73AD8E4D">
            <w:pPr>
              <w:pStyle w:val="15"/>
              <w:ind w:left="0" w:leftChars="0"/>
              <w:jc w:val="center"/>
              <w:rPr>
                <w:rFonts w:ascii="宋体" w:hAnsi="宋体" w:cs="宋体"/>
                <w:szCs w:val="21"/>
              </w:rPr>
            </w:pPr>
            <w:r>
              <w:rPr>
                <w:rFonts w:hint="eastAsia" w:ascii="宋体" w:hAnsi="宋体" w:cs="宋体"/>
                <w:szCs w:val="21"/>
              </w:rPr>
              <w:t>12.1</w:t>
            </w:r>
          </w:p>
        </w:tc>
        <w:tc>
          <w:tcPr>
            <w:tcW w:w="2539" w:type="dxa"/>
            <w:vAlign w:val="center"/>
          </w:tcPr>
          <w:p w14:paraId="2060D11D">
            <w:pPr>
              <w:pStyle w:val="15"/>
              <w:rPr>
                <w:rFonts w:ascii="宋体" w:hAnsi="宋体" w:cs="宋体"/>
                <w:szCs w:val="21"/>
              </w:rPr>
            </w:pPr>
            <w:r>
              <w:rPr>
                <w:rFonts w:hint="eastAsia" w:ascii="宋体" w:hAnsi="宋体" w:cs="宋体"/>
                <w:szCs w:val="21"/>
              </w:rPr>
              <w:t>响应有效期</w:t>
            </w:r>
          </w:p>
        </w:tc>
        <w:tc>
          <w:tcPr>
            <w:tcW w:w="6676" w:type="dxa"/>
            <w:vAlign w:val="center"/>
          </w:tcPr>
          <w:p w14:paraId="1BEEAF39">
            <w:pPr>
              <w:rPr>
                <w:rFonts w:ascii="宋体" w:hAnsi="宋体" w:cs="宋体"/>
                <w:szCs w:val="21"/>
              </w:rPr>
            </w:pPr>
            <w:r>
              <w:rPr>
                <w:rFonts w:hint="eastAsia" w:ascii="宋体" w:hAnsi="宋体" w:cs="宋体"/>
                <w:szCs w:val="21"/>
                <w:highlight w:val="none"/>
              </w:rPr>
              <w:t>自提交响应文件截止时间起 60 天。</w:t>
            </w:r>
          </w:p>
        </w:tc>
      </w:tr>
      <w:tr w14:paraId="29A6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329BDBD5">
            <w:pPr>
              <w:pStyle w:val="15"/>
              <w:ind w:left="0" w:leftChars="0"/>
              <w:jc w:val="center"/>
              <w:rPr>
                <w:rFonts w:ascii="宋体" w:hAnsi="宋体" w:cs="宋体"/>
                <w:szCs w:val="21"/>
              </w:rPr>
            </w:pPr>
            <w:r>
              <w:rPr>
                <w:rFonts w:hint="eastAsia" w:ascii="宋体" w:hAnsi="宋体" w:cs="宋体"/>
                <w:szCs w:val="21"/>
              </w:rPr>
              <w:t>15.1</w:t>
            </w:r>
          </w:p>
        </w:tc>
        <w:tc>
          <w:tcPr>
            <w:tcW w:w="2539" w:type="dxa"/>
            <w:vAlign w:val="center"/>
          </w:tcPr>
          <w:p w14:paraId="1648017C">
            <w:pPr>
              <w:rPr>
                <w:rFonts w:ascii="宋体" w:hAnsi="宋体" w:cs="宋体"/>
                <w:szCs w:val="21"/>
              </w:rPr>
            </w:pPr>
            <w:r>
              <w:rPr>
                <w:rFonts w:hint="eastAsia" w:ascii="宋体" w:hAnsi="宋体" w:cs="宋体"/>
                <w:szCs w:val="21"/>
              </w:rPr>
              <w:t>提交响应文件截止时间</w:t>
            </w:r>
          </w:p>
        </w:tc>
        <w:tc>
          <w:tcPr>
            <w:tcW w:w="6676" w:type="dxa"/>
            <w:vAlign w:val="center"/>
          </w:tcPr>
          <w:p w14:paraId="32751FBC">
            <w:pPr>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eastAsia="宋体" w:cs="宋体"/>
                <w:szCs w:val="21"/>
                <w:lang w:eastAsia="zh-CN"/>
              </w:rPr>
              <w:t>详见</w:t>
            </w:r>
            <w:r>
              <w:rPr>
                <w:rFonts w:hint="eastAsia" w:ascii="宋体" w:hAnsi="宋体" w:cs="宋体"/>
                <w:szCs w:val="21"/>
                <w:lang w:eastAsia="zh-CN"/>
              </w:rPr>
              <w:t>公告</w:t>
            </w:r>
          </w:p>
        </w:tc>
      </w:tr>
      <w:tr w14:paraId="4D80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360503D7">
            <w:pPr>
              <w:pStyle w:val="13"/>
              <w:snapToGrid w:val="0"/>
              <w:spacing w:line="504" w:lineRule="auto"/>
              <w:jc w:val="center"/>
              <w:rPr>
                <w:rFonts w:hAnsi="宋体" w:cs="宋体"/>
                <w:kern w:val="0"/>
                <w:szCs w:val="21"/>
              </w:rPr>
            </w:pPr>
            <w:r>
              <w:rPr>
                <w:rFonts w:hint="eastAsia" w:hAnsi="宋体" w:cs="宋体"/>
                <w:kern w:val="0"/>
                <w:szCs w:val="21"/>
              </w:rPr>
              <w:t>15.2</w:t>
            </w:r>
          </w:p>
        </w:tc>
        <w:tc>
          <w:tcPr>
            <w:tcW w:w="2539" w:type="dxa"/>
            <w:vAlign w:val="center"/>
          </w:tcPr>
          <w:p w14:paraId="172F8EA4">
            <w:pPr>
              <w:rPr>
                <w:rFonts w:hAnsi="宋体" w:cs="宋体"/>
                <w:kern w:val="0"/>
                <w:szCs w:val="21"/>
              </w:rPr>
            </w:pPr>
            <w:r>
              <w:rPr>
                <w:rFonts w:hint="eastAsia" w:hAnsi="宋体" w:cs="宋体"/>
                <w:kern w:val="0"/>
                <w:szCs w:val="21"/>
              </w:rPr>
              <w:t>提交响应文件地点</w:t>
            </w:r>
          </w:p>
        </w:tc>
        <w:tc>
          <w:tcPr>
            <w:tcW w:w="6676" w:type="dxa"/>
            <w:vAlign w:val="center"/>
          </w:tcPr>
          <w:p w14:paraId="5E72A880">
            <w:pPr>
              <w:snapToGrid w:val="0"/>
              <w:spacing w:line="480" w:lineRule="exact"/>
              <w:ind w:firstLine="420" w:firstLineChars="200"/>
              <w:rPr>
                <w:sz w:val="21"/>
                <w:szCs w:val="21"/>
                <w:highlight w:val="none"/>
              </w:rPr>
            </w:pPr>
            <w:r>
              <w:rPr>
                <w:rFonts w:hint="eastAsia" w:ascii="宋体" w:hAnsi="宋体" w:eastAsia="宋体" w:cs="宋体"/>
                <w:szCs w:val="21"/>
                <w:lang w:val="en-US" w:eastAsia="zh-CN"/>
              </w:rPr>
              <w:t>上海正弘建设工程顾问有限公司广西分公司（南宁市东葛路163号绿地中央广场B1栋9楼(东面)）开标厅</w:t>
            </w:r>
          </w:p>
        </w:tc>
      </w:tr>
      <w:tr w14:paraId="2753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5F32CD58">
            <w:pPr>
              <w:jc w:val="center"/>
              <w:rPr>
                <w:rFonts w:ascii="宋体" w:hAnsi="宋体" w:cs="宋体"/>
                <w:szCs w:val="21"/>
              </w:rPr>
            </w:pPr>
            <w:r>
              <w:rPr>
                <w:rFonts w:hint="eastAsia" w:ascii="宋体" w:hAnsi="宋体" w:cs="宋体"/>
                <w:szCs w:val="21"/>
              </w:rPr>
              <w:t>15.3</w:t>
            </w:r>
          </w:p>
        </w:tc>
        <w:tc>
          <w:tcPr>
            <w:tcW w:w="2539" w:type="dxa"/>
            <w:vAlign w:val="center"/>
          </w:tcPr>
          <w:p w14:paraId="2BAB6EBC">
            <w:pPr>
              <w:jc w:val="center"/>
              <w:rPr>
                <w:rFonts w:ascii="宋体" w:hAnsi="宋体" w:cs="宋体"/>
                <w:szCs w:val="21"/>
              </w:rPr>
            </w:pPr>
            <w:r>
              <w:rPr>
                <w:rFonts w:hint="eastAsia" w:ascii="宋体" w:hAnsi="宋体" w:cs="宋体"/>
                <w:szCs w:val="21"/>
              </w:rPr>
              <w:t>提交样品截止时间</w:t>
            </w:r>
          </w:p>
        </w:tc>
        <w:tc>
          <w:tcPr>
            <w:tcW w:w="6676" w:type="dxa"/>
            <w:vAlign w:val="center"/>
          </w:tcPr>
          <w:p w14:paraId="53ABF4BA">
            <w:pPr>
              <w:jc w:val="center"/>
              <w:rPr>
                <w:rFonts w:ascii="宋体" w:hAnsi="宋体" w:cs="宋体"/>
                <w:szCs w:val="21"/>
              </w:rPr>
            </w:pPr>
            <w:r>
              <w:rPr>
                <w:rFonts w:hint="eastAsia" w:ascii="宋体" w:hAnsi="宋体" w:cs="宋体"/>
                <w:szCs w:val="21"/>
              </w:rPr>
              <w:t>无</w:t>
            </w:r>
          </w:p>
        </w:tc>
      </w:tr>
      <w:tr w14:paraId="1591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769D5CD6">
            <w:pPr>
              <w:jc w:val="center"/>
              <w:rPr>
                <w:rFonts w:ascii="宋体" w:hAnsi="宋体" w:cs="宋体"/>
                <w:szCs w:val="21"/>
              </w:rPr>
            </w:pPr>
            <w:r>
              <w:rPr>
                <w:rFonts w:hint="eastAsia" w:ascii="宋体" w:hAnsi="宋体" w:cs="宋体"/>
                <w:szCs w:val="21"/>
              </w:rPr>
              <w:t>15.4</w:t>
            </w:r>
          </w:p>
        </w:tc>
        <w:tc>
          <w:tcPr>
            <w:tcW w:w="2539" w:type="dxa"/>
            <w:vAlign w:val="center"/>
          </w:tcPr>
          <w:p w14:paraId="0D1F7056">
            <w:pPr>
              <w:jc w:val="center"/>
              <w:rPr>
                <w:rFonts w:ascii="宋体" w:hAnsi="宋体" w:cs="宋体"/>
                <w:szCs w:val="21"/>
              </w:rPr>
            </w:pPr>
            <w:r>
              <w:rPr>
                <w:rFonts w:hint="eastAsia" w:ascii="宋体" w:hAnsi="宋体" w:cs="宋体"/>
                <w:szCs w:val="21"/>
              </w:rPr>
              <w:t>提交样品地点</w:t>
            </w:r>
          </w:p>
        </w:tc>
        <w:tc>
          <w:tcPr>
            <w:tcW w:w="6676" w:type="dxa"/>
            <w:vAlign w:val="center"/>
          </w:tcPr>
          <w:p w14:paraId="3954720F">
            <w:pPr>
              <w:jc w:val="center"/>
              <w:rPr>
                <w:rFonts w:ascii="宋体" w:hAnsi="宋体" w:cs="宋体"/>
                <w:szCs w:val="21"/>
              </w:rPr>
            </w:pPr>
            <w:r>
              <w:rPr>
                <w:rFonts w:hint="eastAsia" w:ascii="宋体" w:hAnsi="宋体" w:cs="宋体"/>
                <w:szCs w:val="21"/>
              </w:rPr>
              <w:t>无</w:t>
            </w:r>
          </w:p>
        </w:tc>
      </w:tr>
      <w:tr w14:paraId="519F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45600D1A">
            <w:pPr>
              <w:jc w:val="center"/>
              <w:rPr>
                <w:rFonts w:ascii="宋体" w:hAnsi="宋体" w:cs="宋体"/>
                <w:szCs w:val="21"/>
              </w:rPr>
            </w:pPr>
            <w:r>
              <w:rPr>
                <w:rFonts w:hint="eastAsia" w:ascii="宋体" w:hAnsi="宋体" w:cs="宋体"/>
                <w:szCs w:val="21"/>
              </w:rPr>
              <w:t>17.4.8（1）</w:t>
            </w:r>
          </w:p>
        </w:tc>
        <w:tc>
          <w:tcPr>
            <w:tcW w:w="2539" w:type="dxa"/>
            <w:vAlign w:val="center"/>
          </w:tcPr>
          <w:p w14:paraId="5371AB4C">
            <w:pPr>
              <w:jc w:val="center"/>
              <w:rPr>
                <w:rFonts w:ascii="宋体" w:hAnsi="宋体" w:cs="宋体"/>
                <w:szCs w:val="21"/>
              </w:rPr>
            </w:pPr>
            <w:r>
              <w:rPr>
                <w:rFonts w:hint="eastAsia" w:ascii="宋体" w:hAnsi="宋体" w:cs="宋体"/>
                <w:szCs w:val="21"/>
              </w:rPr>
              <w:t>磋商地点</w:t>
            </w:r>
          </w:p>
        </w:tc>
        <w:tc>
          <w:tcPr>
            <w:tcW w:w="6676" w:type="dxa"/>
            <w:vAlign w:val="center"/>
          </w:tcPr>
          <w:p w14:paraId="373703D4">
            <w:pPr>
              <w:rPr>
                <w:rFonts w:ascii="宋体" w:hAnsi="宋体" w:cs="宋体"/>
                <w:szCs w:val="21"/>
              </w:rPr>
            </w:pPr>
            <w:r>
              <w:rPr>
                <w:rFonts w:hint="eastAsia" w:ascii="宋体" w:hAnsi="宋体" w:cs="宋体"/>
                <w:szCs w:val="21"/>
              </w:rPr>
              <w:t>磋商时间：提交响应文件截止时间后（具体时间另行通知）</w:t>
            </w:r>
          </w:p>
          <w:p w14:paraId="5F7CB4A6">
            <w:pPr>
              <w:rPr>
                <w:rFonts w:ascii="宋体" w:hAnsi="宋体" w:cs="宋体"/>
                <w:szCs w:val="21"/>
              </w:rPr>
            </w:pPr>
            <w:r>
              <w:rPr>
                <w:rFonts w:hint="eastAsia" w:ascii="宋体" w:hAnsi="宋体" w:cs="宋体"/>
                <w:szCs w:val="21"/>
              </w:rPr>
              <w:t>磋商地点：具体地点另行通知</w:t>
            </w:r>
          </w:p>
        </w:tc>
      </w:tr>
      <w:tr w14:paraId="5A10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52E1299A">
            <w:pPr>
              <w:jc w:val="center"/>
              <w:rPr>
                <w:rFonts w:ascii="宋体" w:hAnsi="宋体" w:cs="宋体"/>
                <w:szCs w:val="21"/>
              </w:rPr>
            </w:pPr>
            <w:r>
              <w:rPr>
                <w:rFonts w:hint="eastAsia" w:ascii="宋体" w:hAnsi="宋体" w:cs="宋体"/>
                <w:szCs w:val="21"/>
              </w:rPr>
              <w:t>28.1</w:t>
            </w:r>
          </w:p>
        </w:tc>
        <w:tc>
          <w:tcPr>
            <w:tcW w:w="2539" w:type="dxa"/>
            <w:vAlign w:val="center"/>
          </w:tcPr>
          <w:p w14:paraId="6662029C">
            <w:pPr>
              <w:jc w:val="center"/>
              <w:rPr>
                <w:rFonts w:ascii="宋体" w:hAnsi="宋体" w:cs="宋体"/>
                <w:szCs w:val="21"/>
              </w:rPr>
            </w:pPr>
            <w:r>
              <w:rPr>
                <w:rFonts w:hint="eastAsia" w:ascii="宋体" w:hAnsi="宋体" w:cs="宋体"/>
                <w:szCs w:val="21"/>
              </w:rPr>
              <w:t>需要补充的其他内容</w:t>
            </w:r>
          </w:p>
        </w:tc>
        <w:tc>
          <w:tcPr>
            <w:tcW w:w="6676" w:type="dxa"/>
            <w:vAlign w:val="center"/>
          </w:tcPr>
          <w:p w14:paraId="0798C06B">
            <w:pPr>
              <w:snapToGrid w:val="0"/>
              <w:spacing w:line="480" w:lineRule="exact"/>
              <w:ind w:firstLine="420" w:firstLineChars="200"/>
              <w:rPr>
                <w:rFonts w:ascii="宋体" w:hAnsi="宋体" w:cs="宋体"/>
                <w:szCs w:val="21"/>
              </w:rPr>
            </w:pPr>
            <w:r>
              <w:rPr>
                <w:rFonts w:hint="eastAsia" w:ascii="宋体" w:hAnsi="宋体" w:eastAsia="宋体" w:cs="宋体"/>
                <w:szCs w:val="21"/>
              </w:rPr>
              <w:t>解释：构成本</w:t>
            </w:r>
            <w:r>
              <w:rPr>
                <w:rFonts w:hint="eastAsia" w:ascii="宋体" w:hAnsi="宋体" w:eastAsia="宋体" w:cs="宋体"/>
                <w:szCs w:val="21"/>
                <w:lang w:eastAsia="zh-CN"/>
              </w:rPr>
              <w:t>采购</w:t>
            </w:r>
            <w:r>
              <w:rPr>
                <w:rFonts w:hint="eastAsia" w:ascii="宋体" w:hAnsi="宋体" w:eastAsia="宋体" w:cs="宋体"/>
                <w:szCs w:val="21"/>
              </w:rPr>
              <w:t>文件的各个组成文件应互为解释，互为说明；除</w:t>
            </w:r>
            <w:r>
              <w:rPr>
                <w:rFonts w:hint="eastAsia" w:ascii="宋体" w:hAnsi="宋体" w:eastAsia="宋体" w:cs="宋体"/>
                <w:szCs w:val="21"/>
                <w:lang w:eastAsia="zh-CN"/>
              </w:rPr>
              <w:t>采购</w:t>
            </w:r>
            <w:r>
              <w:rPr>
                <w:rFonts w:hint="eastAsia" w:ascii="宋体" w:hAnsi="宋体" w:eastAsia="宋体" w:cs="宋体"/>
                <w:szCs w:val="21"/>
              </w:rPr>
              <w:t>文件中有特别规定外，仅适用于</w:t>
            </w:r>
            <w:r>
              <w:rPr>
                <w:rFonts w:hint="eastAsia" w:ascii="宋体" w:hAnsi="宋体" w:eastAsia="宋体" w:cs="宋体"/>
                <w:szCs w:val="21"/>
                <w:lang w:eastAsia="zh-CN"/>
              </w:rPr>
              <w:t>采购</w:t>
            </w:r>
            <w:r>
              <w:rPr>
                <w:rFonts w:hint="eastAsia" w:ascii="宋体" w:hAnsi="宋体" w:eastAsia="宋体" w:cs="宋体"/>
                <w:szCs w:val="21"/>
              </w:rPr>
              <w:t>阶段的规定，按更正公告（澄清公告）、</w:t>
            </w:r>
            <w:r>
              <w:rPr>
                <w:rFonts w:hint="eastAsia" w:ascii="宋体" w:hAnsi="宋体" w:eastAsia="宋体" w:cs="宋体"/>
                <w:szCs w:val="21"/>
                <w:lang w:eastAsia="zh-CN"/>
              </w:rPr>
              <w:t>采购</w:t>
            </w:r>
            <w:r>
              <w:rPr>
                <w:rFonts w:hint="eastAsia" w:ascii="宋体" w:hAnsi="宋体" w:eastAsia="宋体" w:cs="宋体"/>
                <w:szCs w:val="21"/>
              </w:rPr>
              <w:t>公告、采购需求、</w:t>
            </w:r>
            <w:r>
              <w:rPr>
                <w:rFonts w:hint="eastAsia" w:ascii="宋体" w:hAnsi="宋体" w:eastAsia="宋体" w:cs="宋体"/>
                <w:szCs w:val="21"/>
                <w:lang w:eastAsia="zh-CN"/>
              </w:rPr>
              <w:t>供应商</w:t>
            </w:r>
            <w:r>
              <w:rPr>
                <w:rFonts w:hint="eastAsia" w:ascii="宋体" w:hAnsi="宋体" w:eastAsia="宋体" w:cs="宋体"/>
                <w:szCs w:val="21"/>
              </w:rPr>
              <w:t>须知、评标方法及评标标准、拟签订的合同文本、</w:t>
            </w:r>
            <w:r>
              <w:rPr>
                <w:rFonts w:hint="eastAsia" w:ascii="宋体" w:hAnsi="宋体" w:eastAsia="宋体" w:cs="宋体"/>
                <w:szCs w:val="21"/>
                <w:lang w:eastAsia="zh-CN"/>
              </w:rPr>
              <w:t>响应</w:t>
            </w:r>
            <w:r>
              <w:rPr>
                <w:rFonts w:hint="eastAsia" w:ascii="宋体" w:hAnsi="宋体" w:eastAsia="宋体" w:cs="宋体"/>
                <w:szCs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ascii="宋体" w:hAnsi="宋体" w:eastAsia="宋体" w:cs="宋体"/>
                <w:szCs w:val="21"/>
                <w:lang w:eastAsia="zh-CN"/>
              </w:rPr>
              <w:t>采购</w:t>
            </w:r>
            <w:r>
              <w:rPr>
                <w:rFonts w:hint="eastAsia" w:ascii="宋体" w:hAnsi="宋体" w:eastAsia="宋体" w:cs="宋体"/>
                <w:szCs w:val="21"/>
              </w:rPr>
              <w:t>文件不一致时以更正公告（澄清公告）为准。按本款前述规定仍不能形成结论的，由采购人或者采购代理机构负责解释。</w:t>
            </w:r>
          </w:p>
        </w:tc>
      </w:tr>
    </w:tbl>
    <w:p w14:paraId="01C15335">
      <w:pPr>
        <w:rPr>
          <w:rFonts w:ascii="宋体" w:hAnsi="宋体" w:cs="宋体"/>
          <w:szCs w:val="28"/>
        </w:rPr>
      </w:pPr>
      <w:r>
        <w:rPr>
          <w:rFonts w:hint="eastAsia" w:ascii="宋体" w:hAnsi="宋体" w:cs="宋体"/>
          <w:sz w:val="24"/>
          <w:szCs w:val="24"/>
        </w:rPr>
        <w:br w:type="page"/>
      </w:r>
      <w:bookmarkStart w:id="58" w:name="_Toc495334410"/>
      <w:bookmarkStart w:id="59" w:name="_Toc10915"/>
      <w:bookmarkStart w:id="60" w:name="_Toc31620"/>
      <w:bookmarkStart w:id="61" w:name="_Toc27478"/>
      <w:bookmarkStart w:id="62" w:name="_Toc11689"/>
      <w:bookmarkStart w:id="63" w:name="_Toc213326416"/>
      <w:r>
        <w:rPr>
          <w:rFonts w:hint="eastAsia" w:ascii="宋体" w:hAnsi="宋体" w:cs="宋体"/>
        </w:rPr>
        <w:t>一    总则</w:t>
      </w:r>
      <w:bookmarkEnd w:id="58"/>
      <w:bookmarkEnd w:id="59"/>
      <w:bookmarkEnd w:id="60"/>
      <w:bookmarkEnd w:id="61"/>
      <w:bookmarkEnd w:id="62"/>
      <w:bookmarkEnd w:id="63"/>
    </w:p>
    <w:p w14:paraId="7265E2F5">
      <w:pPr>
        <w:pStyle w:val="13"/>
        <w:spacing w:line="360" w:lineRule="auto"/>
        <w:ind w:left="1"/>
        <w:jc w:val="left"/>
        <w:rPr>
          <w:rFonts w:hAnsi="宋体" w:cs="宋体"/>
          <w:bCs/>
          <w:szCs w:val="21"/>
        </w:rPr>
      </w:pPr>
      <w:r>
        <w:rPr>
          <w:rFonts w:hint="eastAsia" w:hAnsi="宋体" w:cs="宋体"/>
          <w:bCs/>
          <w:szCs w:val="21"/>
        </w:rPr>
        <w:t>1.  项目概况</w:t>
      </w:r>
    </w:p>
    <w:p w14:paraId="0F43567A">
      <w:pPr>
        <w:pStyle w:val="13"/>
        <w:spacing w:line="360" w:lineRule="auto"/>
        <w:ind w:firstLine="420" w:firstLineChars="200"/>
        <w:jc w:val="left"/>
        <w:rPr>
          <w:rFonts w:hAnsi="宋体" w:cs="宋体"/>
          <w:bCs/>
          <w:szCs w:val="21"/>
        </w:rPr>
      </w:pPr>
      <w:r>
        <w:rPr>
          <w:rFonts w:hint="eastAsia" w:hAnsi="宋体" w:cs="宋体"/>
          <w:bCs/>
          <w:szCs w:val="21"/>
        </w:rPr>
        <w:t>1.1  采购人：见</w:t>
      </w:r>
      <w:r>
        <w:rPr>
          <w:rFonts w:hint="eastAsia" w:hAnsi="宋体" w:cs="宋体"/>
          <w:szCs w:val="21"/>
        </w:rPr>
        <w:t>磋商供应商</w:t>
      </w:r>
      <w:r>
        <w:rPr>
          <w:rFonts w:hint="eastAsia" w:hAnsi="宋体" w:cs="宋体"/>
          <w:bCs/>
          <w:szCs w:val="21"/>
        </w:rPr>
        <w:t>须知前附表。</w:t>
      </w:r>
    </w:p>
    <w:p w14:paraId="0C987585">
      <w:pPr>
        <w:pStyle w:val="13"/>
        <w:spacing w:line="360" w:lineRule="auto"/>
        <w:ind w:firstLine="420" w:firstLineChars="200"/>
        <w:jc w:val="left"/>
        <w:rPr>
          <w:rFonts w:hAnsi="宋体" w:cs="宋体"/>
          <w:bCs/>
          <w:szCs w:val="21"/>
        </w:rPr>
      </w:pPr>
      <w:r>
        <w:rPr>
          <w:rFonts w:hint="eastAsia" w:hAnsi="宋体" w:cs="宋体"/>
          <w:bCs/>
          <w:szCs w:val="21"/>
        </w:rPr>
        <w:t>1.2  采购代理机构：见</w:t>
      </w:r>
      <w:r>
        <w:rPr>
          <w:rFonts w:hint="eastAsia" w:hAnsi="宋体" w:cs="宋体"/>
          <w:szCs w:val="21"/>
        </w:rPr>
        <w:t>磋商供应商</w:t>
      </w:r>
      <w:r>
        <w:rPr>
          <w:rFonts w:hint="eastAsia" w:hAnsi="宋体" w:cs="宋体"/>
          <w:bCs/>
          <w:szCs w:val="21"/>
        </w:rPr>
        <w:t>须知前附表。</w:t>
      </w:r>
    </w:p>
    <w:p w14:paraId="3D73F77F">
      <w:pPr>
        <w:pStyle w:val="13"/>
        <w:spacing w:line="360" w:lineRule="auto"/>
        <w:ind w:firstLine="420" w:firstLineChars="200"/>
        <w:jc w:val="left"/>
        <w:rPr>
          <w:rFonts w:hAnsi="宋体" w:cs="宋体"/>
          <w:bCs/>
          <w:szCs w:val="21"/>
        </w:rPr>
      </w:pPr>
      <w:r>
        <w:rPr>
          <w:rFonts w:hint="eastAsia" w:hAnsi="宋体" w:cs="宋体"/>
          <w:szCs w:val="21"/>
        </w:rPr>
        <w:t>1.3  项目名称：</w:t>
      </w:r>
      <w:r>
        <w:rPr>
          <w:rFonts w:hint="eastAsia" w:hAnsi="宋体" w:cs="宋体"/>
          <w:bCs/>
          <w:szCs w:val="21"/>
        </w:rPr>
        <w:t>见</w:t>
      </w:r>
      <w:r>
        <w:rPr>
          <w:rFonts w:hint="eastAsia" w:hAnsi="宋体" w:cs="宋体"/>
          <w:szCs w:val="21"/>
        </w:rPr>
        <w:t>磋商供应商</w:t>
      </w:r>
      <w:r>
        <w:rPr>
          <w:rFonts w:hint="eastAsia" w:hAnsi="宋体" w:cs="宋体"/>
          <w:bCs/>
          <w:szCs w:val="21"/>
        </w:rPr>
        <w:t>须知前附表。</w:t>
      </w:r>
    </w:p>
    <w:p w14:paraId="5039FC16">
      <w:pPr>
        <w:pStyle w:val="13"/>
        <w:spacing w:line="360" w:lineRule="auto"/>
        <w:ind w:firstLine="420" w:firstLineChars="200"/>
        <w:jc w:val="left"/>
        <w:rPr>
          <w:rFonts w:hAnsi="宋体" w:cs="宋体"/>
          <w:bCs/>
          <w:szCs w:val="21"/>
        </w:rPr>
      </w:pPr>
      <w:r>
        <w:rPr>
          <w:rFonts w:hint="eastAsia" w:hAnsi="宋体" w:cs="宋体"/>
          <w:szCs w:val="21"/>
        </w:rPr>
        <w:t>1.4  项目编号：</w:t>
      </w:r>
      <w:r>
        <w:rPr>
          <w:rFonts w:hint="eastAsia" w:hAnsi="宋体" w:cs="宋体"/>
          <w:bCs/>
          <w:szCs w:val="21"/>
        </w:rPr>
        <w:t>见</w:t>
      </w:r>
      <w:r>
        <w:rPr>
          <w:rFonts w:hint="eastAsia" w:hAnsi="宋体" w:cs="宋体"/>
          <w:szCs w:val="21"/>
        </w:rPr>
        <w:t>磋商供应商</w:t>
      </w:r>
      <w:r>
        <w:rPr>
          <w:rFonts w:hint="eastAsia" w:hAnsi="宋体" w:cs="宋体"/>
          <w:bCs/>
          <w:szCs w:val="21"/>
        </w:rPr>
        <w:t>须知前附表。</w:t>
      </w:r>
    </w:p>
    <w:p w14:paraId="142E803F">
      <w:pPr>
        <w:pStyle w:val="13"/>
        <w:spacing w:line="360" w:lineRule="auto"/>
        <w:ind w:firstLine="420" w:firstLineChars="200"/>
        <w:jc w:val="left"/>
        <w:rPr>
          <w:rFonts w:hAnsi="宋体" w:cs="宋体"/>
          <w:bCs/>
          <w:szCs w:val="21"/>
        </w:rPr>
      </w:pPr>
      <w:r>
        <w:rPr>
          <w:rFonts w:hint="eastAsia" w:hAnsi="宋体" w:cs="宋体"/>
          <w:bCs/>
          <w:szCs w:val="21"/>
        </w:rPr>
        <w:t>1.5  采购预算：见</w:t>
      </w:r>
      <w:r>
        <w:rPr>
          <w:rFonts w:hint="eastAsia" w:hAnsi="宋体" w:cs="宋体"/>
          <w:szCs w:val="21"/>
        </w:rPr>
        <w:t>磋商供应商</w:t>
      </w:r>
      <w:r>
        <w:rPr>
          <w:rFonts w:hint="eastAsia" w:hAnsi="宋体" w:cs="宋体"/>
          <w:bCs/>
          <w:szCs w:val="21"/>
        </w:rPr>
        <w:t>须知前附表。</w:t>
      </w:r>
    </w:p>
    <w:p w14:paraId="2DBCF572">
      <w:pPr>
        <w:pStyle w:val="13"/>
        <w:spacing w:line="360" w:lineRule="auto"/>
        <w:ind w:firstLine="420" w:firstLineChars="200"/>
        <w:jc w:val="left"/>
        <w:rPr>
          <w:rFonts w:hAnsi="宋体" w:cs="宋体"/>
          <w:bCs/>
          <w:szCs w:val="21"/>
        </w:rPr>
      </w:pPr>
      <w:r>
        <w:rPr>
          <w:rFonts w:hint="eastAsia" w:hAnsi="宋体" w:cs="宋体"/>
          <w:bCs/>
          <w:szCs w:val="21"/>
        </w:rPr>
        <w:t xml:space="preserve">1.6 </w:t>
      </w:r>
      <w:r>
        <w:rPr>
          <w:rFonts w:hint="eastAsia" w:hAnsi="宋体" w:cs="宋体"/>
          <w:szCs w:val="21"/>
        </w:rPr>
        <w:t xml:space="preserve"> 获取竞争性磋商文件的时间、地点、方式及竞争性磋商文件售价及报名要求：</w:t>
      </w:r>
      <w:r>
        <w:rPr>
          <w:rFonts w:hint="eastAsia" w:hAnsi="宋体" w:cs="宋体"/>
          <w:bCs/>
          <w:szCs w:val="21"/>
        </w:rPr>
        <w:t>见</w:t>
      </w:r>
      <w:r>
        <w:rPr>
          <w:rFonts w:hint="eastAsia" w:hAnsi="宋体" w:cs="宋体"/>
          <w:szCs w:val="21"/>
        </w:rPr>
        <w:t>磋商供应商</w:t>
      </w:r>
      <w:r>
        <w:rPr>
          <w:rFonts w:hint="eastAsia" w:hAnsi="宋体" w:cs="宋体"/>
          <w:bCs/>
          <w:szCs w:val="21"/>
        </w:rPr>
        <w:t>须知前附表。</w:t>
      </w:r>
    </w:p>
    <w:p w14:paraId="1DE94132">
      <w:pPr>
        <w:pStyle w:val="13"/>
        <w:spacing w:line="360" w:lineRule="auto"/>
        <w:jc w:val="left"/>
        <w:rPr>
          <w:rFonts w:hAnsi="宋体" w:cs="宋体"/>
          <w:bCs/>
          <w:szCs w:val="21"/>
        </w:rPr>
      </w:pPr>
      <w:r>
        <w:rPr>
          <w:rFonts w:hint="eastAsia" w:hAnsi="宋体" w:cs="宋体"/>
          <w:bCs/>
          <w:szCs w:val="21"/>
        </w:rPr>
        <w:t>2.  采购信息发布媒体：</w:t>
      </w:r>
    </w:p>
    <w:p w14:paraId="234D5B70">
      <w:pPr>
        <w:spacing w:line="360" w:lineRule="auto"/>
        <w:ind w:firstLine="630" w:firstLineChars="300"/>
        <w:rPr>
          <w:rFonts w:ascii="宋体" w:hAnsi="宋体" w:cs="宋体"/>
          <w:szCs w:val="21"/>
          <w:highlight w:val="none"/>
        </w:rPr>
      </w:pPr>
      <w:r>
        <w:rPr>
          <w:rFonts w:hint="eastAsia" w:ascii="宋体" w:hAnsi="宋体" w:cs="宋体"/>
          <w:bCs/>
          <w:szCs w:val="21"/>
        </w:rPr>
        <w:t>2.1  与本项目相关的业务信息（包括竞争性磋商公告、成交公告及其更正事项等）将在以下媒体上发布：</w:t>
      </w:r>
      <w:r>
        <w:rPr>
          <w:rFonts w:hint="eastAsia" w:ascii="宋体" w:hAnsi="宋体" w:cs="宋体"/>
          <w:bCs/>
          <w:szCs w:val="21"/>
          <w:lang w:eastAsia="zh-CN"/>
        </w:rPr>
        <w:t>中国</w:t>
      </w:r>
      <w:r>
        <w:rPr>
          <w:rFonts w:hint="eastAsia" w:ascii="宋体" w:hAnsi="宋体" w:cs="宋体"/>
          <w:bCs/>
          <w:szCs w:val="21"/>
        </w:rPr>
        <w:t>采购与招标网（</w:t>
      </w:r>
      <w:r>
        <w:rPr>
          <w:rFonts w:hint="eastAsia" w:ascii="宋体" w:hAnsi="宋体" w:cs="宋体"/>
          <w:szCs w:val="21"/>
        </w:rPr>
        <w:t>http://</w:t>
      </w:r>
      <w:r>
        <w:rPr>
          <w:rFonts w:hint="eastAsia" w:ascii="宋体" w:hAnsi="宋体" w:cs="宋体"/>
          <w:bCs/>
          <w:szCs w:val="21"/>
        </w:rPr>
        <w:t>www.chinabidding.com.cn）、上海正弘建设工程顾问有限公司网</w:t>
      </w:r>
      <w:r>
        <w:rPr>
          <w:rFonts w:hint="eastAsia" w:ascii="宋体" w:hAnsi="宋体" w:cs="宋体"/>
          <w:szCs w:val="21"/>
        </w:rPr>
        <w:t>（http://www.zhenghong.net.cn/）</w:t>
      </w:r>
      <w:r>
        <w:rPr>
          <w:rFonts w:hint="eastAsia" w:ascii="宋体" w:hAnsi="宋体" w:cs="宋体"/>
          <w:szCs w:val="21"/>
          <w:highlight w:val="none"/>
          <w:lang w:eastAsia="zh-CN"/>
        </w:rPr>
        <w:t>、</w:t>
      </w:r>
      <w:r>
        <w:rPr>
          <w:rFonts w:hint="eastAsia"/>
          <w:kern w:val="2"/>
          <w:sz w:val="21"/>
          <w:szCs w:val="21"/>
          <w:highlight w:val="none"/>
        </w:rPr>
        <w:t>广西壮族自治区生态环境厅网站</w:t>
      </w:r>
      <w:r>
        <w:rPr>
          <w:rFonts w:hint="eastAsia"/>
          <w:kern w:val="2"/>
          <w:sz w:val="21"/>
          <w:szCs w:val="21"/>
          <w:highlight w:val="none"/>
          <w:lang w:eastAsia="zh-CN"/>
        </w:rPr>
        <w:t>（http://sthjt.gxzf.gov.cn/）</w:t>
      </w:r>
      <w:r>
        <w:rPr>
          <w:rFonts w:hint="eastAsia" w:ascii="宋体" w:hAnsi="宋体" w:cs="宋体"/>
          <w:bCs/>
          <w:szCs w:val="21"/>
          <w:highlight w:val="none"/>
        </w:rPr>
        <w:t>。</w:t>
      </w:r>
    </w:p>
    <w:p w14:paraId="48453BA3">
      <w:pPr>
        <w:pStyle w:val="13"/>
        <w:spacing w:line="440" w:lineRule="exact"/>
        <w:ind w:left="202" w:hanging="212" w:hangingChars="101"/>
        <w:jc w:val="left"/>
        <w:rPr>
          <w:rFonts w:hint="eastAsia" w:ascii="宋体" w:hAnsi="宋体" w:eastAsia="宋体" w:cs="宋体"/>
          <w:bCs/>
          <w:sz w:val="21"/>
          <w:szCs w:val="21"/>
        </w:rPr>
      </w:pPr>
      <w:r>
        <w:rPr>
          <w:rFonts w:hint="eastAsia" w:ascii="宋体" w:hAnsi="宋体" w:eastAsia="宋体" w:cs="宋体"/>
          <w:bCs/>
          <w:sz w:val="21"/>
          <w:szCs w:val="21"/>
        </w:rPr>
        <w:t>3. 供应商资格要求：</w:t>
      </w:r>
    </w:p>
    <w:p w14:paraId="5391E525">
      <w:pPr>
        <w:pStyle w:val="13"/>
        <w:spacing w:line="440" w:lineRule="exact"/>
        <w:ind w:firstLine="420"/>
        <w:rPr>
          <w:rFonts w:hint="eastAsia" w:ascii="宋体" w:hAnsi="宋体" w:eastAsia="宋体" w:cs="宋体"/>
          <w:bCs/>
          <w:sz w:val="21"/>
          <w:szCs w:val="21"/>
        </w:rPr>
      </w:pPr>
      <w:r>
        <w:rPr>
          <w:rFonts w:hint="eastAsia" w:ascii="宋体" w:hAnsi="宋体" w:eastAsia="宋体" w:cs="宋体"/>
          <w:bCs/>
          <w:sz w:val="21"/>
          <w:szCs w:val="21"/>
        </w:rPr>
        <w:t>3.1 见供应商须知前附表。</w:t>
      </w:r>
    </w:p>
    <w:p w14:paraId="73AC8C7A">
      <w:pPr>
        <w:pStyle w:val="13"/>
        <w:spacing w:line="440" w:lineRule="exact"/>
        <w:ind w:firstLine="420"/>
        <w:rPr>
          <w:rFonts w:hint="eastAsia" w:ascii="宋体" w:hAnsi="宋体" w:eastAsia="宋体" w:cs="宋体"/>
          <w:bCs/>
          <w:sz w:val="21"/>
          <w:szCs w:val="21"/>
        </w:rPr>
      </w:pPr>
      <w:r>
        <w:rPr>
          <w:rFonts w:hint="eastAsia" w:ascii="宋体" w:hAnsi="宋体" w:eastAsia="宋体" w:cs="宋体"/>
          <w:bCs/>
          <w:sz w:val="21"/>
          <w:szCs w:val="21"/>
        </w:rPr>
        <w:t>3.2  针对本项目，供应商应具备的特定条件：见供应商须知前附表。</w:t>
      </w:r>
    </w:p>
    <w:p w14:paraId="33C97899">
      <w:pPr>
        <w:pStyle w:val="13"/>
        <w:spacing w:line="360" w:lineRule="auto"/>
        <w:ind w:firstLine="420" w:firstLineChars="200"/>
        <w:rPr>
          <w:rFonts w:hint="eastAsia" w:ascii="宋体" w:hAnsi="宋体" w:eastAsia="宋体" w:cs="宋体"/>
          <w:sz w:val="21"/>
          <w:szCs w:val="21"/>
        </w:rPr>
      </w:pPr>
      <w:r>
        <w:rPr>
          <w:rFonts w:hint="eastAsia" w:hAnsi="宋体" w:cs="宋体"/>
          <w:bCs/>
          <w:szCs w:val="21"/>
        </w:rPr>
        <w:t xml:space="preserve">3.3 </w:t>
      </w:r>
      <w:r>
        <w:rPr>
          <w:rFonts w:hint="eastAsia" w:ascii="宋体" w:hAnsi="宋体" w:eastAsia="宋体" w:cs="宋体"/>
          <w:sz w:val="21"/>
          <w:szCs w:val="21"/>
        </w:rPr>
        <w:t>供应商须知前附表规定接受联合体磋商的，两个以上供应商可以组成一个磋商联合体，以一个供应商的身份共同参加磋商。以联合体形式参加磋商的，联合体各方均应当符合本章第3.1项的要求，至少应当有一方符合本章第3.2项的要求；联合体各方应签订共同磋商协议，明确联合体各方承担的工作和相应的责任，并将共同磋商协议连同响应文件一并提交采购代理机构；由同一专业的单位组成的联合体，按照资质等级最低的单位确定资质等级；联合体各方不得再以自己名义单独或组成新的联合体参加同一项目同一分标磋商，否则与之相关的响应文件作废；磋商联合体的业绩和信誉按联合体主体方（或牵头方）计算；联合体供应商的名称应统一按“××××公司与××××公司的联合体”的规则填写；联合体各方均应在《联合体协议》的签章处签章（包括单位公章和法人签字或盖章），其他磋商材料签章处可由联合体牵头方签章；在签订《采购合同》时，联合体各方应共同与采购人签订合同，联合体各方均应在合同的签章处签章。</w:t>
      </w:r>
    </w:p>
    <w:p w14:paraId="7470E34A">
      <w:pPr>
        <w:pStyle w:val="13"/>
        <w:spacing w:line="360" w:lineRule="auto"/>
        <w:ind w:firstLine="420" w:firstLineChars="200"/>
        <w:rPr>
          <w:rFonts w:hint="eastAsia" w:hAnsi="宋体" w:cs="宋体"/>
          <w:szCs w:val="21"/>
        </w:rPr>
      </w:pPr>
      <w:r>
        <w:rPr>
          <w:rFonts w:hint="eastAsia" w:hAnsi="宋体" w:cs="宋体"/>
          <w:bCs/>
          <w:szCs w:val="21"/>
        </w:rPr>
        <w:t xml:space="preserve">3.4  </w:t>
      </w:r>
      <w:r>
        <w:rPr>
          <w:rFonts w:hint="eastAsia" w:hAnsi="宋体" w:cs="宋体"/>
          <w:szCs w:val="21"/>
        </w:rPr>
        <w:t xml:space="preserve">磋商供应商不得直接或间接地与为本次采购的项目内容进行设计、编制规范和其他文件的咨询公司、采购人、采购代理机构或其附属机构有任何关联。 </w:t>
      </w:r>
    </w:p>
    <w:p w14:paraId="0196723A">
      <w:pPr>
        <w:spacing w:line="360" w:lineRule="auto"/>
        <w:ind w:firstLine="418"/>
        <w:rPr>
          <w:rFonts w:ascii="宋体" w:hAnsi="宋体" w:cs="宋体"/>
          <w:szCs w:val="21"/>
        </w:rPr>
      </w:pPr>
      <w:r>
        <w:rPr>
          <w:rFonts w:hint="eastAsia" w:ascii="宋体" w:hAnsi="宋体" w:cs="宋体"/>
          <w:szCs w:val="21"/>
        </w:rPr>
        <w:t>4.质疑</w:t>
      </w:r>
    </w:p>
    <w:p w14:paraId="29CAB00F">
      <w:pPr>
        <w:spacing w:line="360" w:lineRule="auto"/>
        <w:ind w:firstLine="418"/>
        <w:rPr>
          <w:rFonts w:ascii="宋体" w:hAnsi="宋体" w:cs="宋体"/>
          <w:szCs w:val="21"/>
        </w:rPr>
      </w:pPr>
      <w:r>
        <w:rPr>
          <w:rFonts w:hint="eastAsia" w:ascii="宋体" w:hAnsi="宋体" w:cs="宋体"/>
          <w:szCs w:val="21"/>
        </w:rPr>
        <w:t>4.1  磋商供应商认为竞争性磋商文件、采购过程或成交结果使自己的合法权益受到损害的，应当在知道或者应知其权益受到损害之日起七个工作日内，以书面形式向采购人、采购代理机构提出质疑。</w:t>
      </w:r>
    </w:p>
    <w:p w14:paraId="0D5D7134">
      <w:pPr>
        <w:spacing w:line="360" w:lineRule="auto"/>
        <w:ind w:firstLine="418"/>
        <w:rPr>
          <w:rFonts w:ascii="宋体" w:hAnsi="宋体" w:cs="宋体"/>
          <w:szCs w:val="21"/>
        </w:rPr>
      </w:pPr>
      <w:r>
        <w:rPr>
          <w:rFonts w:hint="eastAsia" w:ascii="宋体" w:hAnsi="宋体" w:cs="宋体"/>
          <w:szCs w:val="21"/>
        </w:rPr>
        <w:t>4.2提出质疑的磋商供应商应当是参与所质疑项目采购活动的供应商，质疑函应按</w:t>
      </w:r>
      <w:r>
        <w:rPr>
          <w:rFonts w:hint="eastAsia"/>
        </w:rPr>
        <w:fldChar w:fldCharType="begin"/>
      </w:r>
      <w:r>
        <w:instrText xml:space="preserve"> HYPERLINK "https://www.baidu.com/link?url=FnEKpEfecgHI29OKpvrr0ThhhsjQDNw-iC11hZexO2s8DSLZMvZjUN1CP-ntt8geS3G5mNVZ0i2D2OwgmglOo6vjFDXXMR3ZdYuFwaHcBwa&amp;wd=&amp;eqid=f309d5cf0000e588000000065a976ec3" \t "_blank" </w:instrText>
      </w:r>
      <w:r>
        <w:rPr>
          <w:rFonts w:hint="eastAsia"/>
        </w:rPr>
        <w:fldChar w:fldCharType="separate"/>
      </w:r>
      <w:r>
        <w:rPr>
          <w:rFonts w:hint="eastAsia" w:ascii="宋体" w:hAnsi="宋体" w:cs="宋体"/>
          <w:szCs w:val="21"/>
        </w:rPr>
        <w:t>财政部发布《政府采购供应商质疑函范本》</w:t>
      </w:r>
      <w:r>
        <w:rPr>
          <w:rFonts w:hint="eastAsia" w:ascii="宋体" w:hAnsi="宋体" w:cs="宋体"/>
          <w:szCs w:val="21"/>
        </w:rPr>
        <w:fldChar w:fldCharType="end"/>
      </w:r>
      <w:r>
        <w:rPr>
          <w:rFonts w:hint="eastAsia" w:ascii="宋体" w:hAnsi="宋体" w:cs="宋体"/>
          <w:szCs w:val="21"/>
        </w:rPr>
        <w:t>编制，质疑函内容或格式不符合其规定的，磋商供应商应按该范本要求进行修改后重新提交。其必须在法定质疑期内一次性提出针对同一采购程序环节的质疑。供应商对同一采购程序环节重复提出质疑的，采购代理机构将不予受理。且其质疑行为和质疑函内容应当符合《政府采购质疑和投诉办法》（中华人民共和国财政部令第94号）规定。</w:t>
      </w:r>
    </w:p>
    <w:p w14:paraId="0E13B155">
      <w:pPr>
        <w:spacing w:line="360" w:lineRule="auto"/>
        <w:ind w:firstLine="418"/>
        <w:rPr>
          <w:rFonts w:ascii="宋体" w:hAnsi="宋体" w:cs="宋体"/>
          <w:szCs w:val="21"/>
        </w:rPr>
      </w:pPr>
      <w:r>
        <w:rPr>
          <w:rFonts w:hint="eastAsia" w:ascii="宋体" w:hAnsi="宋体" w:cs="宋体"/>
          <w:szCs w:val="21"/>
        </w:rPr>
        <w:t>4.3供应商质疑实行实名制，其质疑应当有具体的质疑事项及事实根据，质疑应当坚持依法依规、诚实信用原则，不得进行虚假、恶意质疑。</w:t>
      </w:r>
    </w:p>
    <w:p w14:paraId="7E788380">
      <w:pPr>
        <w:spacing w:line="360" w:lineRule="auto"/>
        <w:ind w:firstLine="418"/>
        <w:rPr>
          <w:rFonts w:ascii="宋体" w:hAnsi="宋体" w:cs="宋体"/>
          <w:szCs w:val="21"/>
        </w:rPr>
      </w:pPr>
      <w:r>
        <w:rPr>
          <w:rFonts w:hint="eastAsia" w:ascii="宋体" w:hAnsi="宋体" w:cs="宋体"/>
          <w:szCs w:val="21"/>
        </w:rPr>
        <w:t>4.4供应商提交质疑应当提交质疑函和必要的证明材料，质疑函应当包括下列内容：</w:t>
      </w:r>
    </w:p>
    <w:p w14:paraId="2B18A6D0">
      <w:pPr>
        <w:spacing w:line="360" w:lineRule="auto"/>
        <w:ind w:firstLine="418"/>
        <w:rPr>
          <w:rFonts w:ascii="宋体" w:hAnsi="宋体" w:cs="宋体"/>
          <w:szCs w:val="21"/>
        </w:rPr>
      </w:pPr>
      <w:r>
        <w:rPr>
          <w:rFonts w:hint="eastAsia" w:ascii="宋体" w:hAnsi="宋体" w:cs="宋体"/>
          <w:szCs w:val="21"/>
        </w:rPr>
        <w:t>（1）供应商的姓名或者名称、地址、邮编、联系人及联系电话；</w:t>
      </w:r>
    </w:p>
    <w:p w14:paraId="66D6F682">
      <w:pPr>
        <w:spacing w:line="360" w:lineRule="auto"/>
        <w:ind w:firstLine="418"/>
        <w:rPr>
          <w:rFonts w:ascii="宋体" w:hAnsi="宋体" w:cs="宋体"/>
          <w:szCs w:val="21"/>
        </w:rPr>
      </w:pPr>
      <w:r>
        <w:rPr>
          <w:rFonts w:hint="eastAsia" w:ascii="宋体" w:hAnsi="宋体" w:cs="宋体"/>
          <w:szCs w:val="21"/>
        </w:rPr>
        <w:t>（2）质疑项目的名称、编号；</w:t>
      </w:r>
    </w:p>
    <w:p w14:paraId="6A416B7A">
      <w:pPr>
        <w:spacing w:line="360" w:lineRule="auto"/>
        <w:ind w:firstLine="418"/>
        <w:rPr>
          <w:rFonts w:ascii="宋体" w:hAnsi="宋体" w:cs="宋体"/>
          <w:szCs w:val="21"/>
        </w:rPr>
      </w:pPr>
      <w:r>
        <w:rPr>
          <w:rFonts w:hint="eastAsia" w:ascii="宋体" w:hAnsi="宋体" w:cs="宋体"/>
          <w:szCs w:val="21"/>
        </w:rPr>
        <w:t>（3）具体、明确的质疑事项和质疑事项相关的请求；</w:t>
      </w:r>
    </w:p>
    <w:p w14:paraId="52BD265B">
      <w:pPr>
        <w:spacing w:line="360" w:lineRule="auto"/>
        <w:ind w:firstLine="418"/>
        <w:rPr>
          <w:rFonts w:ascii="宋体" w:hAnsi="宋体" w:cs="宋体"/>
          <w:szCs w:val="21"/>
        </w:rPr>
      </w:pPr>
      <w:r>
        <w:rPr>
          <w:rFonts w:hint="eastAsia" w:ascii="宋体" w:hAnsi="宋体" w:cs="宋体"/>
          <w:szCs w:val="21"/>
        </w:rPr>
        <w:t>（4）事实依据；</w:t>
      </w:r>
    </w:p>
    <w:p w14:paraId="2E1EF9D3">
      <w:pPr>
        <w:spacing w:line="360" w:lineRule="auto"/>
        <w:ind w:firstLine="418"/>
        <w:rPr>
          <w:rFonts w:ascii="宋体" w:hAnsi="宋体" w:cs="宋体"/>
          <w:szCs w:val="21"/>
        </w:rPr>
      </w:pPr>
      <w:r>
        <w:rPr>
          <w:rFonts w:hint="eastAsia" w:ascii="宋体" w:hAnsi="宋体" w:cs="宋体"/>
          <w:szCs w:val="21"/>
        </w:rPr>
        <w:t>（5）必要的法律依据；</w:t>
      </w:r>
    </w:p>
    <w:p w14:paraId="6A912354">
      <w:pPr>
        <w:spacing w:line="360" w:lineRule="auto"/>
        <w:ind w:firstLine="418"/>
        <w:rPr>
          <w:rFonts w:hint="eastAsia" w:ascii="宋体" w:hAnsi="宋体" w:cs="宋体"/>
          <w:szCs w:val="21"/>
        </w:rPr>
      </w:pPr>
      <w:r>
        <w:rPr>
          <w:rFonts w:hint="eastAsia" w:ascii="宋体" w:hAnsi="宋体" w:cs="宋体"/>
          <w:szCs w:val="21"/>
        </w:rPr>
        <w:t>（6）提起质疑的日期；</w:t>
      </w:r>
    </w:p>
    <w:p w14:paraId="14D6BB98">
      <w:pPr>
        <w:pStyle w:val="2"/>
        <w:ind w:firstLine="420" w:firstLineChars="200"/>
        <w:rPr>
          <w:rFonts w:hint="eastAsia"/>
        </w:rPr>
      </w:pPr>
      <w:r>
        <w:rPr>
          <w:rFonts w:hint="eastAsia"/>
          <w:lang w:eastAsia="zh-CN"/>
        </w:rPr>
        <w:t>（</w:t>
      </w:r>
      <w:r>
        <w:rPr>
          <w:rFonts w:hint="eastAsia"/>
          <w:lang w:val="en-US" w:eastAsia="zh-CN"/>
        </w:rPr>
        <w:t>7）</w:t>
      </w:r>
      <w:r>
        <w:rPr>
          <w:rFonts w:hint="eastAsia"/>
        </w:rPr>
        <w:t>营业执照（或事业单位法人证书）复印件；</w:t>
      </w:r>
    </w:p>
    <w:p w14:paraId="3B9D2D86">
      <w:pPr>
        <w:spacing w:line="360" w:lineRule="auto"/>
        <w:ind w:firstLine="418"/>
        <w:rPr>
          <w:rFonts w:ascii="宋体" w:hAnsi="宋体" w:cs="宋体"/>
          <w:szCs w:val="21"/>
        </w:rPr>
      </w:pPr>
      <w:r>
        <w:rPr>
          <w:rFonts w:hint="eastAsia" w:ascii="宋体" w:hAnsi="宋体" w:cs="宋体"/>
          <w:szCs w:val="21"/>
        </w:rPr>
        <w:t>质疑书应当署名。供应商为自然人的，应当由本人签字；质疑供应商为法人或者其他组织的，应当由法定代表人、主要负责人签字或其授权代表签字或盖章并加盖公章。</w:t>
      </w:r>
    </w:p>
    <w:p w14:paraId="0F132C51">
      <w:pPr>
        <w:spacing w:line="360" w:lineRule="auto"/>
        <w:ind w:firstLine="418"/>
        <w:rPr>
          <w:rFonts w:ascii="宋体" w:hAnsi="宋体" w:cs="宋体"/>
          <w:szCs w:val="21"/>
        </w:rPr>
      </w:pPr>
      <w:r>
        <w:rPr>
          <w:rFonts w:hint="eastAsia" w:ascii="宋体" w:hAnsi="宋体" w:cs="宋体"/>
          <w:szCs w:val="21"/>
        </w:rPr>
        <w:t>4.5 质疑供应商可以委托代理人办理质疑事务。委托代理人办理质疑事务时，除提交质疑书外，还应当提交质疑供应商的授权委托书，授权委托书应当载明委托代理的具体权限和事项；提交委托代理人身份证明复印件（原件备查）。</w:t>
      </w:r>
    </w:p>
    <w:p w14:paraId="0C2686D0">
      <w:pPr>
        <w:spacing w:line="360" w:lineRule="auto"/>
        <w:ind w:firstLine="418"/>
        <w:rPr>
          <w:rFonts w:ascii="宋体" w:hAnsi="宋体" w:cs="宋体"/>
          <w:szCs w:val="21"/>
        </w:rPr>
      </w:pPr>
      <w:r>
        <w:rPr>
          <w:rFonts w:hint="eastAsia" w:ascii="宋体" w:hAnsi="宋体" w:cs="宋体"/>
          <w:szCs w:val="21"/>
        </w:rPr>
        <w:t>4.6  质疑供应商提起质疑应当符合下列条件：</w:t>
      </w:r>
    </w:p>
    <w:p w14:paraId="029D8648">
      <w:pPr>
        <w:spacing w:line="360" w:lineRule="auto"/>
        <w:ind w:firstLine="418"/>
        <w:rPr>
          <w:rFonts w:ascii="宋体" w:hAnsi="宋体" w:cs="宋体"/>
          <w:szCs w:val="21"/>
        </w:rPr>
      </w:pPr>
      <w:r>
        <w:rPr>
          <w:rFonts w:hint="eastAsia" w:ascii="宋体" w:hAnsi="宋体" w:cs="宋体"/>
          <w:szCs w:val="21"/>
        </w:rPr>
        <w:t>（1）质疑供应商是参与所质疑采购活动的供应商，以联合体形式参加采购活动的，其质疑应当由组成联合体的所有供应商共同提出；</w:t>
      </w:r>
    </w:p>
    <w:p w14:paraId="5179A8FD">
      <w:pPr>
        <w:spacing w:line="360" w:lineRule="auto"/>
        <w:ind w:firstLine="418"/>
        <w:rPr>
          <w:rFonts w:ascii="宋体" w:hAnsi="宋体" w:cs="宋体"/>
          <w:szCs w:val="21"/>
        </w:rPr>
      </w:pPr>
      <w:r>
        <w:rPr>
          <w:rFonts w:hint="eastAsia" w:ascii="宋体" w:hAnsi="宋体" w:cs="宋体"/>
          <w:szCs w:val="21"/>
        </w:rPr>
        <w:t>（2）质疑函内容符合本章第4.4项的规定；</w:t>
      </w:r>
    </w:p>
    <w:p w14:paraId="1D3CB1FE">
      <w:pPr>
        <w:spacing w:line="360" w:lineRule="auto"/>
        <w:ind w:firstLine="418"/>
        <w:rPr>
          <w:rFonts w:ascii="宋体" w:hAnsi="宋体" w:cs="宋体"/>
          <w:szCs w:val="21"/>
        </w:rPr>
      </w:pPr>
      <w:r>
        <w:rPr>
          <w:rFonts w:hint="eastAsia" w:ascii="宋体" w:hAnsi="宋体" w:cs="宋体"/>
          <w:szCs w:val="21"/>
        </w:rPr>
        <w:t>（3）在质疑有效期限内提起质疑；</w:t>
      </w:r>
    </w:p>
    <w:p w14:paraId="010B0554">
      <w:pPr>
        <w:spacing w:line="360" w:lineRule="auto"/>
        <w:ind w:firstLine="418"/>
        <w:rPr>
          <w:rFonts w:ascii="宋体" w:hAnsi="宋体" w:cs="宋体"/>
          <w:szCs w:val="21"/>
        </w:rPr>
      </w:pPr>
      <w:r>
        <w:rPr>
          <w:rFonts w:hint="eastAsia" w:ascii="宋体" w:hAnsi="宋体" w:cs="宋体"/>
          <w:szCs w:val="21"/>
        </w:rPr>
        <w:t>（4）属于所质疑的采购人或采购人委托的采购代理机构组织的采购活动；</w:t>
      </w:r>
    </w:p>
    <w:p w14:paraId="127F422F">
      <w:pPr>
        <w:spacing w:line="360" w:lineRule="auto"/>
        <w:ind w:firstLine="418"/>
        <w:rPr>
          <w:rFonts w:ascii="宋体" w:hAnsi="宋体" w:cs="宋体"/>
          <w:szCs w:val="21"/>
        </w:rPr>
      </w:pPr>
      <w:r>
        <w:rPr>
          <w:rFonts w:hint="eastAsia" w:ascii="宋体" w:hAnsi="宋体" w:cs="宋体"/>
          <w:szCs w:val="21"/>
        </w:rPr>
        <w:t xml:space="preserve">（5）同一质疑事项未经采购人或采购人委托的采购代理机构质疑处理； </w:t>
      </w:r>
    </w:p>
    <w:p w14:paraId="668EF533">
      <w:pPr>
        <w:spacing w:line="360" w:lineRule="auto"/>
        <w:ind w:firstLine="418"/>
        <w:rPr>
          <w:rFonts w:ascii="宋体" w:hAnsi="宋体" w:cs="宋体"/>
          <w:szCs w:val="21"/>
        </w:rPr>
      </w:pPr>
      <w:r>
        <w:rPr>
          <w:rFonts w:hint="eastAsia" w:ascii="宋体" w:hAnsi="宋体" w:cs="宋体"/>
          <w:szCs w:val="21"/>
        </w:rPr>
        <w:t>（6）供应商对同一采购程序环节的质疑应当在质疑有效期内一次性提出；</w:t>
      </w:r>
    </w:p>
    <w:p w14:paraId="54FCD7BB">
      <w:pPr>
        <w:spacing w:line="360" w:lineRule="auto"/>
        <w:ind w:firstLine="418"/>
        <w:rPr>
          <w:rFonts w:ascii="宋体" w:hAnsi="宋体" w:cs="宋体"/>
          <w:szCs w:val="21"/>
        </w:rPr>
      </w:pPr>
      <w:r>
        <w:rPr>
          <w:rFonts w:hint="eastAsia" w:ascii="宋体" w:hAnsi="宋体" w:cs="宋体"/>
          <w:szCs w:val="21"/>
        </w:rPr>
        <w:t>（7）供应商提交质疑应当提交必要的证明材料，证明材料应以合法手段取得；</w:t>
      </w:r>
    </w:p>
    <w:p w14:paraId="4239705E">
      <w:pPr>
        <w:spacing w:line="360" w:lineRule="auto"/>
        <w:ind w:firstLine="418"/>
        <w:rPr>
          <w:rFonts w:ascii="宋体" w:hAnsi="宋体" w:cs="宋体"/>
          <w:szCs w:val="21"/>
        </w:rPr>
      </w:pPr>
      <w:r>
        <w:rPr>
          <w:rFonts w:hint="eastAsia" w:ascii="宋体" w:hAnsi="宋体" w:cs="宋体"/>
          <w:szCs w:val="21"/>
        </w:rPr>
        <w:t>（8）财政部门规定的其他条件。</w:t>
      </w:r>
    </w:p>
    <w:p w14:paraId="7B1F7D1C">
      <w:pPr>
        <w:spacing w:line="360" w:lineRule="auto"/>
        <w:ind w:firstLine="418"/>
        <w:rPr>
          <w:rFonts w:ascii="宋体" w:hAnsi="宋体" w:cs="宋体"/>
          <w:szCs w:val="21"/>
        </w:rPr>
      </w:pPr>
      <w:r>
        <w:rPr>
          <w:rFonts w:hint="eastAsia" w:ascii="宋体" w:hAnsi="宋体" w:cs="宋体"/>
          <w:szCs w:val="21"/>
        </w:rPr>
        <w:t>4.7  采购人或采购人委托的采购代理机构自受理质疑之日起七个工作日内，对质疑事项作出答复，并以书面形式通知质疑供应商及其他有关供应商。</w:t>
      </w:r>
    </w:p>
    <w:p w14:paraId="372EDB90">
      <w:pPr>
        <w:pStyle w:val="13"/>
        <w:spacing w:line="360" w:lineRule="auto"/>
        <w:ind w:firstLine="420" w:firstLineChars="200"/>
        <w:jc w:val="left"/>
        <w:rPr>
          <w:rFonts w:hAnsi="宋体" w:cs="宋体"/>
          <w:bCs/>
          <w:szCs w:val="21"/>
        </w:rPr>
      </w:pPr>
      <w:r>
        <w:rPr>
          <w:rFonts w:hint="eastAsia" w:hAnsi="宋体" w:cs="宋体"/>
          <w:bCs/>
          <w:szCs w:val="21"/>
        </w:rPr>
        <w:t>5. 投诉</w:t>
      </w:r>
    </w:p>
    <w:p w14:paraId="292465C3">
      <w:pPr>
        <w:pStyle w:val="13"/>
        <w:spacing w:line="360" w:lineRule="auto"/>
        <w:ind w:firstLine="420" w:firstLineChars="200"/>
        <w:jc w:val="left"/>
        <w:rPr>
          <w:rFonts w:hAnsi="宋体" w:cs="宋体"/>
          <w:bCs/>
          <w:szCs w:val="21"/>
        </w:rPr>
      </w:pPr>
      <w:r>
        <w:rPr>
          <w:rFonts w:hint="eastAsia" w:hAnsi="宋体" w:cs="宋体"/>
          <w:bCs/>
          <w:szCs w:val="21"/>
        </w:rPr>
        <w:t>5.1  供应商对采购人、采购代理机构的答复不满意，或者采购人、采购代理机构未在规定时间内作出答复的，可以在答复期满后15个工作日内按照相关法律法规向</w:t>
      </w:r>
      <w:r>
        <w:rPr>
          <w:rFonts w:hint="eastAsia" w:hAnsi="宋体" w:cs="宋体"/>
          <w:bCs/>
          <w:szCs w:val="21"/>
          <w:lang w:val="en-US" w:eastAsia="zh-CN"/>
        </w:rPr>
        <w:t>相关</w:t>
      </w:r>
      <w:r>
        <w:rPr>
          <w:rFonts w:hint="eastAsia" w:hAnsi="宋体" w:cs="宋体"/>
          <w:bCs/>
          <w:szCs w:val="21"/>
        </w:rPr>
        <w:t>部门提起投诉。</w:t>
      </w:r>
    </w:p>
    <w:p w14:paraId="2D0F3BFB">
      <w:pPr>
        <w:pStyle w:val="13"/>
        <w:spacing w:line="360" w:lineRule="auto"/>
        <w:ind w:firstLine="420" w:firstLineChars="200"/>
        <w:jc w:val="left"/>
        <w:rPr>
          <w:rFonts w:hAnsi="宋体" w:cs="宋体"/>
          <w:szCs w:val="21"/>
        </w:rPr>
      </w:pPr>
      <w:r>
        <w:rPr>
          <w:rFonts w:hint="eastAsia" w:hAnsi="宋体" w:cs="宋体"/>
          <w:szCs w:val="21"/>
        </w:rPr>
        <w:t>5.2  投诉人投诉时，应当提交投诉书，并按照被投诉采购人、采购代理机构和与投诉事项有关的供应商数量提供投诉书的副本。投诉书应当包括下列主要内容（如材料中有外文资料应同时附上对应的中文译本）：</w:t>
      </w:r>
    </w:p>
    <w:p w14:paraId="23E2DC26">
      <w:pPr>
        <w:pStyle w:val="13"/>
        <w:spacing w:line="360" w:lineRule="auto"/>
        <w:ind w:firstLine="420" w:firstLineChars="200"/>
        <w:jc w:val="left"/>
        <w:rPr>
          <w:rFonts w:hAnsi="宋体" w:cs="宋体"/>
          <w:szCs w:val="21"/>
        </w:rPr>
      </w:pPr>
      <w:r>
        <w:rPr>
          <w:rFonts w:hint="eastAsia" w:hAnsi="宋体" w:cs="宋体"/>
          <w:szCs w:val="21"/>
        </w:rPr>
        <w:t xml:space="preserve">（1）投诉人和被投诉人的名称、地址、电话等； </w:t>
      </w:r>
    </w:p>
    <w:p w14:paraId="4C9813D1">
      <w:pPr>
        <w:pStyle w:val="13"/>
        <w:spacing w:line="360" w:lineRule="auto"/>
        <w:ind w:firstLine="420" w:firstLineChars="200"/>
        <w:jc w:val="left"/>
        <w:rPr>
          <w:rFonts w:hAnsi="宋体" w:cs="宋体"/>
          <w:szCs w:val="21"/>
        </w:rPr>
      </w:pPr>
      <w:r>
        <w:rPr>
          <w:rFonts w:hint="eastAsia" w:hAnsi="宋体" w:cs="宋体"/>
          <w:szCs w:val="21"/>
        </w:rPr>
        <w:t>（2）具体的投诉事项及事实依据；</w:t>
      </w:r>
    </w:p>
    <w:p w14:paraId="49C0FAEE">
      <w:pPr>
        <w:pStyle w:val="13"/>
        <w:spacing w:line="360" w:lineRule="auto"/>
        <w:ind w:firstLine="420" w:firstLineChars="200"/>
        <w:jc w:val="left"/>
        <w:rPr>
          <w:rFonts w:hAnsi="宋体" w:cs="宋体"/>
          <w:szCs w:val="21"/>
        </w:rPr>
      </w:pPr>
      <w:r>
        <w:rPr>
          <w:rFonts w:hint="eastAsia" w:hAnsi="宋体" w:cs="宋体"/>
          <w:szCs w:val="21"/>
        </w:rPr>
        <w:t xml:space="preserve">（3）质疑和质疑答复情况及相关证明材料； </w:t>
      </w:r>
    </w:p>
    <w:p w14:paraId="56A4633A">
      <w:pPr>
        <w:pStyle w:val="13"/>
        <w:tabs>
          <w:tab w:val="right" w:pos="9638"/>
        </w:tabs>
        <w:spacing w:line="360" w:lineRule="auto"/>
        <w:ind w:firstLine="420" w:firstLineChars="200"/>
        <w:jc w:val="left"/>
        <w:rPr>
          <w:rFonts w:hAnsi="宋体" w:cs="宋体"/>
          <w:szCs w:val="21"/>
        </w:rPr>
      </w:pPr>
      <w:r>
        <w:rPr>
          <w:rFonts w:hint="eastAsia" w:hAnsi="宋体" w:cs="宋体"/>
          <w:szCs w:val="21"/>
        </w:rPr>
        <w:t>（4）提起投诉的日期。</w:t>
      </w:r>
      <w:r>
        <w:rPr>
          <w:rFonts w:hint="eastAsia" w:hAnsi="宋体" w:cs="宋体"/>
          <w:szCs w:val="21"/>
        </w:rPr>
        <w:tab/>
      </w:r>
    </w:p>
    <w:p w14:paraId="50B40D21">
      <w:pPr>
        <w:pStyle w:val="13"/>
        <w:tabs>
          <w:tab w:val="right" w:pos="9638"/>
        </w:tabs>
        <w:spacing w:line="360" w:lineRule="auto"/>
        <w:ind w:firstLine="420" w:firstLineChars="200"/>
        <w:jc w:val="left"/>
        <w:rPr>
          <w:rFonts w:hAnsi="宋体" w:cs="宋体"/>
          <w:szCs w:val="21"/>
        </w:rPr>
      </w:pPr>
      <w:r>
        <w:rPr>
          <w:rFonts w:hint="eastAsia" w:hAnsi="宋体" w:cs="宋体"/>
          <w:szCs w:val="21"/>
        </w:rPr>
        <w:t>投诉书应当署名。投诉人为法人或者其他组织的，应当由法定代表人或者主要负责人签字盖章并加盖公章。</w:t>
      </w:r>
    </w:p>
    <w:p w14:paraId="6D8E0AE9">
      <w:pPr>
        <w:pStyle w:val="13"/>
        <w:spacing w:line="360" w:lineRule="auto"/>
        <w:ind w:firstLine="420" w:firstLineChars="200"/>
        <w:rPr>
          <w:rFonts w:hAnsi="宋体" w:cs="宋体"/>
          <w:color w:val="auto"/>
          <w:szCs w:val="21"/>
        </w:rPr>
      </w:pPr>
      <w:r>
        <w:rPr>
          <w:rFonts w:hint="eastAsia" w:hAnsi="宋体" w:cs="宋体"/>
          <w:szCs w:val="21"/>
        </w:rPr>
        <w:t>5.3  投诉人可以委托代理人办理投诉事务。代理人办理投诉事务时，除提交投诉书外，还应当提交投诉人的授权委托书，授权委托书应</w:t>
      </w:r>
      <w:r>
        <w:rPr>
          <w:rFonts w:hint="eastAsia" w:hAnsi="宋体" w:cs="宋体"/>
          <w:color w:val="auto"/>
          <w:szCs w:val="21"/>
        </w:rPr>
        <w:t>当载明委托代理的具体权限和事项。</w:t>
      </w:r>
    </w:p>
    <w:p w14:paraId="15257D58">
      <w:pPr>
        <w:pStyle w:val="13"/>
        <w:spacing w:line="360" w:lineRule="auto"/>
        <w:ind w:firstLine="420" w:firstLineChars="200"/>
        <w:rPr>
          <w:rFonts w:hAnsi="宋体" w:cs="宋体"/>
          <w:color w:val="auto"/>
          <w:szCs w:val="21"/>
        </w:rPr>
      </w:pPr>
      <w:r>
        <w:rPr>
          <w:rFonts w:hint="eastAsia" w:hAnsi="宋体" w:cs="宋体"/>
          <w:color w:val="auto"/>
          <w:szCs w:val="21"/>
        </w:rPr>
        <w:t>5.4  投诉人提起投诉应当符合下列条件：</w:t>
      </w:r>
    </w:p>
    <w:p w14:paraId="2F0A5D3C">
      <w:pPr>
        <w:spacing w:line="360" w:lineRule="auto"/>
        <w:ind w:firstLine="420" w:firstLineChars="200"/>
        <w:rPr>
          <w:rFonts w:hint="eastAsia" w:ascii="宋体" w:hAnsi="宋体" w:cs="宋体"/>
          <w:color w:val="auto"/>
        </w:rPr>
      </w:pPr>
      <w:r>
        <w:rPr>
          <w:rFonts w:hint="eastAsia" w:ascii="宋体" w:hAnsi="宋体" w:cs="宋体"/>
          <w:color w:val="auto"/>
        </w:rPr>
        <w:t>（1）投诉人是参与所投诉采购活动的供应商；</w:t>
      </w:r>
    </w:p>
    <w:p w14:paraId="2237A020">
      <w:pPr>
        <w:spacing w:line="360" w:lineRule="auto"/>
        <w:ind w:firstLine="420" w:firstLineChars="200"/>
        <w:rPr>
          <w:rFonts w:hint="eastAsia" w:ascii="宋体" w:hAnsi="宋体" w:cs="宋体"/>
          <w:color w:val="auto"/>
        </w:rPr>
      </w:pPr>
      <w:r>
        <w:rPr>
          <w:rFonts w:hint="eastAsia" w:ascii="宋体" w:hAnsi="宋体" w:cs="宋体"/>
          <w:color w:val="auto"/>
        </w:rPr>
        <w:t>（2）提起投诉前已依法进行质疑；</w:t>
      </w:r>
    </w:p>
    <w:p w14:paraId="0AE52E9F">
      <w:pPr>
        <w:spacing w:line="360" w:lineRule="auto"/>
        <w:ind w:firstLine="420" w:firstLineChars="200"/>
        <w:rPr>
          <w:rFonts w:hint="eastAsia" w:ascii="宋体" w:hAnsi="宋体" w:cs="宋体"/>
          <w:color w:val="auto"/>
        </w:rPr>
      </w:pPr>
      <w:r>
        <w:rPr>
          <w:rFonts w:hint="eastAsia" w:ascii="宋体" w:hAnsi="宋体" w:cs="宋体"/>
          <w:color w:val="auto"/>
        </w:rPr>
        <w:t>（3）投诉书内容符合本章第</w:t>
      </w:r>
      <w:r>
        <w:rPr>
          <w:rFonts w:hint="eastAsia" w:ascii="宋体" w:hAnsi="宋体" w:cs="宋体"/>
          <w:color w:val="auto"/>
          <w:lang w:val="en-US" w:eastAsia="zh-CN"/>
        </w:rPr>
        <w:t>5.2</w:t>
      </w:r>
      <w:r>
        <w:rPr>
          <w:rFonts w:hint="eastAsia" w:ascii="宋体" w:hAnsi="宋体" w:cs="宋体"/>
          <w:color w:val="auto"/>
        </w:rPr>
        <w:t>项的规定；</w:t>
      </w:r>
    </w:p>
    <w:p w14:paraId="766AE880">
      <w:pPr>
        <w:spacing w:line="360" w:lineRule="auto"/>
        <w:ind w:firstLine="420" w:firstLineChars="200"/>
        <w:rPr>
          <w:rFonts w:hint="eastAsia" w:ascii="宋体" w:hAnsi="宋体" w:cs="宋体"/>
          <w:color w:val="auto"/>
        </w:rPr>
      </w:pPr>
      <w:r>
        <w:rPr>
          <w:rFonts w:hint="eastAsia" w:ascii="宋体" w:hAnsi="宋体" w:cs="宋体"/>
          <w:color w:val="auto"/>
        </w:rPr>
        <w:t>（4）在投诉有效期限内提起投诉；</w:t>
      </w:r>
    </w:p>
    <w:p w14:paraId="5A18BAC1">
      <w:pPr>
        <w:spacing w:line="360" w:lineRule="auto"/>
        <w:ind w:firstLine="420" w:firstLineChars="200"/>
        <w:rPr>
          <w:rFonts w:hint="eastAsia" w:ascii="宋体" w:hAnsi="宋体" w:cs="宋体"/>
          <w:color w:val="auto"/>
        </w:rPr>
      </w:pPr>
      <w:r>
        <w:rPr>
          <w:rFonts w:hint="eastAsia" w:ascii="宋体" w:hAnsi="宋体" w:cs="宋体"/>
          <w:color w:val="auto"/>
        </w:rPr>
        <w:t>（6）同一投诉事项未经</w:t>
      </w:r>
      <w:r>
        <w:rPr>
          <w:rFonts w:hint="eastAsia" w:ascii="宋体" w:hAnsi="宋体" w:cs="宋体"/>
          <w:bCs/>
          <w:color w:val="auto"/>
        </w:rPr>
        <w:t>监督管理部门</w:t>
      </w:r>
      <w:r>
        <w:rPr>
          <w:rFonts w:hint="eastAsia" w:ascii="宋体" w:hAnsi="宋体" w:cs="宋体"/>
          <w:color w:val="auto"/>
        </w:rPr>
        <w:t>投诉处理；</w:t>
      </w:r>
    </w:p>
    <w:p w14:paraId="7A7300C8">
      <w:pPr>
        <w:spacing w:line="360" w:lineRule="auto"/>
        <w:ind w:firstLine="420" w:firstLineChars="200"/>
        <w:rPr>
          <w:rFonts w:hint="eastAsia" w:ascii="宋体" w:hAnsi="宋体" w:cs="宋体"/>
          <w:color w:val="auto"/>
        </w:rPr>
      </w:pPr>
      <w:r>
        <w:rPr>
          <w:rFonts w:hint="eastAsia" w:ascii="宋体" w:hAnsi="宋体" w:cs="宋体"/>
          <w:color w:val="auto"/>
        </w:rPr>
        <w:t>（7）国务院财政部门规定的其他条件。</w:t>
      </w:r>
    </w:p>
    <w:p w14:paraId="42EADD84">
      <w:pPr>
        <w:spacing w:line="360" w:lineRule="auto"/>
        <w:ind w:firstLine="420" w:firstLineChars="200"/>
        <w:rPr>
          <w:rFonts w:ascii="宋体" w:hAnsi="宋体" w:cs="宋体"/>
          <w:szCs w:val="21"/>
        </w:rPr>
      </w:pPr>
      <w:r>
        <w:rPr>
          <w:rFonts w:hint="eastAsia" w:ascii="宋体" w:hAnsi="宋体" w:cs="宋体"/>
          <w:color w:val="auto"/>
          <w:szCs w:val="21"/>
        </w:rPr>
        <w:t>5.5在确定受理投诉后，</w:t>
      </w:r>
      <w:r>
        <w:rPr>
          <w:rFonts w:hint="eastAsia" w:ascii="宋体" w:hAnsi="宋体" w:cs="宋体"/>
          <w:color w:val="auto"/>
          <w:szCs w:val="21"/>
          <w:lang w:eastAsia="zh-CN"/>
        </w:rPr>
        <w:t>相关</w:t>
      </w:r>
      <w:r>
        <w:rPr>
          <w:rFonts w:hint="eastAsia" w:ascii="宋体" w:hAnsi="宋体" w:cs="宋体"/>
          <w:color w:val="auto"/>
          <w:szCs w:val="21"/>
        </w:rPr>
        <w:t>部门自受理投诉之日起30个</w:t>
      </w:r>
      <w:r>
        <w:rPr>
          <w:rFonts w:hint="eastAsia" w:ascii="宋体" w:hAnsi="宋体" w:cs="宋体"/>
          <w:szCs w:val="21"/>
        </w:rPr>
        <w:t>工作日内（需要检验、检测、鉴定、专家评审以及需要投诉人补正材料的，所需时间不计算在投诉处理期限内）对投诉事项做出处理决定。</w:t>
      </w:r>
    </w:p>
    <w:p w14:paraId="516A9CDE">
      <w:pPr>
        <w:pStyle w:val="13"/>
        <w:spacing w:line="360" w:lineRule="auto"/>
        <w:ind w:firstLine="420" w:firstLineChars="200"/>
        <w:rPr>
          <w:rFonts w:hAnsi="宋体" w:cs="宋体"/>
          <w:bCs/>
          <w:szCs w:val="21"/>
        </w:rPr>
      </w:pPr>
      <w:r>
        <w:rPr>
          <w:rFonts w:hint="eastAsia" w:hAnsi="宋体" w:cs="宋体"/>
          <w:szCs w:val="21"/>
        </w:rPr>
        <w:t>5.6  采购单位在处理投诉事项期间，可以视具体情况暂停采购活动。</w:t>
      </w:r>
    </w:p>
    <w:p w14:paraId="00AE47D6">
      <w:pPr>
        <w:pStyle w:val="26"/>
        <w:spacing w:line="360" w:lineRule="auto"/>
        <w:outlineLvl w:val="1"/>
        <w:rPr>
          <w:rFonts w:ascii="宋体" w:hAnsi="宋体" w:cs="宋体"/>
          <w:sz w:val="21"/>
          <w:szCs w:val="21"/>
        </w:rPr>
      </w:pPr>
      <w:bookmarkStart w:id="64" w:name="_Toc24502"/>
      <w:bookmarkStart w:id="65" w:name="_Toc213326417"/>
      <w:bookmarkStart w:id="66" w:name="_Toc7579"/>
      <w:bookmarkStart w:id="67" w:name="_Toc495334411"/>
      <w:bookmarkStart w:id="68" w:name="_Toc18027"/>
      <w:bookmarkStart w:id="69" w:name="_Toc3792"/>
      <w:r>
        <w:rPr>
          <w:rFonts w:hint="eastAsia" w:ascii="宋体" w:hAnsi="宋体" w:cs="宋体"/>
          <w:sz w:val="21"/>
          <w:szCs w:val="21"/>
        </w:rPr>
        <w:t>二    竞争性磋商采购文件</w:t>
      </w:r>
      <w:bookmarkEnd w:id="64"/>
      <w:bookmarkEnd w:id="65"/>
      <w:bookmarkEnd w:id="66"/>
      <w:bookmarkEnd w:id="67"/>
      <w:bookmarkEnd w:id="68"/>
      <w:bookmarkEnd w:id="69"/>
    </w:p>
    <w:p w14:paraId="0CAAF6E0">
      <w:pPr>
        <w:pStyle w:val="13"/>
        <w:spacing w:line="360" w:lineRule="auto"/>
        <w:rPr>
          <w:rFonts w:hAnsi="宋体" w:cs="宋体"/>
          <w:bCs/>
          <w:szCs w:val="21"/>
        </w:rPr>
      </w:pPr>
      <w:r>
        <w:rPr>
          <w:rFonts w:hint="eastAsia" w:hAnsi="宋体" w:cs="宋体"/>
          <w:bCs/>
          <w:szCs w:val="21"/>
        </w:rPr>
        <w:t>6.  竞争性磋商采购文件的组成</w:t>
      </w:r>
    </w:p>
    <w:p w14:paraId="4E89A508">
      <w:pPr>
        <w:pStyle w:val="13"/>
        <w:spacing w:line="360" w:lineRule="auto"/>
        <w:ind w:firstLine="420" w:firstLineChars="200"/>
        <w:rPr>
          <w:rFonts w:hAnsi="宋体" w:cs="宋体"/>
          <w:szCs w:val="21"/>
        </w:rPr>
      </w:pPr>
      <w:r>
        <w:rPr>
          <w:rFonts w:hint="eastAsia" w:hAnsi="宋体" w:cs="宋体"/>
          <w:szCs w:val="21"/>
        </w:rPr>
        <w:t>6.1  本</w:t>
      </w:r>
      <w:r>
        <w:rPr>
          <w:rFonts w:hint="eastAsia" w:hAnsi="宋体" w:cs="宋体"/>
          <w:bCs/>
          <w:szCs w:val="21"/>
        </w:rPr>
        <w:t>竞争性磋商采购文件</w:t>
      </w:r>
      <w:r>
        <w:rPr>
          <w:rFonts w:hint="eastAsia" w:hAnsi="宋体" w:cs="宋体"/>
          <w:szCs w:val="21"/>
        </w:rPr>
        <w:t>包括六个章节，各章的内容如下：</w:t>
      </w:r>
    </w:p>
    <w:p w14:paraId="31EECC30">
      <w:pPr>
        <w:pStyle w:val="13"/>
        <w:spacing w:line="360" w:lineRule="auto"/>
        <w:ind w:firstLine="420" w:firstLineChars="200"/>
        <w:rPr>
          <w:rFonts w:hAnsi="宋体" w:cs="宋体"/>
          <w:szCs w:val="21"/>
        </w:rPr>
      </w:pPr>
      <w:r>
        <w:fldChar w:fldCharType="begin"/>
      </w:r>
      <w:r>
        <w:instrText xml:space="preserve"> HYPERLINK \l "_Toc32264" </w:instrText>
      </w:r>
      <w:r>
        <w:fldChar w:fldCharType="separate"/>
      </w:r>
      <w:r>
        <w:rPr>
          <w:rFonts w:hint="eastAsia" w:hAnsi="宋体" w:cs="宋体"/>
          <w:szCs w:val="21"/>
        </w:rPr>
        <w:t xml:space="preserve">第一章 </w:t>
      </w:r>
      <w:r>
        <w:rPr>
          <w:rFonts w:hint="eastAsia" w:hAnsi="宋体" w:cs="宋体"/>
          <w:szCs w:val="21"/>
          <w:lang w:val="en-US" w:eastAsia="zh-CN"/>
        </w:rPr>
        <w:t xml:space="preserve"> </w:t>
      </w:r>
      <w:r>
        <w:rPr>
          <w:rFonts w:hint="eastAsia" w:hAnsi="宋体" w:cs="宋体"/>
          <w:szCs w:val="21"/>
        </w:rPr>
        <w:t>公告</w:t>
      </w:r>
      <w:r>
        <w:rPr>
          <w:rFonts w:hint="eastAsia" w:hAnsi="宋体" w:cs="宋体"/>
          <w:szCs w:val="21"/>
        </w:rPr>
        <w:tab/>
      </w:r>
      <w:r>
        <w:rPr>
          <w:rFonts w:hint="eastAsia" w:hAnsi="宋体" w:cs="宋体"/>
          <w:szCs w:val="21"/>
        </w:rPr>
        <w:fldChar w:fldCharType="end"/>
      </w:r>
    </w:p>
    <w:p w14:paraId="4807ECA1">
      <w:pPr>
        <w:pStyle w:val="13"/>
        <w:spacing w:line="360" w:lineRule="auto"/>
        <w:ind w:firstLine="420" w:firstLineChars="200"/>
        <w:rPr>
          <w:rFonts w:hAnsi="宋体" w:cs="宋体"/>
          <w:szCs w:val="21"/>
        </w:rPr>
      </w:pPr>
      <w:r>
        <w:fldChar w:fldCharType="begin"/>
      </w:r>
      <w:r>
        <w:instrText xml:space="preserve"> HYPERLINK \l "_Toc14507" </w:instrText>
      </w:r>
      <w:r>
        <w:fldChar w:fldCharType="separate"/>
      </w:r>
      <w:r>
        <w:rPr>
          <w:rFonts w:hint="eastAsia" w:hAnsi="宋体" w:cs="宋体"/>
          <w:szCs w:val="21"/>
        </w:rPr>
        <w:t>第二章  磋商供应商须知</w:t>
      </w:r>
      <w:r>
        <w:rPr>
          <w:rFonts w:hint="eastAsia" w:hAnsi="宋体" w:cs="宋体"/>
          <w:szCs w:val="21"/>
        </w:rPr>
        <w:fldChar w:fldCharType="end"/>
      </w:r>
    </w:p>
    <w:p w14:paraId="539C97E9">
      <w:pPr>
        <w:pStyle w:val="13"/>
        <w:spacing w:line="360" w:lineRule="auto"/>
        <w:ind w:firstLine="420" w:firstLineChars="200"/>
        <w:rPr>
          <w:rFonts w:hAnsi="宋体" w:cs="宋体"/>
          <w:szCs w:val="21"/>
        </w:rPr>
      </w:pPr>
      <w:r>
        <w:fldChar w:fldCharType="begin"/>
      </w:r>
      <w:r>
        <w:instrText xml:space="preserve"> HYPERLINK \l "_Toc27800" </w:instrText>
      </w:r>
      <w:r>
        <w:fldChar w:fldCharType="separate"/>
      </w:r>
      <w:r>
        <w:rPr>
          <w:rFonts w:hint="eastAsia" w:hAnsi="宋体" w:cs="宋体"/>
          <w:szCs w:val="21"/>
        </w:rPr>
        <w:t>第三章  服务需求一览表</w:t>
      </w:r>
      <w:r>
        <w:rPr>
          <w:rFonts w:hint="eastAsia" w:hAnsi="宋体" w:cs="宋体"/>
          <w:szCs w:val="21"/>
        </w:rPr>
        <w:tab/>
      </w:r>
      <w:r>
        <w:rPr>
          <w:rFonts w:hint="eastAsia" w:hAnsi="宋体" w:cs="宋体"/>
          <w:szCs w:val="21"/>
        </w:rPr>
        <w:fldChar w:fldCharType="end"/>
      </w:r>
    </w:p>
    <w:p w14:paraId="48FED6AF">
      <w:pPr>
        <w:pStyle w:val="13"/>
        <w:spacing w:line="360" w:lineRule="auto"/>
        <w:ind w:firstLine="420" w:firstLineChars="200"/>
        <w:rPr>
          <w:rFonts w:hAnsi="宋体" w:cs="宋体"/>
          <w:szCs w:val="21"/>
        </w:rPr>
      </w:pPr>
      <w:r>
        <w:fldChar w:fldCharType="begin"/>
      </w:r>
      <w:r>
        <w:instrText xml:space="preserve"> HYPERLINK \l "_Toc32375" </w:instrText>
      </w:r>
      <w:r>
        <w:fldChar w:fldCharType="separate"/>
      </w:r>
      <w:r>
        <w:rPr>
          <w:rFonts w:hint="eastAsia" w:hAnsi="宋体" w:cs="宋体"/>
          <w:szCs w:val="21"/>
        </w:rPr>
        <w:t>第四章  响应文件格式</w:t>
      </w:r>
      <w:r>
        <w:rPr>
          <w:rFonts w:hint="eastAsia" w:hAnsi="宋体" w:cs="宋体"/>
          <w:szCs w:val="21"/>
        </w:rPr>
        <w:tab/>
      </w:r>
      <w:r>
        <w:rPr>
          <w:rFonts w:hint="eastAsia" w:hAnsi="宋体" w:cs="宋体"/>
          <w:szCs w:val="21"/>
        </w:rPr>
        <w:fldChar w:fldCharType="end"/>
      </w:r>
    </w:p>
    <w:p w14:paraId="7034FB5C">
      <w:pPr>
        <w:pStyle w:val="13"/>
        <w:spacing w:line="360" w:lineRule="auto"/>
        <w:ind w:firstLine="420" w:firstLineChars="200"/>
        <w:rPr>
          <w:rFonts w:hAnsi="宋体" w:cs="宋体"/>
          <w:szCs w:val="21"/>
        </w:rPr>
      </w:pPr>
      <w:r>
        <w:fldChar w:fldCharType="begin"/>
      </w:r>
      <w:r>
        <w:instrText xml:space="preserve"> HYPERLINK \l "_Toc18117" </w:instrText>
      </w:r>
      <w:r>
        <w:fldChar w:fldCharType="separate"/>
      </w:r>
      <w:r>
        <w:rPr>
          <w:rFonts w:hint="eastAsia" w:hAnsi="宋体" w:cs="宋体"/>
          <w:szCs w:val="21"/>
        </w:rPr>
        <w:t>第五章  合同条款及格式</w:t>
      </w:r>
      <w:r>
        <w:rPr>
          <w:rFonts w:hint="eastAsia" w:hAnsi="宋体" w:cs="宋体"/>
          <w:szCs w:val="21"/>
        </w:rPr>
        <w:tab/>
      </w:r>
      <w:r>
        <w:rPr>
          <w:rFonts w:hint="eastAsia" w:hAnsi="宋体" w:cs="宋体"/>
          <w:szCs w:val="21"/>
        </w:rPr>
        <w:fldChar w:fldCharType="end"/>
      </w:r>
    </w:p>
    <w:p w14:paraId="627B5C41">
      <w:pPr>
        <w:pStyle w:val="13"/>
        <w:spacing w:line="360" w:lineRule="auto"/>
        <w:ind w:firstLine="420" w:firstLineChars="200"/>
        <w:rPr>
          <w:rFonts w:hAnsi="宋体" w:cs="宋体"/>
          <w:szCs w:val="21"/>
        </w:rPr>
      </w:pPr>
      <w:r>
        <w:fldChar w:fldCharType="begin"/>
      </w:r>
      <w:r>
        <w:instrText xml:space="preserve"> HYPERLINK \l "_Toc7881" </w:instrText>
      </w:r>
      <w:r>
        <w:fldChar w:fldCharType="separate"/>
      </w:r>
      <w:r>
        <w:rPr>
          <w:rFonts w:hint="eastAsia" w:hAnsi="宋体" w:cs="宋体"/>
          <w:szCs w:val="21"/>
        </w:rPr>
        <w:t>第六章  评审方法</w:t>
      </w:r>
      <w:r>
        <w:rPr>
          <w:rFonts w:hint="eastAsia" w:hAnsi="宋体" w:cs="宋体"/>
          <w:szCs w:val="21"/>
        </w:rPr>
        <w:tab/>
      </w:r>
      <w:r>
        <w:rPr>
          <w:rFonts w:hint="eastAsia" w:hAnsi="宋体" w:cs="宋体"/>
          <w:szCs w:val="21"/>
        </w:rPr>
        <w:fldChar w:fldCharType="end"/>
      </w:r>
    </w:p>
    <w:p w14:paraId="4DE47980">
      <w:pPr>
        <w:pStyle w:val="13"/>
        <w:spacing w:line="360" w:lineRule="auto"/>
        <w:ind w:firstLine="420" w:firstLineChars="200"/>
        <w:rPr>
          <w:rFonts w:hAnsi="宋体" w:cs="宋体"/>
          <w:szCs w:val="21"/>
        </w:rPr>
      </w:pPr>
      <w:r>
        <w:rPr>
          <w:rFonts w:hint="eastAsia" w:hAnsi="宋体" w:cs="宋体"/>
          <w:szCs w:val="21"/>
        </w:rPr>
        <w:t>6.2  根据本章第7.1项的规定对竞争性磋商文件所做的澄清、修改，构成竞争性磋商文件的组成部分。当竞争性磋商文件与澄清和修改的同一内容的表述不一致时，以最后发出的书面文件为准。</w:t>
      </w:r>
    </w:p>
    <w:p w14:paraId="26BCE407">
      <w:pPr>
        <w:pStyle w:val="13"/>
        <w:spacing w:line="360" w:lineRule="auto"/>
        <w:rPr>
          <w:rFonts w:hAnsi="宋体" w:cs="宋体"/>
          <w:bCs/>
          <w:szCs w:val="21"/>
        </w:rPr>
      </w:pPr>
      <w:bookmarkStart w:id="70" w:name="_Toc495334412"/>
      <w:bookmarkStart w:id="71" w:name="_Toc213326418"/>
      <w:r>
        <w:rPr>
          <w:rFonts w:hint="eastAsia" w:hAnsi="宋体" w:cs="宋体"/>
          <w:bCs/>
          <w:szCs w:val="21"/>
        </w:rPr>
        <w:t>7.  竞争性</w:t>
      </w:r>
      <w:r>
        <w:rPr>
          <w:rFonts w:hint="eastAsia" w:hAnsi="宋体" w:cs="宋体"/>
          <w:szCs w:val="21"/>
        </w:rPr>
        <w:t>磋商</w:t>
      </w:r>
      <w:r>
        <w:rPr>
          <w:rFonts w:hint="eastAsia" w:hAnsi="宋体" w:cs="宋体"/>
          <w:bCs/>
          <w:szCs w:val="21"/>
        </w:rPr>
        <w:t>采购文件的澄清和修改</w:t>
      </w:r>
    </w:p>
    <w:p w14:paraId="56C42F6A">
      <w:pPr>
        <w:pStyle w:val="13"/>
        <w:spacing w:line="360" w:lineRule="auto"/>
        <w:ind w:left="2" w:leftChars="1" w:firstLine="420" w:firstLineChars="200"/>
        <w:rPr>
          <w:rFonts w:hAnsi="宋体" w:cs="宋体"/>
          <w:szCs w:val="21"/>
        </w:rPr>
      </w:pPr>
      <w:r>
        <w:rPr>
          <w:rFonts w:hint="eastAsia" w:hAnsi="宋体" w:cs="宋体"/>
          <w:szCs w:val="21"/>
        </w:rPr>
        <w:t>7.1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不足5日的，采购人、采购代理机构应当顺延提交首次响应文件截止时间。同时，采购代理机构在本章第2.1项规定的媒体上发布更正公告，并将变更公告书面通知所有竞争性磋商文件收受人。</w:t>
      </w:r>
    </w:p>
    <w:p w14:paraId="05855321">
      <w:pPr>
        <w:pStyle w:val="26"/>
        <w:spacing w:line="360" w:lineRule="auto"/>
        <w:outlineLvl w:val="1"/>
        <w:rPr>
          <w:rFonts w:ascii="宋体" w:hAnsi="宋体" w:cs="宋体"/>
          <w:sz w:val="21"/>
          <w:szCs w:val="21"/>
        </w:rPr>
      </w:pPr>
      <w:bookmarkStart w:id="72" w:name="_Toc15935"/>
      <w:bookmarkStart w:id="73" w:name="_Toc10038"/>
      <w:bookmarkStart w:id="74" w:name="_Toc27823"/>
      <w:bookmarkStart w:id="75" w:name="_Toc8612"/>
      <w:r>
        <w:rPr>
          <w:rFonts w:hint="eastAsia" w:ascii="宋体" w:hAnsi="宋体" w:cs="宋体"/>
          <w:sz w:val="21"/>
          <w:szCs w:val="21"/>
        </w:rPr>
        <w:t>三    响应文件</w:t>
      </w:r>
      <w:bookmarkEnd w:id="70"/>
      <w:bookmarkEnd w:id="71"/>
      <w:bookmarkEnd w:id="72"/>
      <w:bookmarkEnd w:id="73"/>
      <w:bookmarkEnd w:id="74"/>
      <w:bookmarkEnd w:id="75"/>
    </w:p>
    <w:p w14:paraId="7BAC611C">
      <w:pPr>
        <w:pStyle w:val="13"/>
        <w:spacing w:line="360" w:lineRule="auto"/>
        <w:rPr>
          <w:rFonts w:hAnsi="宋体" w:cs="宋体"/>
          <w:bCs/>
          <w:szCs w:val="21"/>
        </w:rPr>
      </w:pPr>
      <w:r>
        <w:rPr>
          <w:rFonts w:hint="eastAsia" w:hAnsi="宋体" w:cs="宋体"/>
          <w:bCs/>
          <w:szCs w:val="21"/>
        </w:rPr>
        <w:t>8.  响应文件的编制</w:t>
      </w:r>
    </w:p>
    <w:p w14:paraId="1F95678F">
      <w:pPr>
        <w:pStyle w:val="13"/>
        <w:spacing w:line="360" w:lineRule="auto"/>
        <w:ind w:left="2" w:leftChars="1" w:firstLine="420" w:firstLineChars="200"/>
        <w:rPr>
          <w:rFonts w:hAnsi="宋体" w:cs="宋体"/>
          <w:szCs w:val="21"/>
        </w:rPr>
      </w:pPr>
      <w:r>
        <w:rPr>
          <w:rFonts w:hint="eastAsia" w:hAnsi="宋体" w:cs="宋体"/>
          <w:szCs w:val="21"/>
        </w:rPr>
        <w:t>8.1 磋商供应商应仔细阅读竞争性磋商文件，在充分了解采购的内容、技术参数要求和商务条款以及实质性要求和条件后，编写响应文件。</w:t>
      </w:r>
    </w:p>
    <w:p w14:paraId="7654C4C6">
      <w:pPr>
        <w:pStyle w:val="13"/>
        <w:spacing w:line="360" w:lineRule="auto"/>
        <w:ind w:left="2" w:leftChars="1" w:firstLine="420" w:firstLineChars="200"/>
        <w:rPr>
          <w:rFonts w:hAnsi="宋体" w:cs="宋体"/>
          <w:szCs w:val="21"/>
        </w:rPr>
      </w:pPr>
      <w:r>
        <w:rPr>
          <w:rFonts w:hint="eastAsia" w:hAnsi="宋体" w:cs="宋体"/>
          <w:szCs w:val="21"/>
        </w:rPr>
        <w:t>8.2  对竞争性磋商文件的实质性要求和条件作出响应是指磋商供应商必须对竞争性磋商文件成交注为实质性要求和条件的技术参数要求、商务条款及其它内容</w:t>
      </w:r>
      <w:r>
        <w:rPr>
          <w:rFonts w:hint="eastAsia" w:hAnsi="宋体" w:cs="宋体"/>
          <w:b/>
          <w:szCs w:val="21"/>
        </w:rPr>
        <w:t>作出满足或者优于原要求和条件的承诺</w:t>
      </w:r>
      <w:r>
        <w:rPr>
          <w:rFonts w:hint="eastAsia" w:hAnsi="宋体" w:cs="宋体"/>
          <w:szCs w:val="21"/>
        </w:rPr>
        <w:t>。</w:t>
      </w:r>
    </w:p>
    <w:p w14:paraId="643C27DE">
      <w:pPr>
        <w:pStyle w:val="13"/>
        <w:spacing w:line="360" w:lineRule="auto"/>
        <w:ind w:left="2" w:leftChars="1" w:firstLine="420" w:firstLineChars="200"/>
        <w:rPr>
          <w:rFonts w:hAnsi="宋体" w:cs="宋体"/>
          <w:szCs w:val="21"/>
        </w:rPr>
      </w:pPr>
      <w:r>
        <w:rPr>
          <w:rFonts w:hint="eastAsia" w:hAnsi="宋体" w:cs="宋体"/>
          <w:szCs w:val="21"/>
        </w:rPr>
        <w:t>8.3  竞争性磋商文件成交注★号的内容为实质性要求和条件。</w:t>
      </w:r>
    </w:p>
    <w:p w14:paraId="3DC208B5">
      <w:pPr>
        <w:pStyle w:val="13"/>
        <w:spacing w:line="360" w:lineRule="auto"/>
        <w:ind w:left="2" w:leftChars="1" w:firstLine="420" w:firstLineChars="200"/>
        <w:rPr>
          <w:rFonts w:hAnsi="宋体" w:cs="宋体"/>
          <w:szCs w:val="21"/>
        </w:rPr>
      </w:pPr>
      <w:r>
        <w:rPr>
          <w:rFonts w:hint="eastAsia" w:hAnsi="宋体" w:cs="宋体"/>
          <w:szCs w:val="21"/>
        </w:rPr>
        <w:t>8.4  响应文件应用不褪色的材料书写或打印，保证其清楚、工整，相关材料的复印件应清晰可辨认。响应文件字迹潦草、表达不清、模糊无法辨认而导致非唯一理解是磋商供应商的风险，很可能导致该响应无效。</w:t>
      </w:r>
    </w:p>
    <w:p w14:paraId="0FB9E50E">
      <w:pPr>
        <w:pStyle w:val="13"/>
        <w:spacing w:line="360" w:lineRule="auto"/>
        <w:ind w:left="2" w:leftChars="1" w:firstLine="420" w:firstLineChars="200"/>
        <w:rPr>
          <w:rFonts w:hAnsi="宋体" w:cs="宋体"/>
          <w:szCs w:val="21"/>
        </w:rPr>
      </w:pPr>
      <w:r>
        <w:rPr>
          <w:rFonts w:hint="eastAsia" w:hAnsi="宋体" w:cs="宋体"/>
          <w:szCs w:val="21"/>
        </w:rPr>
        <w:t>8.5  第四章“响应文件格式”中规定了响应文件格式的，应按相应格式要求编写。</w:t>
      </w:r>
    </w:p>
    <w:p w14:paraId="6F895D37">
      <w:pPr>
        <w:pStyle w:val="13"/>
        <w:spacing w:line="360" w:lineRule="auto"/>
        <w:ind w:left="2" w:leftChars="1" w:firstLine="420" w:firstLineChars="200"/>
        <w:rPr>
          <w:rFonts w:hAnsi="宋体" w:cs="宋体"/>
          <w:szCs w:val="21"/>
        </w:rPr>
      </w:pPr>
      <w:r>
        <w:rPr>
          <w:rFonts w:hint="eastAsia" w:hAnsi="宋体" w:cs="宋体"/>
          <w:szCs w:val="21"/>
        </w:rPr>
        <w:t>8.6  响应文件应由磋商供应商的法定代表人或其委托代理人在凡规定签章处逐一签字或盖章并加盖单位公章。响应文件应尽量避免涂改、行间插字或删除。如果出现上述情况，改动之处应加盖单位公章或由磋商供应商的法定代表人或其委托代理人签字或盖章确认。</w:t>
      </w:r>
    </w:p>
    <w:p w14:paraId="6CE58A14">
      <w:pPr>
        <w:pStyle w:val="13"/>
        <w:spacing w:line="360" w:lineRule="auto"/>
        <w:ind w:left="2" w:leftChars="1" w:firstLine="420" w:firstLineChars="200"/>
        <w:rPr>
          <w:rFonts w:hAnsi="宋体" w:cs="宋体"/>
          <w:szCs w:val="21"/>
        </w:rPr>
      </w:pPr>
      <w:r>
        <w:rPr>
          <w:rFonts w:hint="eastAsia" w:hAnsi="宋体" w:cs="宋体"/>
          <w:szCs w:val="21"/>
        </w:rPr>
        <w:t>8.7  响应文件应编制目录，且页码清晰准确。</w:t>
      </w:r>
    </w:p>
    <w:p w14:paraId="11005707">
      <w:pPr>
        <w:pStyle w:val="13"/>
        <w:spacing w:line="360" w:lineRule="auto"/>
        <w:ind w:left="2" w:leftChars="1" w:firstLine="420" w:firstLineChars="200"/>
        <w:rPr>
          <w:rFonts w:hAnsi="宋体" w:cs="宋体"/>
          <w:szCs w:val="21"/>
        </w:rPr>
      </w:pPr>
      <w:r>
        <w:rPr>
          <w:rFonts w:hint="eastAsia" w:hAnsi="宋体" w:cs="宋体"/>
          <w:szCs w:val="21"/>
        </w:rPr>
        <w:t>8.8  响应文件的正本和副本应分别装订成册，封面上应清楚地标记“正本”或“副本”字样，并标明项目名称、项目编号、磋商供应商名称等内容。副本可以采用正本的复印件，当副本和正本不一致时，以正本为准。磋商供应商应准备首次报价文件正本、技术文件正本、商务文件正本各一份，副本份数见磋商供应商须知前附表。</w:t>
      </w:r>
    </w:p>
    <w:p w14:paraId="449BFC59">
      <w:pPr>
        <w:pStyle w:val="13"/>
        <w:spacing w:line="360" w:lineRule="auto"/>
        <w:rPr>
          <w:rFonts w:hAnsi="宋体" w:cs="宋体"/>
          <w:bCs/>
          <w:szCs w:val="21"/>
        </w:rPr>
      </w:pPr>
      <w:r>
        <w:rPr>
          <w:rFonts w:hint="eastAsia" w:hAnsi="宋体" w:cs="宋体"/>
          <w:bCs/>
          <w:szCs w:val="21"/>
        </w:rPr>
        <w:t>9.  响应文件语言文字及计量单位</w:t>
      </w:r>
    </w:p>
    <w:p w14:paraId="2533A24C">
      <w:pPr>
        <w:pStyle w:val="13"/>
        <w:spacing w:line="360" w:lineRule="auto"/>
        <w:ind w:firstLine="420" w:firstLineChars="200"/>
        <w:rPr>
          <w:rFonts w:hAnsi="宋体" w:cs="宋体"/>
          <w:szCs w:val="21"/>
        </w:rPr>
      </w:pPr>
      <w:r>
        <w:rPr>
          <w:rFonts w:hint="eastAsia" w:hAnsi="宋体" w:cs="宋体"/>
          <w:szCs w:val="21"/>
        </w:rPr>
        <w:t>9.1  磋商供应商的响应文件以及磋商供应商与采购人、采购代理机构就有关磋商的所有往来函电统一使用中文（特别规定除外）。磋商供应商随响应文件或往来函电所提交的相关证明材料等可以使用其他语言，但必须同时提供由专业翻译机构出具的或经公证的中文译文，否则视同未提供该项证明材料。</w:t>
      </w:r>
    </w:p>
    <w:p w14:paraId="15454476">
      <w:pPr>
        <w:pStyle w:val="13"/>
        <w:spacing w:line="360" w:lineRule="auto"/>
        <w:ind w:firstLine="420" w:firstLineChars="200"/>
        <w:rPr>
          <w:rFonts w:hAnsi="宋体" w:cs="宋体"/>
          <w:szCs w:val="21"/>
        </w:rPr>
      </w:pPr>
      <w:r>
        <w:rPr>
          <w:rFonts w:hint="eastAsia" w:hAnsi="宋体" w:cs="宋体"/>
          <w:szCs w:val="21"/>
        </w:rPr>
        <w:t>9.2  对不同文字文本响应文件的解释发生异议的，以中文文本为准。</w:t>
      </w:r>
    </w:p>
    <w:p w14:paraId="28C69138">
      <w:pPr>
        <w:pStyle w:val="13"/>
        <w:spacing w:line="360" w:lineRule="auto"/>
        <w:ind w:firstLine="420" w:firstLineChars="200"/>
        <w:rPr>
          <w:rFonts w:hAnsi="宋体" w:cs="宋体"/>
          <w:szCs w:val="21"/>
        </w:rPr>
      </w:pPr>
      <w:r>
        <w:rPr>
          <w:rFonts w:hint="eastAsia" w:hAnsi="宋体" w:cs="宋体"/>
          <w:szCs w:val="21"/>
        </w:rPr>
        <w:t>9.3  响应文件使用的计量单位除竞争性磋商文件中有特殊规定外，一律使用中华人民共和国法定计量单位。</w:t>
      </w:r>
    </w:p>
    <w:p w14:paraId="36863ED2">
      <w:pPr>
        <w:pStyle w:val="13"/>
        <w:spacing w:line="360" w:lineRule="auto"/>
        <w:rPr>
          <w:rFonts w:hAnsi="宋体" w:cs="宋体"/>
          <w:bCs/>
          <w:szCs w:val="21"/>
        </w:rPr>
      </w:pPr>
      <w:r>
        <w:rPr>
          <w:rFonts w:hint="eastAsia" w:hAnsi="宋体" w:cs="宋体"/>
          <w:bCs/>
          <w:szCs w:val="21"/>
        </w:rPr>
        <w:t>10.  响应文件的组成</w:t>
      </w:r>
    </w:p>
    <w:p w14:paraId="2DDD8A48">
      <w:pPr>
        <w:pStyle w:val="13"/>
        <w:spacing w:line="360" w:lineRule="auto"/>
        <w:ind w:firstLine="420" w:firstLineChars="200"/>
        <w:rPr>
          <w:rFonts w:hAnsi="宋体" w:cs="宋体"/>
          <w:szCs w:val="21"/>
        </w:rPr>
      </w:pPr>
      <w:r>
        <w:rPr>
          <w:rFonts w:hint="eastAsia" w:hAnsi="宋体" w:cs="宋体"/>
          <w:szCs w:val="21"/>
        </w:rPr>
        <w:t>10.1  磋商供应商需编制的响应文件包括首次报价文件、技术文件和商务文件三部分，磋商供应商应按下列说明编写和提交。应提交的有关文件如未特别注明为原件的，可提交复印件。</w:t>
      </w:r>
    </w:p>
    <w:p w14:paraId="52299873">
      <w:pPr>
        <w:pStyle w:val="13"/>
        <w:spacing w:line="360" w:lineRule="auto"/>
        <w:ind w:firstLine="420" w:firstLineChars="200"/>
        <w:rPr>
          <w:rFonts w:hAnsi="宋体" w:cs="宋体"/>
          <w:szCs w:val="21"/>
        </w:rPr>
      </w:pPr>
      <w:r>
        <w:rPr>
          <w:rFonts w:hint="eastAsia" w:hAnsi="宋体" w:cs="宋体"/>
          <w:szCs w:val="21"/>
        </w:rPr>
        <w:t>10.1.1  首次报价文件，包括：</w:t>
      </w:r>
    </w:p>
    <w:p w14:paraId="5A658D8D">
      <w:pPr>
        <w:pStyle w:val="13"/>
        <w:spacing w:line="360" w:lineRule="auto"/>
        <w:ind w:firstLine="420" w:firstLineChars="200"/>
        <w:rPr>
          <w:rFonts w:hAnsi="宋体" w:cs="宋体"/>
          <w:color w:val="auto"/>
          <w:szCs w:val="21"/>
        </w:rPr>
      </w:pPr>
      <w:r>
        <w:rPr>
          <w:rFonts w:hint="eastAsia" w:hAnsi="宋体" w:cs="宋体"/>
          <w:color w:val="auto"/>
          <w:szCs w:val="21"/>
        </w:rPr>
        <w:t>（1）响应函：按第四章“响应文件格式”提供的“响应函（格式）”的要求填写；</w:t>
      </w:r>
    </w:p>
    <w:p w14:paraId="6AB67DFB">
      <w:pPr>
        <w:pStyle w:val="13"/>
        <w:spacing w:line="360" w:lineRule="auto"/>
        <w:ind w:firstLine="420" w:firstLineChars="200"/>
        <w:rPr>
          <w:rFonts w:hAnsi="宋体" w:cs="宋体"/>
          <w:color w:val="auto"/>
          <w:szCs w:val="21"/>
        </w:rPr>
      </w:pPr>
      <w:r>
        <w:rPr>
          <w:rFonts w:hint="eastAsia" w:hAnsi="宋体" w:cs="宋体"/>
          <w:color w:val="auto"/>
          <w:szCs w:val="21"/>
        </w:rPr>
        <w:t>（2）响应报价表：按第四章“响应文件格式”提供的“响应报价表（格式）”的要求填写。</w:t>
      </w:r>
    </w:p>
    <w:p w14:paraId="187911B0">
      <w:pPr>
        <w:pStyle w:val="13"/>
        <w:spacing w:line="360" w:lineRule="auto"/>
        <w:ind w:firstLine="420" w:firstLineChars="200"/>
        <w:rPr>
          <w:rFonts w:hint="default" w:hAnsi="宋体" w:eastAsia="宋体" w:cs="宋体"/>
          <w:b/>
          <w:color w:val="auto"/>
          <w:szCs w:val="21"/>
          <w:lang w:val="en-US" w:eastAsia="zh-CN"/>
        </w:rPr>
      </w:pPr>
      <w:r>
        <w:rPr>
          <w:rFonts w:hint="eastAsia" w:hAnsi="宋体" w:cs="宋体"/>
          <w:b w:val="0"/>
          <w:bCs/>
          <w:color w:val="auto"/>
          <w:szCs w:val="21"/>
          <w:lang w:eastAsia="zh-CN"/>
        </w:rPr>
        <w:t>（</w:t>
      </w:r>
      <w:r>
        <w:rPr>
          <w:rFonts w:hint="eastAsia" w:hAnsi="宋体" w:cs="宋体"/>
          <w:b w:val="0"/>
          <w:bCs/>
          <w:color w:val="auto"/>
          <w:szCs w:val="21"/>
          <w:lang w:val="en-US" w:eastAsia="zh-CN"/>
        </w:rPr>
        <w:t>3）</w:t>
      </w:r>
      <w:r>
        <w:rPr>
          <w:rFonts w:hint="eastAsia" w:ascii="宋体" w:hAnsi="宋体" w:eastAsia="宋体" w:cs="宋体"/>
          <w:b w:val="0"/>
          <w:bCs/>
          <w:color w:val="auto"/>
          <w:sz w:val="21"/>
          <w:szCs w:val="21"/>
          <w:highlight w:val="none"/>
        </w:rPr>
        <w:t>中小企</w:t>
      </w:r>
      <w:r>
        <w:rPr>
          <w:rFonts w:hint="eastAsia" w:ascii="宋体" w:hAnsi="宋体" w:eastAsia="宋体" w:cs="宋体"/>
          <w:color w:val="auto"/>
          <w:sz w:val="21"/>
          <w:szCs w:val="21"/>
          <w:highlight w:val="none"/>
        </w:rPr>
        <w:t>业声明函</w:t>
      </w:r>
      <w:r>
        <w:rPr>
          <w:rFonts w:hint="eastAsia" w:ascii="宋体" w:hAnsi="宋体" w:eastAsia="宋体" w:cs="宋体"/>
          <w:color w:val="auto"/>
          <w:sz w:val="21"/>
          <w:szCs w:val="21"/>
          <w:highlight w:val="none"/>
          <w:lang w:val="en-US" w:eastAsia="zh-CN"/>
        </w:rPr>
        <w:t>(如有，请提供)</w:t>
      </w:r>
    </w:p>
    <w:p w14:paraId="1E7C4192">
      <w:pPr>
        <w:pStyle w:val="13"/>
        <w:spacing w:line="360" w:lineRule="auto"/>
        <w:ind w:firstLine="422" w:firstLineChars="200"/>
        <w:rPr>
          <w:rFonts w:hAnsi="宋体" w:cs="宋体"/>
          <w:b/>
          <w:szCs w:val="21"/>
        </w:rPr>
      </w:pPr>
      <w:r>
        <w:rPr>
          <w:rFonts w:hint="eastAsia" w:hAnsi="宋体" w:cs="宋体"/>
          <w:b/>
          <w:szCs w:val="21"/>
        </w:rPr>
        <w:t>其中，报价文件组成要求的第（1）～（2）项必须提交。</w:t>
      </w:r>
    </w:p>
    <w:p w14:paraId="3DB26C2D">
      <w:pPr>
        <w:pStyle w:val="13"/>
        <w:spacing w:line="360" w:lineRule="auto"/>
        <w:ind w:firstLine="420"/>
        <w:rPr>
          <w:rFonts w:hAnsi="宋体" w:cs="宋体"/>
          <w:b/>
          <w:bCs/>
          <w:szCs w:val="21"/>
        </w:rPr>
      </w:pPr>
      <w:r>
        <w:rPr>
          <w:rFonts w:hint="eastAsia" w:hAnsi="宋体" w:cs="宋体"/>
          <w:szCs w:val="21"/>
        </w:rPr>
        <w:t>10.1.2  技术文件，包括：</w:t>
      </w:r>
    </w:p>
    <w:p w14:paraId="15F4AB29">
      <w:pPr>
        <w:pStyle w:val="13"/>
        <w:spacing w:line="360" w:lineRule="auto"/>
        <w:ind w:firstLine="420"/>
        <w:rPr>
          <w:rFonts w:hAnsi="宋体" w:cs="宋体"/>
          <w:szCs w:val="21"/>
        </w:rPr>
      </w:pPr>
      <w:r>
        <w:rPr>
          <w:rFonts w:hint="eastAsia" w:hAnsi="宋体" w:cs="宋体"/>
          <w:szCs w:val="21"/>
        </w:rPr>
        <w:t>（1）响应服务技术</w:t>
      </w:r>
      <w:r>
        <w:rPr>
          <w:rFonts w:hint="eastAsia" w:hAnsi="宋体" w:cs="宋体"/>
          <w:szCs w:val="21"/>
          <w:lang w:eastAsia="zh-CN"/>
        </w:rPr>
        <w:t>偏离</w:t>
      </w:r>
      <w:r>
        <w:rPr>
          <w:rFonts w:hint="eastAsia" w:hAnsi="宋体" w:cs="宋体"/>
          <w:szCs w:val="21"/>
        </w:rPr>
        <w:t>表：按第四章“响应文件格式”提供的“响应服务技术</w:t>
      </w:r>
      <w:r>
        <w:rPr>
          <w:rFonts w:hint="eastAsia" w:hAnsi="宋体" w:cs="宋体"/>
          <w:szCs w:val="21"/>
          <w:lang w:eastAsia="zh-CN"/>
        </w:rPr>
        <w:t>偏离</w:t>
      </w:r>
      <w:r>
        <w:rPr>
          <w:rFonts w:hint="eastAsia" w:hAnsi="宋体" w:cs="宋体"/>
          <w:szCs w:val="21"/>
        </w:rPr>
        <w:t>表（格式）”的要求填写；</w:t>
      </w:r>
    </w:p>
    <w:p w14:paraId="71BEBD67">
      <w:pPr>
        <w:pStyle w:val="13"/>
        <w:spacing w:line="360" w:lineRule="auto"/>
        <w:ind w:firstLine="420"/>
        <w:rPr>
          <w:rFonts w:hAnsi="宋体" w:cs="宋体"/>
          <w:szCs w:val="21"/>
        </w:rPr>
      </w:pPr>
      <w:r>
        <w:rPr>
          <w:rFonts w:hint="eastAsia" w:hAnsi="宋体" w:cs="宋体"/>
          <w:szCs w:val="21"/>
        </w:rPr>
        <w:t>（2）详细说明针对本项目的实施方案，拟投入的人员及相关证明材料等等。</w:t>
      </w:r>
    </w:p>
    <w:p w14:paraId="5CA3F155">
      <w:pPr>
        <w:pStyle w:val="13"/>
        <w:spacing w:line="360" w:lineRule="auto"/>
        <w:ind w:firstLine="420"/>
        <w:rPr>
          <w:rFonts w:hAnsi="宋体" w:cs="宋体"/>
          <w:b/>
          <w:bCs/>
          <w:szCs w:val="21"/>
        </w:rPr>
      </w:pPr>
      <w:r>
        <w:rPr>
          <w:rFonts w:hint="eastAsia" w:hAnsi="宋体" w:cs="宋体"/>
          <w:b/>
          <w:szCs w:val="21"/>
        </w:rPr>
        <w:t>技术文件中的第（1）项必须提交；第（2）项如有请提交。</w:t>
      </w:r>
    </w:p>
    <w:p w14:paraId="7B948FE5">
      <w:pPr>
        <w:pStyle w:val="13"/>
        <w:spacing w:line="360" w:lineRule="auto"/>
        <w:ind w:firstLine="420" w:firstLineChars="200"/>
        <w:rPr>
          <w:rFonts w:hint="eastAsia" w:ascii="宋体" w:hAnsi="宋体" w:eastAsia="宋体" w:cs="宋体"/>
          <w:szCs w:val="21"/>
        </w:rPr>
      </w:pPr>
      <w:r>
        <w:rPr>
          <w:rFonts w:hint="eastAsia" w:ascii="宋体" w:hAnsi="宋体" w:eastAsia="宋体" w:cs="宋体"/>
          <w:szCs w:val="21"/>
        </w:rPr>
        <w:t>10.1.3  商务文件，包括：</w:t>
      </w:r>
    </w:p>
    <w:p w14:paraId="447B628A">
      <w:pPr>
        <w:pStyle w:val="13"/>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（1）供应商资格文件：</w:t>
      </w:r>
    </w:p>
    <w:p w14:paraId="118B7B5A">
      <w:pPr>
        <w:pStyle w:val="13"/>
        <w:spacing w:line="360" w:lineRule="auto"/>
        <w:ind w:firstLine="420" w:firstLineChars="200"/>
        <w:rPr>
          <w:rFonts w:hint="eastAsia" w:ascii="宋体" w:hAnsi="宋体" w:eastAsia="宋体" w:cs="宋体"/>
          <w:szCs w:val="21"/>
        </w:rPr>
      </w:pPr>
      <w:r>
        <w:rPr>
          <w:rFonts w:hint="eastAsia" w:ascii="宋体" w:hAnsi="宋体" w:eastAsia="宋体" w:cs="宋体"/>
          <w:szCs w:val="21"/>
        </w:rPr>
        <w:t>①信用声明函。按第四章“响应文件格式”提供的“信用声明函（格式）”的要求填写。对列入失信被执行人、重大税收违法案件当事人名单、政府采购严重违法失信行为记录名单的供应商，将被拒绝参与本项目采购活动。</w:t>
      </w:r>
    </w:p>
    <w:p w14:paraId="17D7E809">
      <w:pPr>
        <w:pStyle w:val="13"/>
        <w:spacing w:line="360" w:lineRule="auto"/>
        <w:ind w:firstLine="420" w:firstLineChars="200"/>
        <w:rPr>
          <w:rFonts w:hint="eastAsia" w:ascii="宋体" w:hAnsi="宋体" w:eastAsia="宋体" w:cs="宋体"/>
          <w:szCs w:val="21"/>
        </w:rPr>
      </w:pPr>
      <w:r>
        <w:rPr>
          <w:rFonts w:hint="eastAsia" w:ascii="宋体" w:hAnsi="宋体" w:eastAsia="宋体" w:cs="宋体"/>
          <w:szCs w:val="21"/>
        </w:rPr>
        <w:t>②根据本章第3.2项规定的磋商供应商应具备的特定条件提供，包括营业执照副本内页或事业单位法人证书复印件（磋商供应商如为企业的，要求证件有效并清晰反映企业法人经营范围）和磋商供应商资格的其他证明文件复印件；</w:t>
      </w:r>
    </w:p>
    <w:p w14:paraId="152B7816">
      <w:pPr>
        <w:pStyle w:val="13"/>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③磋商保证金缴纳证明复印件；</w:t>
      </w:r>
    </w:p>
    <w:p w14:paraId="6D03E03A">
      <w:pPr>
        <w:pStyle w:val="13"/>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④法定代表人身份证明书：按第</w:t>
      </w:r>
      <w:r>
        <w:rPr>
          <w:rFonts w:hint="eastAsia" w:ascii="宋体" w:hAnsi="宋体" w:eastAsia="宋体" w:cs="宋体"/>
          <w:szCs w:val="21"/>
        </w:rPr>
        <w:t>四</w:t>
      </w:r>
      <w:r>
        <w:rPr>
          <w:rFonts w:hint="eastAsia" w:ascii="宋体" w:hAnsi="宋体" w:eastAsia="宋体" w:cs="宋体"/>
          <w:szCs w:val="21"/>
          <w:lang w:eastAsia="zh-CN"/>
        </w:rPr>
        <w:t xml:space="preserve">章“响应文件格式”提供，并附法定代表人身份证正、反面复印件； </w:t>
      </w:r>
    </w:p>
    <w:p w14:paraId="5221FD3A">
      <w:pPr>
        <w:pStyle w:val="13"/>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⑤法定代表人授权委托书：按第</w:t>
      </w:r>
      <w:r>
        <w:rPr>
          <w:rFonts w:hint="eastAsia" w:ascii="宋体" w:hAnsi="宋体" w:eastAsia="宋体" w:cs="宋体"/>
          <w:szCs w:val="21"/>
        </w:rPr>
        <w:t>四</w:t>
      </w:r>
      <w:r>
        <w:rPr>
          <w:rFonts w:hint="eastAsia" w:ascii="宋体" w:hAnsi="宋体" w:eastAsia="宋体" w:cs="宋体"/>
          <w:szCs w:val="21"/>
          <w:lang w:eastAsia="zh-CN"/>
        </w:rPr>
        <w:t>章“响应文件格式”提供的“法定代表人授权委托书（格式）”的要求填写</w:t>
      </w:r>
      <w:r>
        <w:rPr>
          <w:rFonts w:hint="eastAsia" w:ascii="宋体" w:hAnsi="宋体" w:eastAsia="宋体" w:cs="宋体"/>
          <w:b/>
          <w:bCs/>
          <w:szCs w:val="21"/>
          <w:lang w:eastAsia="zh-CN"/>
        </w:rPr>
        <w:t>（有委托时必须提供）</w:t>
      </w:r>
      <w:r>
        <w:rPr>
          <w:rFonts w:hint="eastAsia" w:ascii="宋体" w:hAnsi="宋体" w:eastAsia="宋体" w:cs="宋体"/>
          <w:szCs w:val="21"/>
          <w:lang w:eastAsia="zh-CN"/>
        </w:rPr>
        <w:t>；</w:t>
      </w:r>
    </w:p>
    <w:p w14:paraId="6917C67A">
      <w:pPr>
        <w:pStyle w:val="13"/>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⑥供应商</w:t>
      </w:r>
      <w:r>
        <w:rPr>
          <w:rFonts w:hint="eastAsia" w:ascii="宋体" w:hAnsi="宋体" w:eastAsia="宋体" w:cs="宋体"/>
          <w:szCs w:val="21"/>
          <w:lang w:val="en-US" w:eastAsia="zh-CN"/>
        </w:rPr>
        <w:t>2024年</w:t>
      </w:r>
      <w:r>
        <w:rPr>
          <w:rFonts w:hint="eastAsia" w:ascii="宋体" w:hAnsi="宋体" w:eastAsia="宋体" w:cs="宋体"/>
          <w:szCs w:val="21"/>
        </w:rPr>
        <w:t>财务会计报表复印件</w:t>
      </w:r>
      <w:r>
        <w:rPr>
          <w:rFonts w:hint="eastAsia" w:ascii="宋体" w:hAnsi="宋体" w:eastAsia="宋体" w:cs="宋体"/>
          <w:szCs w:val="21"/>
          <w:lang w:eastAsia="zh-CN"/>
        </w:rPr>
        <w:t>；</w:t>
      </w:r>
    </w:p>
    <w:p w14:paraId="2F3D8CE5">
      <w:pPr>
        <w:pStyle w:val="13"/>
        <w:spacing w:line="360" w:lineRule="auto"/>
        <w:ind w:firstLine="420" w:firstLineChars="200"/>
        <w:rPr>
          <w:rFonts w:hint="eastAsia" w:ascii="宋体" w:hAnsi="宋体" w:eastAsia="宋体" w:cs="宋体"/>
          <w:szCs w:val="21"/>
        </w:rPr>
      </w:pPr>
      <w:r>
        <w:rPr>
          <w:rFonts w:hint="eastAsia" w:ascii="宋体" w:hAnsi="宋体" w:eastAsia="宋体" w:cs="宋体"/>
          <w:szCs w:val="21"/>
        </w:rPr>
        <w:t>⑦响应文件递交截止之日前半年内供应商连续三个月的依法缴纳税费或依法免缴税费的证明[复印件，格式自拟，必须提供]；依法免税的供应商，必须提供相应文件证明其依法免税。从取得营业执照时间起到投标文件提交截止时间为止不足要求月数的，只需提供从取得营业执照起的依法缴纳税收相应证明文件）。</w:t>
      </w:r>
    </w:p>
    <w:p w14:paraId="50DF013E">
      <w:pPr>
        <w:pStyle w:val="13"/>
        <w:spacing w:line="360" w:lineRule="auto"/>
        <w:ind w:firstLine="420" w:firstLineChars="200"/>
        <w:rPr>
          <w:rFonts w:hint="eastAsia" w:ascii="宋体" w:hAnsi="宋体" w:eastAsia="宋体" w:cs="宋体"/>
          <w:szCs w:val="21"/>
        </w:rPr>
      </w:pPr>
      <w:r>
        <w:rPr>
          <w:rFonts w:hint="eastAsia" w:ascii="宋体" w:hAnsi="宋体" w:eastAsia="宋体" w:cs="宋体"/>
          <w:szCs w:val="21"/>
        </w:rPr>
        <w:t>⑧响应文件递交截止之日前半年内供应商连续三个月的依法缴纳社保费的缴费凭证（复印件，格式自拟）[必须提供]；无缴费记录的，应提供由供应商所在地社保部门出具的《依法缴纳或依法免缴社保费证明》[格式自拟，复印件]。</w:t>
      </w:r>
    </w:p>
    <w:p w14:paraId="19D22EDE">
      <w:pPr>
        <w:pStyle w:val="13"/>
        <w:spacing w:line="360" w:lineRule="auto"/>
        <w:ind w:firstLine="420" w:firstLineChars="200"/>
        <w:rPr>
          <w:rFonts w:hint="eastAsia" w:ascii="宋体" w:hAnsi="宋体" w:eastAsia="宋体" w:cs="宋体"/>
          <w:szCs w:val="21"/>
        </w:rPr>
      </w:pPr>
      <w:r>
        <w:rPr>
          <w:rFonts w:hint="eastAsia" w:ascii="宋体" w:hAnsi="宋体" w:eastAsia="宋体" w:cs="宋体"/>
          <w:szCs w:val="21"/>
        </w:rPr>
        <w:t>⑨</w:t>
      </w:r>
      <w:r>
        <w:rPr>
          <w:rFonts w:hint="eastAsia" w:hAnsi="宋体" w:cs="宋体"/>
          <w:b w:val="0"/>
          <w:kern w:val="2"/>
          <w:sz w:val="21"/>
          <w:szCs w:val="21"/>
          <w:lang w:eastAsia="zh-CN"/>
        </w:rPr>
        <w:t>供应商</w:t>
      </w:r>
      <w:r>
        <w:rPr>
          <w:rFonts w:hint="eastAsia" w:ascii="宋体" w:hAnsi="宋体" w:cs="宋体"/>
          <w:b w:val="0"/>
          <w:kern w:val="2"/>
          <w:sz w:val="21"/>
          <w:szCs w:val="21"/>
        </w:rPr>
        <w:t>直接控股股东信息表</w:t>
      </w:r>
      <w:r>
        <w:rPr>
          <w:rFonts w:hint="eastAsia" w:ascii="宋体" w:hAnsi="宋体" w:eastAsia="宋体" w:cs="宋体"/>
          <w:b w:val="0"/>
          <w:kern w:val="2"/>
          <w:sz w:val="21"/>
          <w:szCs w:val="21"/>
          <w:lang w:eastAsia="zh-CN"/>
        </w:rPr>
        <w:t>、</w:t>
      </w:r>
      <w:r>
        <w:rPr>
          <w:rFonts w:hint="eastAsia" w:hAnsi="宋体" w:cs="宋体"/>
          <w:b w:val="0"/>
          <w:kern w:val="2"/>
          <w:sz w:val="21"/>
          <w:szCs w:val="21"/>
          <w:lang w:eastAsia="zh-CN"/>
        </w:rPr>
        <w:t>供应商</w:t>
      </w:r>
      <w:r>
        <w:rPr>
          <w:rFonts w:hint="eastAsia" w:ascii="宋体" w:hAnsi="宋体" w:cs="宋体"/>
          <w:b w:val="0"/>
          <w:sz w:val="21"/>
          <w:szCs w:val="21"/>
        </w:rPr>
        <w:t>直接管理关系信息表</w:t>
      </w:r>
    </w:p>
    <w:p w14:paraId="4CA9D5F6">
      <w:pPr>
        <w:pStyle w:val="13"/>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）商务条款偏离表：按第四章“响应文件格式”提供的“商务条款偏离表（格式）” 的要求填写；</w:t>
      </w:r>
    </w:p>
    <w:p w14:paraId="35C70D69">
      <w:pPr>
        <w:pStyle w:val="13"/>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）服务承诺：按第四章“响应文件格式”提供的“服务承诺（格式）” 的要求填写；</w:t>
      </w:r>
    </w:p>
    <w:p w14:paraId="5B5C3D72">
      <w:pPr>
        <w:pStyle w:val="13"/>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其它：磋商供应商通过国家或国际认证资格证书复印件、银行出具的磋商供应商资信证明或信用等级证明复印件、磋商供应商近三年同类服务的实际业绩证明（附成交通知书复印件或合同复印件）、服务近三年的质量获奖荣誉证书复印件、环保体系认证证书复印件、磋商供应商近三年发生的诉讼及仲裁情况说明（附法院或仲裁机构作出的判决、裁决等有关法律文书复印件），等等。</w:t>
      </w:r>
    </w:p>
    <w:p w14:paraId="63FFD061">
      <w:pPr>
        <w:pStyle w:val="13"/>
        <w:spacing w:line="360" w:lineRule="auto"/>
        <w:ind w:firstLine="420"/>
        <w:rPr>
          <w:rFonts w:hAnsi="宋体" w:cs="宋体"/>
          <w:szCs w:val="21"/>
        </w:rPr>
      </w:pPr>
      <w:r>
        <w:rPr>
          <w:rFonts w:hint="eastAsia" w:hAnsi="宋体" w:cs="宋体"/>
          <w:b/>
          <w:szCs w:val="21"/>
        </w:rPr>
        <w:t>商务文件中的第（1）～（</w:t>
      </w:r>
      <w:r>
        <w:rPr>
          <w:rFonts w:hint="eastAsia" w:hAnsi="宋体" w:cs="宋体"/>
          <w:b/>
          <w:szCs w:val="21"/>
          <w:lang w:val="en-US" w:eastAsia="zh-CN"/>
        </w:rPr>
        <w:t>3</w:t>
      </w:r>
      <w:r>
        <w:rPr>
          <w:rFonts w:hint="eastAsia" w:hAnsi="宋体" w:cs="宋体"/>
          <w:b/>
          <w:szCs w:val="21"/>
        </w:rPr>
        <w:t>）项必须提交；第（</w:t>
      </w:r>
      <w:r>
        <w:rPr>
          <w:rFonts w:hint="eastAsia" w:hAnsi="宋体" w:cs="宋体"/>
          <w:b/>
          <w:szCs w:val="21"/>
          <w:lang w:val="en-US" w:eastAsia="zh-CN"/>
        </w:rPr>
        <w:t>4</w:t>
      </w:r>
      <w:r>
        <w:rPr>
          <w:rFonts w:hint="eastAsia" w:hAnsi="宋体" w:cs="宋体"/>
          <w:b/>
          <w:szCs w:val="21"/>
        </w:rPr>
        <w:t>）项如有请提交。</w:t>
      </w:r>
    </w:p>
    <w:p w14:paraId="4314322C">
      <w:pPr>
        <w:pStyle w:val="13"/>
        <w:spacing w:line="360" w:lineRule="auto"/>
        <w:ind w:firstLine="420" w:firstLineChars="200"/>
        <w:rPr>
          <w:rFonts w:hint="eastAsia" w:hAnsi="宋体" w:eastAsia="宋体" w:cs="宋体"/>
          <w:szCs w:val="21"/>
          <w:lang w:eastAsia="zh-CN"/>
        </w:rPr>
      </w:pPr>
      <w:r>
        <w:rPr>
          <w:rFonts w:hint="eastAsia" w:hAnsi="宋体" w:cs="宋体"/>
          <w:szCs w:val="21"/>
        </w:rPr>
        <w:t>10.2  磋商供应商应按上述顺序将首次报价文件、技术文件和商务文件</w:t>
      </w:r>
      <w:r>
        <w:rPr>
          <w:rFonts w:hint="eastAsia" w:hAnsi="宋体" w:cs="宋体"/>
          <w:b/>
          <w:szCs w:val="21"/>
        </w:rPr>
        <w:t>分别装订成册</w:t>
      </w:r>
      <w:r>
        <w:rPr>
          <w:rFonts w:hint="eastAsia" w:hAnsi="宋体" w:cs="宋体"/>
          <w:szCs w:val="21"/>
        </w:rPr>
        <w:t>。</w:t>
      </w:r>
      <w:r>
        <w:rPr>
          <w:rFonts w:hint="eastAsia" w:hAnsi="宋体" w:cs="宋体"/>
          <w:b/>
          <w:szCs w:val="21"/>
        </w:rPr>
        <w:t>特别注意响应报价不得出现在技术文件和商务文件中。</w:t>
      </w:r>
      <w:r>
        <w:rPr>
          <w:rFonts w:hint="eastAsia" w:ascii="宋体" w:hAnsi="宋体" w:eastAsia="宋体" w:cs="宋体"/>
          <w:b/>
          <w:bCs/>
          <w:szCs w:val="21"/>
          <w:lang w:eastAsia="zh-CN"/>
        </w:rPr>
        <w:t>备注：需提供以上响应文件盖章扫描件电子版</w:t>
      </w:r>
      <w:r>
        <w:rPr>
          <w:rFonts w:hint="eastAsia" w:hAnsi="宋体" w:cs="宋体"/>
          <w:b/>
          <w:bCs/>
          <w:szCs w:val="21"/>
          <w:lang w:val="en-US" w:eastAsia="zh-CN"/>
        </w:rPr>
        <w:t>PDF</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U盘</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1份。</w:t>
      </w:r>
    </w:p>
    <w:p w14:paraId="1817CA23">
      <w:pPr>
        <w:pStyle w:val="13"/>
        <w:spacing w:line="360" w:lineRule="auto"/>
        <w:rPr>
          <w:rFonts w:hAnsi="宋体" w:cs="宋体"/>
          <w:bCs/>
          <w:szCs w:val="21"/>
        </w:rPr>
      </w:pPr>
      <w:r>
        <w:rPr>
          <w:rFonts w:hint="eastAsia" w:hAnsi="宋体" w:cs="宋体"/>
          <w:bCs/>
          <w:szCs w:val="21"/>
        </w:rPr>
        <w:t>11.  响应文件报价</w:t>
      </w:r>
    </w:p>
    <w:p w14:paraId="16E12C79">
      <w:pPr>
        <w:pStyle w:val="13"/>
        <w:spacing w:line="360" w:lineRule="auto"/>
        <w:ind w:firstLine="420"/>
        <w:rPr>
          <w:rFonts w:hAnsi="宋体" w:cs="宋体"/>
          <w:szCs w:val="21"/>
        </w:rPr>
      </w:pPr>
      <w:r>
        <w:rPr>
          <w:rFonts w:hint="eastAsia" w:hAnsi="宋体" w:cs="宋体"/>
          <w:szCs w:val="21"/>
        </w:rPr>
        <w:t>11.1  磋商供应商应以人民币报价。</w:t>
      </w:r>
    </w:p>
    <w:p w14:paraId="41068F81">
      <w:pPr>
        <w:pStyle w:val="13"/>
        <w:spacing w:line="360" w:lineRule="auto"/>
        <w:ind w:firstLine="420" w:firstLineChars="200"/>
        <w:rPr>
          <w:rFonts w:hAnsi="宋体" w:cs="宋体"/>
          <w:szCs w:val="21"/>
        </w:rPr>
      </w:pPr>
      <w:r>
        <w:rPr>
          <w:rFonts w:hint="eastAsia" w:hAnsi="宋体" w:cs="宋体"/>
          <w:szCs w:val="21"/>
        </w:rPr>
        <w:t>11.2  磋商供应商可就第三章 “服务需求一览表”中的</w:t>
      </w:r>
      <w:r>
        <w:rPr>
          <w:rFonts w:hint="eastAsia" w:hAnsi="宋体" w:cs="宋体"/>
          <w:b/>
          <w:szCs w:val="21"/>
        </w:rPr>
        <w:t>服务内容作完整唯一报价。</w:t>
      </w:r>
    </w:p>
    <w:p w14:paraId="59B863D6">
      <w:pPr>
        <w:pStyle w:val="13"/>
        <w:spacing w:line="360" w:lineRule="auto"/>
        <w:ind w:firstLine="420"/>
        <w:rPr>
          <w:rFonts w:hAnsi="宋体" w:cs="宋体"/>
          <w:szCs w:val="21"/>
        </w:rPr>
      </w:pPr>
      <w:r>
        <w:rPr>
          <w:rFonts w:hint="eastAsia" w:hAnsi="宋体" w:cs="宋体"/>
          <w:szCs w:val="21"/>
        </w:rPr>
        <w:t>11.3  响应报价为在采购人指定地点提交服务成果所需的全部费用，其组成部分详见第三章 “服务需求一览表”。采购人不再向成交供应商支付其响应报价之外的任何费用。</w:t>
      </w:r>
    </w:p>
    <w:p w14:paraId="0E8653C5">
      <w:pPr>
        <w:pStyle w:val="13"/>
        <w:spacing w:line="360" w:lineRule="auto"/>
        <w:ind w:firstLine="420"/>
        <w:rPr>
          <w:rFonts w:hAnsi="宋体" w:cs="宋体"/>
          <w:szCs w:val="21"/>
        </w:rPr>
      </w:pPr>
      <w:r>
        <w:rPr>
          <w:rFonts w:hint="eastAsia" w:hAnsi="宋体" w:cs="宋体"/>
          <w:szCs w:val="21"/>
        </w:rPr>
        <w:t>11.4  本项目的采购代理服务费按物价部门核准的收费标准执行，见磋商供应商须知前附表。</w:t>
      </w:r>
    </w:p>
    <w:p w14:paraId="6C0B559E">
      <w:pPr>
        <w:pStyle w:val="13"/>
        <w:spacing w:line="360" w:lineRule="auto"/>
        <w:ind w:firstLine="420"/>
        <w:rPr>
          <w:rFonts w:hAnsi="宋体" w:cs="宋体"/>
          <w:szCs w:val="21"/>
        </w:rPr>
      </w:pPr>
      <w:r>
        <w:rPr>
          <w:rFonts w:hint="eastAsia" w:hAnsi="宋体" w:cs="宋体"/>
          <w:szCs w:val="21"/>
        </w:rPr>
        <w:t>11.5  不论磋商结果如何，磋商供应商均应自行承担与编制和提交响应文件有关的全部费用。</w:t>
      </w:r>
    </w:p>
    <w:p w14:paraId="679C9BD1">
      <w:pPr>
        <w:pStyle w:val="13"/>
        <w:spacing w:line="360" w:lineRule="auto"/>
        <w:rPr>
          <w:rFonts w:hAnsi="宋体" w:cs="宋体"/>
          <w:bCs/>
          <w:szCs w:val="21"/>
        </w:rPr>
      </w:pPr>
      <w:r>
        <w:rPr>
          <w:rFonts w:hint="eastAsia" w:hAnsi="宋体" w:cs="宋体"/>
          <w:bCs/>
          <w:szCs w:val="21"/>
        </w:rPr>
        <w:t>12.  响应有效期</w:t>
      </w:r>
    </w:p>
    <w:p w14:paraId="7A14AF4B">
      <w:pPr>
        <w:pStyle w:val="13"/>
        <w:spacing w:line="360" w:lineRule="auto"/>
        <w:ind w:firstLine="420" w:firstLineChars="200"/>
        <w:rPr>
          <w:rFonts w:hAnsi="宋体" w:cs="宋体"/>
          <w:bCs/>
          <w:szCs w:val="21"/>
        </w:rPr>
      </w:pPr>
      <w:r>
        <w:rPr>
          <w:rFonts w:hint="eastAsia" w:hAnsi="宋体" w:cs="宋体"/>
          <w:szCs w:val="21"/>
        </w:rPr>
        <w:t>12.1  在磋商供应商须知前附表规定的响应有效期内，磋商供应商不得要求撤销或修改其响应文件。</w:t>
      </w:r>
    </w:p>
    <w:p w14:paraId="254E2D34">
      <w:pPr>
        <w:pStyle w:val="13"/>
        <w:spacing w:line="360" w:lineRule="auto"/>
        <w:ind w:firstLine="420" w:firstLineChars="200"/>
        <w:rPr>
          <w:rFonts w:hAnsi="宋体" w:cs="宋体"/>
          <w:bCs/>
          <w:szCs w:val="21"/>
        </w:rPr>
      </w:pPr>
      <w:r>
        <w:rPr>
          <w:rFonts w:hint="eastAsia" w:hAnsi="宋体" w:cs="宋体"/>
          <w:szCs w:val="21"/>
        </w:rPr>
        <w:t>12.2  在特殊情况下，采购人或采购代理机构可与磋商供应商协商延长响应有效期，这种要求与答复均应使用书面形式。磋商供应商同意延长的，但不得要求或被允许修改或撤销其响应文件；磋商供应商拒绝延长的，其响应失效。</w:t>
      </w:r>
    </w:p>
    <w:p w14:paraId="475B83FB">
      <w:pPr>
        <w:pStyle w:val="13"/>
        <w:spacing w:line="360" w:lineRule="auto"/>
        <w:rPr>
          <w:rFonts w:hAnsi="宋体" w:cs="宋体"/>
          <w:bCs/>
          <w:szCs w:val="21"/>
        </w:rPr>
      </w:pPr>
      <w:r>
        <w:rPr>
          <w:rFonts w:hint="eastAsia" w:hAnsi="宋体" w:cs="宋体"/>
          <w:bCs/>
          <w:szCs w:val="21"/>
        </w:rPr>
        <w:t xml:space="preserve">13.  </w:t>
      </w:r>
      <w:r>
        <w:rPr>
          <w:rFonts w:hint="eastAsia" w:hAnsi="宋体" w:cs="宋体"/>
          <w:szCs w:val="21"/>
        </w:rPr>
        <w:t>磋商</w:t>
      </w:r>
      <w:r>
        <w:rPr>
          <w:rFonts w:hint="eastAsia" w:hAnsi="宋体" w:cs="宋体"/>
          <w:bCs/>
          <w:szCs w:val="21"/>
        </w:rPr>
        <w:t>保证金</w:t>
      </w:r>
    </w:p>
    <w:p w14:paraId="1C19E753">
      <w:pPr>
        <w:pStyle w:val="13"/>
        <w:spacing w:line="440" w:lineRule="exact"/>
        <w:ind w:firstLine="420" w:firstLineChars="200"/>
        <w:rPr>
          <w:rFonts w:hint="eastAsia" w:ascii="宋体" w:hAnsi="宋体" w:eastAsia="宋体" w:cs="宋体"/>
          <w:bCs/>
          <w:sz w:val="21"/>
          <w:szCs w:val="21"/>
        </w:rPr>
      </w:pPr>
      <w:r>
        <w:rPr>
          <w:rFonts w:hint="eastAsia" w:ascii="宋体" w:hAnsi="宋体" w:eastAsia="宋体" w:cs="宋体"/>
          <w:sz w:val="21"/>
          <w:szCs w:val="21"/>
        </w:rPr>
        <w:t>13</w:t>
      </w:r>
      <w:r>
        <w:rPr>
          <w:rFonts w:hint="eastAsia" w:ascii="宋体" w:hAnsi="宋体" w:eastAsia="宋体" w:cs="宋体"/>
          <w:bCs/>
          <w:sz w:val="21"/>
          <w:szCs w:val="21"/>
        </w:rPr>
        <w:t>.1  磋商保证金具体金额见供应商须知前附表，须足额缴纳。</w:t>
      </w:r>
    </w:p>
    <w:p w14:paraId="7C020E5A">
      <w:pPr>
        <w:pStyle w:val="13"/>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13.2未成交供应商的</w:t>
      </w:r>
      <w:r>
        <w:rPr>
          <w:rFonts w:hint="eastAsia" w:ascii="宋体" w:hAnsi="宋体" w:eastAsia="宋体" w:cs="宋体"/>
          <w:sz w:val="21"/>
          <w:szCs w:val="21"/>
        </w:rPr>
        <w:t>磋商</w:t>
      </w:r>
      <w:r>
        <w:rPr>
          <w:rFonts w:hint="eastAsia" w:ascii="宋体" w:hAnsi="宋体" w:eastAsia="宋体" w:cs="宋体"/>
          <w:bCs/>
          <w:sz w:val="21"/>
          <w:szCs w:val="21"/>
        </w:rPr>
        <w:t>保证金，除本章第 13.5 项规定的不予退还的情形外，由采购代理机构在成交通知书发出后五个工作日内以转账或电汇方式无息退还。</w:t>
      </w:r>
    </w:p>
    <w:p w14:paraId="523F04DF">
      <w:pPr>
        <w:pStyle w:val="13"/>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13.3</w:t>
      </w:r>
      <w:r>
        <w:rPr>
          <w:rFonts w:hint="eastAsia" w:ascii="宋体" w:hAnsi="宋体" w:eastAsia="宋体" w:cs="宋体"/>
          <w:color w:val="000000"/>
          <w:sz w:val="21"/>
          <w:szCs w:val="21"/>
        </w:rPr>
        <w:t>成交供应商的磋商保证金在签订合同</w:t>
      </w:r>
      <w:r>
        <w:rPr>
          <w:rFonts w:hint="eastAsia" w:ascii="宋体" w:hAnsi="宋体" w:eastAsia="宋体" w:cs="宋体"/>
          <w:color w:val="000000"/>
          <w:sz w:val="21"/>
          <w:szCs w:val="21"/>
          <w:lang w:eastAsia="zh-CN"/>
        </w:rPr>
        <w:t>后</w:t>
      </w:r>
      <w:r>
        <w:rPr>
          <w:rFonts w:hint="eastAsia" w:ascii="宋体" w:hAnsi="宋体" w:eastAsia="宋体" w:cs="宋体"/>
          <w:bCs/>
          <w:sz w:val="21"/>
          <w:szCs w:val="21"/>
        </w:rPr>
        <w:t>五个工作日内以转账或电汇方式无息退还。</w:t>
      </w:r>
    </w:p>
    <w:p w14:paraId="57ABDC59">
      <w:pPr>
        <w:pStyle w:val="13"/>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13.4涉及质疑和投诉的供应商，在质疑和投诉调查处理结束前其</w:t>
      </w:r>
      <w:r>
        <w:rPr>
          <w:rFonts w:hint="eastAsia" w:ascii="宋体" w:hAnsi="宋体" w:eastAsia="宋体" w:cs="宋体"/>
          <w:sz w:val="21"/>
          <w:szCs w:val="21"/>
        </w:rPr>
        <w:t>磋商</w:t>
      </w:r>
      <w:r>
        <w:rPr>
          <w:rFonts w:hint="eastAsia" w:ascii="宋体" w:hAnsi="宋体" w:eastAsia="宋体" w:cs="宋体"/>
          <w:bCs/>
          <w:sz w:val="21"/>
          <w:szCs w:val="21"/>
        </w:rPr>
        <w:t>保证金暂不退还。</w:t>
      </w:r>
    </w:p>
    <w:p w14:paraId="68195661">
      <w:pPr>
        <w:pStyle w:val="13"/>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13.5供应商有下列情形之一的，采购代理机构不予退还其交纳的磋商保证金：</w:t>
      </w:r>
    </w:p>
    <w:p w14:paraId="11D069E2">
      <w:pPr>
        <w:pStyle w:val="13"/>
        <w:spacing w:line="44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（1）在截标后要求撤回竞标的；</w:t>
      </w:r>
    </w:p>
    <w:p w14:paraId="48192B19">
      <w:pPr>
        <w:pStyle w:val="13"/>
        <w:spacing w:line="44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（2）属本章第 18.2 项所述情形的；</w:t>
      </w:r>
    </w:p>
    <w:p w14:paraId="19A586BA">
      <w:pPr>
        <w:pStyle w:val="13"/>
        <w:spacing w:line="44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（3）成交后未按规定缴纳履约保证金和代理服务费的；</w:t>
      </w:r>
    </w:p>
    <w:p w14:paraId="7D38A333">
      <w:pPr>
        <w:pStyle w:val="13"/>
        <w:spacing w:line="44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（4）成交后无正当理由不与采购人或者采购代理机构按规定的时间、地点签订合同的；</w:t>
      </w:r>
    </w:p>
    <w:p w14:paraId="42B8FE59">
      <w:pPr>
        <w:pStyle w:val="13"/>
        <w:spacing w:line="440" w:lineRule="exact"/>
        <w:ind w:firstLine="315" w:firstLineChars="150"/>
        <w:rPr>
          <w:rFonts w:hint="eastAsia" w:ascii="宋体" w:hAnsi="宋体" w:eastAsia="宋体" w:cs="宋体"/>
          <w:bCs/>
          <w:sz w:val="21"/>
          <w:szCs w:val="21"/>
        </w:rPr>
      </w:pPr>
      <w:r>
        <w:rPr>
          <w:rFonts w:hint="eastAsia" w:ascii="宋体" w:hAnsi="宋体" w:eastAsia="宋体" w:cs="宋体"/>
          <w:bCs/>
          <w:sz w:val="21"/>
          <w:szCs w:val="21"/>
        </w:rPr>
        <w:t>（5）成交后与采购人签订对竞争性</w:t>
      </w:r>
      <w:r>
        <w:rPr>
          <w:rFonts w:hint="eastAsia" w:ascii="宋体" w:hAnsi="宋体" w:eastAsia="宋体" w:cs="宋体"/>
          <w:bCs/>
          <w:sz w:val="21"/>
          <w:szCs w:val="21"/>
          <w:lang w:eastAsia="zh-CN"/>
        </w:rPr>
        <w:t>磋商</w:t>
      </w:r>
      <w:r>
        <w:rPr>
          <w:rFonts w:hint="eastAsia" w:ascii="宋体" w:hAnsi="宋体" w:eastAsia="宋体" w:cs="宋体"/>
          <w:bCs/>
          <w:sz w:val="21"/>
          <w:szCs w:val="21"/>
        </w:rPr>
        <w:t>采购文件和竞争性</w:t>
      </w:r>
      <w:r>
        <w:rPr>
          <w:rFonts w:hint="eastAsia" w:ascii="宋体" w:hAnsi="宋体" w:eastAsia="宋体" w:cs="宋体"/>
          <w:bCs/>
          <w:sz w:val="21"/>
          <w:szCs w:val="21"/>
          <w:lang w:eastAsia="zh-CN"/>
        </w:rPr>
        <w:t>磋商</w:t>
      </w:r>
      <w:r>
        <w:rPr>
          <w:rFonts w:hint="eastAsia" w:ascii="宋体" w:hAnsi="宋体" w:eastAsia="宋体" w:cs="宋体"/>
          <w:bCs/>
          <w:sz w:val="21"/>
          <w:szCs w:val="21"/>
        </w:rPr>
        <w:t>响应文件作了实质性修改的合同， 或与采购人私下订立背离合同实质性内容的协议的。</w:t>
      </w:r>
    </w:p>
    <w:p w14:paraId="20D7A43C">
      <w:pPr>
        <w:pStyle w:val="13"/>
        <w:spacing w:line="360" w:lineRule="auto"/>
        <w:jc w:val="center"/>
        <w:rPr>
          <w:rFonts w:hAnsi="宋体" w:cs="宋体"/>
          <w:b/>
          <w:bCs/>
          <w:szCs w:val="21"/>
        </w:rPr>
      </w:pPr>
    </w:p>
    <w:p w14:paraId="33ABFD07">
      <w:pPr>
        <w:pStyle w:val="26"/>
        <w:spacing w:line="360" w:lineRule="auto"/>
        <w:outlineLvl w:val="1"/>
        <w:rPr>
          <w:rFonts w:ascii="宋体" w:hAnsi="宋体" w:cs="宋体"/>
          <w:sz w:val="21"/>
          <w:szCs w:val="21"/>
        </w:rPr>
      </w:pPr>
      <w:bookmarkStart w:id="76" w:name="_Toc213326419"/>
      <w:bookmarkStart w:id="77" w:name="_Toc11924"/>
      <w:bookmarkStart w:id="78" w:name="_Toc7931"/>
      <w:bookmarkStart w:id="79" w:name="_Toc495334413"/>
      <w:bookmarkStart w:id="80" w:name="_Toc14703"/>
      <w:bookmarkStart w:id="81" w:name="_Toc17577"/>
      <w:bookmarkStart w:id="82" w:name="_Toc213326420"/>
      <w:r>
        <w:rPr>
          <w:rFonts w:hint="eastAsia" w:ascii="宋体" w:hAnsi="宋体" w:cs="宋体"/>
          <w:sz w:val="21"/>
          <w:szCs w:val="21"/>
        </w:rPr>
        <w:t xml:space="preserve">四   </w:t>
      </w:r>
      <w:bookmarkEnd w:id="76"/>
      <w:r>
        <w:rPr>
          <w:rFonts w:hint="eastAsia" w:ascii="宋体" w:hAnsi="宋体" w:cs="宋体"/>
          <w:sz w:val="21"/>
          <w:szCs w:val="21"/>
        </w:rPr>
        <w:t>磋商响应</w:t>
      </w:r>
      <w:bookmarkEnd w:id="77"/>
      <w:bookmarkEnd w:id="78"/>
      <w:bookmarkEnd w:id="79"/>
      <w:bookmarkEnd w:id="80"/>
      <w:bookmarkEnd w:id="81"/>
    </w:p>
    <w:p w14:paraId="684F16ED">
      <w:pPr>
        <w:pStyle w:val="13"/>
        <w:spacing w:line="360" w:lineRule="auto"/>
        <w:rPr>
          <w:rFonts w:hAnsi="宋体" w:cs="宋体"/>
          <w:bCs/>
          <w:szCs w:val="21"/>
        </w:rPr>
      </w:pPr>
      <w:r>
        <w:rPr>
          <w:rFonts w:hint="eastAsia" w:hAnsi="宋体" w:cs="宋体"/>
          <w:bCs/>
          <w:szCs w:val="21"/>
        </w:rPr>
        <w:t xml:space="preserve">14.  </w:t>
      </w:r>
      <w:r>
        <w:rPr>
          <w:rFonts w:hint="eastAsia" w:hAnsi="宋体" w:cs="宋体"/>
          <w:szCs w:val="21"/>
        </w:rPr>
        <w:t>响应</w:t>
      </w:r>
      <w:r>
        <w:rPr>
          <w:rFonts w:hint="eastAsia" w:hAnsi="宋体" w:cs="宋体"/>
          <w:bCs/>
          <w:szCs w:val="21"/>
        </w:rPr>
        <w:t>文件的密封</w:t>
      </w:r>
    </w:p>
    <w:p w14:paraId="58253DF4">
      <w:pPr>
        <w:pStyle w:val="13"/>
        <w:spacing w:line="360" w:lineRule="auto"/>
        <w:ind w:firstLine="420" w:firstLineChars="200"/>
        <w:rPr>
          <w:rFonts w:hAnsi="宋体" w:cs="宋体"/>
          <w:szCs w:val="21"/>
        </w:rPr>
      </w:pPr>
      <w:r>
        <w:rPr>
          <w:rFonts w:hint="eastAsia" w:hAnsi="宋体" w:cs="宋体"/>
          <w:szCs w:val="21"/>
        </w:rPr>
        <w:t>14.1  磋商供应商应将响应文件进行密封包装，并在包装面上加盖单位公章。</w:t>
      </w:r>
    </w:p>
    <w:p w14:paraId="51D0E4E1">
      <w:pPr>
        <w:pStyle w:val="13"/>
        <w:spacing w:line="360" w:lineRule="auto"/>
        <w:rPr>
          <w:rFonts w:hAnsi="宋体" w:cs="宋体"/>
          <w:bCs/>
          <w:szCs w:val="21"/>
        </w:rPr>
      </w:pPr>
      <w:r>
        <w:rPr>
          <w:rFonts w:hint="eastAsia" w:hAnsi="宋体" w:cs="宋体"/>
          <w:bCs/>
          <w:szCs w:val="21"/>
        </w:rPr>
        <w:t>15.  响应文件及</w:t>
      </w:r>
      <w:r>
        <w:rPr>
          <w:rFonts w:hint="eastAsia" w:hAnsi="宋体" w:cs="宋体"/>
          <w:szCs w:val="21"/>
        </w:rPr>
        <w:t>磋商</w:t>
      </w:r>
      <w:r>
        <w:rPr>
          <w:rFonts w:hint="eastAsia" w:hAnsi="宋体" w:cs="宋体"/>
          <w:bCs/>
          <w:szCs w:val="21"/>
        </w:rPr>
        <w:t>响应样品的提交</w:t>
      </w:r>
    </w:p>
    <w:p w14:paraId="4CE52E21">
      <w:pPr>
        <w:pStyle w:val="13"/>
        <w:spacing w:line="360" w:lineRule="auto"/>
        <w:ind w:firstLine="420" w:firstLineChars="200"/>
        <w:rPr>
          <w:rFonts w:hAnsi="宋体" w:cs="宋体"/>
          <w:bCs/>
          <w:szCs w:val="21"/>
        </w:rPr>
      </w:pPr>
      <w:r>
        <w:rPr>
          <w:rFonts w:hint="eastAsia" w:hAnsi="宋体" w:cs="宋体"/>
          <w:szCs w:val="21"/>
        </w:rPr>
        <w:t>15.1 磋商供应商提交响应文件截止时间：见磋商供应商须知前附表。</w:t>
      </w:r>
    </w:p>
    <w:p w14:paraId="3229F1B2">
      <w:pPr>
        <w:pStyle w:val="13"/>
        <w:spacing w:line="360" w:lineRule="auto"/>
        <w:ind w:firstLine="420" w:firstLineChars="200"/>
        <w:rPr>
          <w:rFonts w:hAnsi="宋体" w:cs="宋体"/>
          <w:bCs/>
          <w:szCs w:val="21"/>
        </w:rPr>
      </w:pPr>
      <w:r>
        <w:rPr>
          <w:rFonts w:hint="eastAsia" w:hAnsi="宋体" w:cs="宋体"/>
          <w:szCs w:val="21"/>
        </w:rPr>
        <w:t>15.2  磋商供应商提交响应文件地点：见磋商供应商须知前附表。</w:t>
      </w:r>
    </w:p>
    <w:p w14:paraId="4D14C084">
      <w:pPr>
        <w:pStyle w:val="13"/>
        <w:spacing w:line="360" w:lineRule="auto"/>
        <w:ind w:firstLine="420" w:firstLineChars="200"/>
        <w:rPr>
          <w:rFonts w:hAnsi="宋体" w:cs="宋体"/>
          <w:bCs/>
          <w:szCs w:val="21"/>
        </w:rPr>
      </w:pPr>
      <w:r>
        <w:rPr>
          <w:rFonts w:hint="eastAsia" w:hAnsi="宋体" w:cs="宋体"/>
          <w:szCs w:val="21"/>
        </w:rPr>
        <w:t>15.3  磋商供应商提交磋商响应样品截止时间：见磋商供应商须知前附表。</w:t>
      </w:r>
    </w:p>
    <w:p w14:paraId="19C68DD5">
      <w:pPr>
        <w:pStyle w:val="13"/>
        <w:spacing w:line="360" w:lineRule="auto"/>
        <w:ind w:firstLine="420" w:firstLineChars="200"/>
        <w:rPr>
          <w:rFonts w:hAnsi="宋体" w:cs="宋体"/>
          <w:szCs w:val="21"/>
        </w:rPr>
      </w:pPr>
      <w:r>
        <w:rPr>
          <w:rFonts w:hint="eastAsia" w:hAnsi="宋体" w:cs="宋体"/>
          <w:szCs w:val="21"/>
        </w:rPr>
        <w:t>15.4  磋商供应商提交磋商响应样品地点：见磋商供应商须知前附表。</w:t>
      </w:r>
    </w:p>
    <w:p w14:paraId="624EACE1">
      <w:pPr>
        <w:pStyle w:val="13"/>
        <w:spacing w:line="360" w:lineRule="auto"/>
        <w:ind w:firstLine="420" w:firstLineChars="200"/>
        <w:rPr>
          <w:rFonts w:hAnsi="宋体" w:cs="宋体"/>
          <w:szCs w:val="21"/>
        </w:rPr>
      </w:pPr>
      <w:r>
        <w:rPr>
          <w:rFonts w:hint="eastAsia" w:hAnsi="宋体" w:cs="宋体"/>
          <w:szCs w:val="21"/>
        </w:rPr>
        <w:t>15.5  磋商供应商提交响应文件时，应自行检查其响应文件的密封性，并签字确认。</w:t>
      </w:r>
    </w:p>
    <w:p w14:paraId="12849C61">
      <w:pPr>
        <w:pStyle w:val="13"/>
        <w:spacing w:line="360" w:lineRule="auto"/>
        <w:jc w:val="center"/>
        <w:rPr>
          <w:rFonts w:hAnsi="宋体" w:cs="宋体"/>
          <w:szCs w:val="21"/>
        </w:rPr>
      </w:pPr>
    </w:p>
    <w:bookmarkEnd w:id="82"/>
    <w:p w14:paraId="13D87319">
      <w:pPr>
        <w:pStyle w:val="26"/>
        <w:spacing w:line="360" w:lineRule="auto"/>
        <w:outlineLvl w:val="1"/>
        <w:rPr>
          <w:rFonts w:ascii="宋体" w:hAnsi="宋体" w:cs="宋体"/>
          <w:sz w:val="21"/>
          <w:szCs w:val="21"/>
        </w:rPr>
      </w:pPr>
      <w:bookmarkStart w:id="83" w:name="_Toc3165"/>
      <w:bookmarkStart w:id="84" w:name="_Toc26587"/>
      <w:bookmarkStart w:id="85" w:name="_Toc4222"/>
      <w:bookmarkStart w:id="86" w:name="_Toc227"/>
      <w:bookmarkStart w:id="87" w:name="_Toc495334414"/>
      <w:r>
        <w:rPr>
          <w:rFonts w:hint="eastAsia" w:ascii="宋体" w:hAnsi="宋体" w:cs="宋体"/>
          <w:sz w:val="21"/>
          <w:szCs w:val="21"/>
        </w:rPr>
        <w:t>五    评审与磋商</w:t>
      </w:r>
      <w:bookmarkEnd w:id="83"/>
      <w:bookmarkEnd w:id="84"/>
      <w:bookmarkEnd w:id="85"/>
      <w:bookmarkEnd w:id="86"/>
      <w:bookmarkEnd w:id="87"/>
    </w:p>
    <w:p w14:paraId="44F519C0">
      <w:pPr>
        <w:pStyle w:val="13"/>
        <w:spacing w:line="360" w:lineRule="auto"/>
        <w:rPr>
          <w:rFonts w:hAnsi="宋体" w:cs="宋体"/>
          <w:bCs/>
          <w:szCs w:val="21"/>
        </w:rPr>
      </w:pPr>
      <w:r>
        <w:rPr>
          <w:rFonts w:hint="eastAsia" w:hAnsi="宋体" w:cs="宋体"/>
          <w:bCs/>
          <w:szCs w:val="21"/>
        </w:rPr>
        <w:t xml:space="preserve">16.  </w:t>
      </w:r>
      <w:r>
        <w:rPr>
          <w:rFonts w:hint="eastAsia" w:hAnsi="宋体" w:cs="宋体"/>
          <w:szCs w:val="21"/>
        </w:rPr>
        <w:t>响应文件</w:t>
      </w:r>
      <w:r>
        <w:rPr>
          <w:rFonts w:hint="eastAsia" w:hAnsi="宋体" w:cs="宋体"/>
          <w:bCs/>
          <w:szCs w:val="21"/>
        </w:rPr>
        <w:t>截止</w:t>
      </w:r>
    </w:p>
    <w:p w14:paraId="0930DDD4">
      <w:pPr>
        <w:pStyle w:val="13"/>
        <w:spacing w:line="440" w:lineRule="exact"/>
        <w:ind w:firstLine="420" w:firstLineChars="200"/>
        <w:rPr>
          <w:rFonts w:hAnsi="宋体" w:cs="宋体"/>
          <w:szCs w:val="21"/>
        </w:rPr>
      </w:pPr>
      <w:r>
        <w:rPr>
          <w:rFonts w:hint="eastAsia" w:hAnsi="宋体" w:cs="宋体"/>
          <w:szCs w:val="21"/>
        </w:rPr>
        <w:t xml:space="preserve">16.1 </w:t>
      </w:r>
      <w:r>
        <w:rPr>
          <w:rFonts w:hint="eastAsia" w:ascii="宋体" w:hAnsi="宋体" w:eastAsia="宋体" w:cs="宋体"/>
          <w:sz w:val="21"/>
          <w:szCs w:val="21"/>
        </w:rPr>
        <w:t>供应商的法定代表人或其委托代理人应在递交响应文件截止时间</w:t>
      </w:r>
      <w:r>
        <w:rPr>
          <w:rFonts w:hint="eastAsia" w:ascii="宋体" w:hAnsi="宋体" w:eastAsia="宋体" w:cs="宋体"/>
          <w:sz w:val="21"/>
          <w:szCs w:val="21"/>
          <w:lang w:eastAsia="zh-CN"/>
        </w:rPr>
        <w:t>前</w:t>
      </w:r>
      <w:r>
        <w:rPr>
          <w:rFonts w:hint="eastAsia" w:hAnsi="宋体" w:cs="宋体"/>
          <w:sz w:val="21"/>
          <w:szCs w:val="21"/>
          <w:lang w:eastAsia="zh-CN"/>
        </w:rPr>
        <w:t>将响应文件</w:t>
      </w:r>
      <w:r>
        <w:rPr>
          <w:rFonts w:hint="eastAsia" w:ascii="宋体" w:hAnsi="宋体" w:eastAsia="宋体" w:cs="宋体"/>
          <w:sz w:val="21"/>
          <w:szCs w:val="21"/>
        </w:rPr>
        <w:t>递交</w:t>
      </w:r>
      <w:r>
        <w:rPr>
          <w:rFonts w:hint="eastAsia" w:hAnsi="宋体" w:cs="宋体"/>
          <w:sz w:val="21"/>
          <w:szCs w:val="21"/>
          <w:lang w:eastAsia="zh-CN"/>
        </w:rPr>
        <w:t>到截标</w:t>
      </w:r>
      <w:r>
        <w:rPr>
          <w:rFonts w:hint="eastAsia" w:ascii="宋体" w:hAnsi="宋体" w:eastAsia="宋体" w:cs="宋体"/>
          <w:sz w:val="21"/>
          <w:szCs w:val="21"/>
        </w:rPr>
        <w:t>地点并签到。如未按时签到，由此产生的后果由供应商自行负责。</w:t>
      </w:r>
    </w:p>
    <w:p w14:paraId="32599494">
      <w:pPr>
        <w:pStyle w:val="13"/>
        <w:spacing w:line="360" w:lineRule="auto"/>
        <w:rPr>
          <w:rFonts w:hAnsi="宋体" w:cs="宋体"/>
          <w:bCs/>
          <w:szCs w:val="21"/>
        </w:rPr>
      </w:pPr>
      <w:r>
        <w:rPr>
          <w:rFonts w:hint="eastAsia" w:hAnsi="宋体" w:cs="宋体"/>
          <w:bCs/>
          <w:szCs w:val="21"/>
        </w:rPr>
        <w:t>17. 评审与磋商</w:t>
      </w:r>
    </w:p>
    <w:p w14:paraId="01815D55">
      <w:pPr>
        <w:pStyle w:val="13"/>
        <w:spacing w:line="360" w:lineRule="auto"/>
        <w:ind w:firstLine="420" w:firstLineChars="200"/>
        <w:rPr>
          <w:rFonts w:hAnsi="宋体" w:cs="宋体"/>
          <w:szCs w:val="21"/>
        </w:rPr>
      </w:pPr>
      <w:r>
        <w:rPr>
          <w:rFonts w:hint="eastAsia" w:hAnsi="宋体" w:cs="宋体"/>
          <w:szCs w:val="21"/>
        </w:rPr>
        <w:t>17.1  成立磋商小组：评审与磋商活动由依法组建的磋商小组负责。磋商小组由采购人代表和有关技术、经济等方面的专家组成。采购人或采购代理机构根据本项目的特点，从评审专家库中，通过随机方式抽取专家。</w:t>
      </w:r>
    </w:p>
    <w:p w14:paraId="12B13913">
      <w:pPr>
        <w:pStyle w:val="13"/>
        <w:spacing w:line="360" w:lineRule="auto"/>
        <w:ind w:firstLine="420" w:firstLineChars="200"/>
        <w:rPr>
          <w:rFonts w:hAnsi="宋体" w:cs="宋体"/>
          <w:szCs w:val="21"/>
        </w:rPr>
      </w:pPr>
      <w:r>
        <w:rPr>
          <w:rFonts w:hint="eastAsia" w:hAnsi="宋体" w:cs="宋体"/>
          <w:szCs w:val="21"/>
        </w:rPr>
        <w:t>17.2  评审原则：评审活动遵循公平、公正、科学和择优的原则。</w:t>
      </w:r>
    </w:p>
    <w:p w14:paraId="5D7236AE">
      <w:pPr>
        <w:pStyle w:val="13"/>
        <w:spacing w:line="360" w:lineRule="auto"/>
        <w:ind w:firstLine="420" w:firstLineChars="200"/>
        <w:rPr>
          <w:rFonts w:hAnsi="宋体" w:cs="宋体"/>
          <w:szCs w:val="21"/>
        </w:rPr>
      </w:pPr>
      <w:r>
        <w:rPr>
          <w:rFonts w:hint="eastAsia" w:hAnsi="宋体" w:cs="宋体"/>
          <w:szCs w:val="21"/>
        </w:rPr>
        <w:t>17.3  评审方法：磋商小组按照供应商须知前附表和第</w:t>
      </w:r>
      <w:r>
        <w:rPr>
          <w:rFonts w:hint="eastAsia" w:hAnsi="宋体" w:cs="宋体"/>
          <w:szCs w:val="21"/>
          <w:lang w:eastAsia="zh-CN"/>
        </w:rPr>
        <w:t>六</w:t>
      </w:r>
      <w:r>
        <w:rPr>
          <w:rFonts w:hint="eastAsia" w:hAnsi="宋体" w:cs="宋体"/>
          <w:szCs w:val="21"/>
        </w:rPr>
        <w:t>章“评审方法”规定的方法、评审因素和标准对响应文件进行评审。在评审中，不得改变第</w:t>
      </w:r>
      <w:r>
        <w:rPr>
          <w:rFonts w:hint="eastAsia" w:hAnsi="宋体" w:cs="宋体"/>
          <w:szCs w:val="21"/>
          <w:lang w:eastAsia="zh-CN"/>
        </w:rPr>
        <w:t>六</w:t>
      </w:r>
      <w:r>
        <w:rPr>
          <w:rFonts w:hint="eastAsia" w:hAnsi="宋体" w:cs="宋体"/>
          <w:szCs w:val="21"/>
        </w:rPr>
        <w:t>章“评审办法”规定的方法、评审因素和标准；第</w:t>
      </w:r>
      <w:r>
        <w:rPr>
          <w:rFonts w:hint="eastAsia" w:hAnsi="宋体" w:cs="宋体"/>
          <w:szCs w:val="21"/>
          <w:lang w:eastAsia="zh-CN"/>
        </w:rPr>
        <w:t>六</w:t>
      </w:r>
      <w:r>
        <w:rPr>
          <w:rFonts w:hint="eastAsia" w:hAnsi="宋体" w:cs="宋体"/>
          <w:szCs w:val="21"/>
        </w:rPr>
        <w:t>章“评审办法”没有规定的方法、评审因素和标准，不作为评审依据。</w:t>
      </w:r>
    </w:p>
    <w:p w14:paraId="7878458A">
      <w:pPr>
        <w:pStyle w:val="13"/>
        <w:spacing w:line="360" w:lineRule="auto"/>
        <w:ind w:firstLine="420" w:firstLineChars="200"/>
        <w:rPr>
          <w:rFonts w:hAnsi="宋体" w:cs="宋体"/>
          <w:szCs w:val="21"/>
        </w:rPr>
      </w:pPr>
      <w:r>
        <w:rPr>
          <w:rFonts w:hint="eastAsia" w:hAnsi="宋体" w:cs="宋体"/>
          <w:szCs w:val="21"/>
        </w:rPr>
        <w:t xml:space="preserve">17.4  </w:t>
      </w:r>
      <w:r>
        <w:rPr>
          <w:rFonts w:hint="eastAsia" w:hAnsi="宋体" w:cs="宋体"/>
          <w:bCs/>
          <w:szCs w:val="21"/>
        </w:rPr>
        <w:t>评审程序：</w:t>
      </w:r>
    </w:p>
    <w:p w14:paraId="15B88544">
      <w:pPr>
        <w:pStyle w:val="13"/>
        <w:spacing w:line="360" w:lineRule="auto"/>
        <w:ind w:firstLine="420" w:firstLineChars="200"/>
        <w:rPr>
          <w:rFonts w:hAnsi="宋体" w:cs="宋体"/>
          <w:szCs w:val="21"/>
        </w:rPr>
      </w:pPr>
      <w:r>
        <w:rPr>
          <w:rFonts w:hint="eastAsia" w:hAnsi="宋体" w:cs="宋体"/>
          <w:szCs w:val="21"/>
        </w:rPr>
        <w:t xml:space="preserve">17.4.1  </w:t>
      </w:r>
      <w:r>
        <w:rPr>
          <w:rFonts w:hint="eastAsia" w:hAnsi="宋体" w:cs="宋体"/>
          <w:bCs/>
          <w:szCs w:val="21"/>
        </w:rPr>
        <w:t>采购代理机构项目负责人宣读评审会场纪律要求，集中管理通讯工具，询问在场人员是否申请回避。</w:t>
      </w:r>
    </w:p>
    <w:p w14:paraId="6EC3B27F">
      <w:pPr>
        <w:pStyle w:val="13"/>
        <w:spacing w:line="360" w:lineRule="auto"/>
        <w:ind w:firstLine="420" w:firstLineChars="200"/>
        <w:rPr>
          <w:rFonts w:hAnsi="宋体" w:cs="宋体"/>
          <w:bCs/>
          <w:szCs w:val="21"/>
        </w:rPr>
      </w:pPr>
      <w:r>
        <w:rPr>
          <w:rFonts w:hint="eastAsia" w:hAnsi="宋体" w:cs="宋体"/>
          <w:szCs w:val="21"/>
        </w:rPr>
        <w:t xml:space="preserve">17.4.2  </w:t>
      </w:r>
      <w:r>
        <w:rPr>
          <w:rFonts w:hint="eastAsia" w:hAnsi="宋体" w:cs="宋体"/>
          <w:bCs/>
          <w:szCs w:val="21"/>
        </w:rPr>
        <w:t>采购代理机构项目负责人介绍项目概况及磋商小组组成情况（但不得发表影响评审的倾向性、歧视性言论），推选磋商小组组长（原则上采购人不得担任磋商小组组长）。</w:t>
      </w:r>
    </w:p>
    <w:p w14:paraId="5AECD3A3">
      <w:pPr>
        <w:pStyle w:val="13"/>
        <w:spacing w:line="360" w:lineRule="auto"/>
        <w:ind w:firstLine="420" w:firstLineChars="200"/>
        <w:rPr>
          <w:rFonts w:hAnsi="宋体" w:cs="宋体"/>
          <w:szCs w:val="21"/>
        </w:rPr>
      </w:pPr>
      <w:r>
        <w:rPr>
          <w:rFonts w:hint="eastAsia" w:hAnsi="宋体" w:cs="宋体"/>
          <w:bCs/>
          <w:szCs w:val="21"/>
        </w:rPr>
        <w:t xml:space="preserve">17.4.3  </w:t>
      </w:r>
      <w:r>
        <w:rPr>
          <w:rFonts w:hint="eastAsia" w:hAnsi="宋体" w:cs="宋体"/>
          <w:szCs w:val="21"/>
        </w:rPr>
        <w:t>磋商小组在响应文件拆封前对响应文件做密封性检查，并签字确认。</w:t>
      </w:r>
    </w:p>
    <w:p w14:paraId="78A44DDE">
      <w:pPr>
        <w:pStyle w:val="13"/>
        <w:spacing w:line="360" w:lineRule="auto"/>
        <w:ind w:firstLine="420" w:firstLineChars="200"/>
        <w:rPr>
          <w:rFonts w:hAnsi="宋体" w:cs="宋体"/>
          <w:szCs w:val="21"/>
        </w:rPr>
      </w:pPr>
      <w:r>
        <w:rPr>
          <w:rFonts w:hint="eastAsia" w:hAnsi="宋体" w:cs="宋体"/>
          <w:szCs w:val="21"/>
        </w:rPr>
        <w:t>17.4.4  响应文件初审：初审分为资格性检查和符合性检查。</w:t>
      </w:r>
    </w:p>
    <w:p w14:paraId="7690B842">
      <w:pPr>
        <w:pStyle w:val="13"/>
        <w:spacing w:line="360" w:lineRule="auto"/>
        <w:ind w:firstLine="420" w:firstLineChars="200"/>
        <w:rPr>
          <w:rFonts w:hAnsi="宋体" w:cs="宋体"/>
          <w:szCs w:val="21"/>
        </w:rPr>
      </w:pPr>
      <w:r>
        <w:rPr>
          <w:rFonts w:hint="eastAsia" w:hAnsi="宋体" w:cs="宋体"/>
          <w:szCs w:val="21"/>
        </w:rPr>
        <w:t>17.4.4.1资格性检查：依据法律法规和磋商文件的规定，对响应文件中的资格证明进行审查，以确定供应商是否具备磋商资格。</w:t>
      </w:r>
    </w:p>
    <w:p w14:paraId="14E799DC">
      <w:pPr>
        <w:pStyle w:val="13"/>
        <w:spacing w:line="360" w:lineRule="auto"/>
        <w:ind w:firstLine="420" w:firstLineChars="200"/>
        <w:rPr>
          <w:rFonts w:hAnsi="宋体" w:cs="宋体"/>
          <w:szCs w:val="21"/>
        </w:rPr>
      </w:pPr>
      <w:r>
        <w:rPr>
          <w:rFonts w:hint="eastAsia" w:hAnsi="宋体" w:cs="宋体"/>
          <w:szCs w:val="21"/>
        </w:rPr>
        <w:t>17.4.4.2符合性检查：依据磋商文件的规定，从响应文件的有效性、完整性和对磋商文件的响应程度进行审查，以确定是否对磋商文件的实质性要求和条件作出响应。</w:t>
      </w:r>
    </w:p>
    <w:p w14:paraId="482898D2">
      <w:pPr>
        <w:pStyle w:val="13"/>
        <w:spacing w:line="360" w:lineRule="auto"/>
        <w:ind w:firstLine="718" w:firstLineChars="342"/>
        <w:rPr>
          <w:rFonts w:hAnsi="宋体" w:cs="宋体"/>
          <w:szCs w:val="21"/>
        </w:rPr>
      </w:pPr>
      <w:r>
        <w:rPr>
          <w:rFonts w:hint="eastAsia" w:hAnsi="宋体" w:cs="宋体"/>
          <w:szCs w:val="21"/>
        </w:rPr>
        <w:t>(1)有下列情形之一的视为磋商供应商相互串通响应，响应文件将被视为无效。</w:t>
      </w:r>
    </w:p>
    <w:p w14:paraId="1A088225">
      <w:pPr>
        <w:widowControl/>
        <w:spacing w:line="360" w:lineRule="auto"/>
        <w:ind w:firstLine="640"/>
        <w:jc w:val="left"/>
        <w:rPr>
          <w:rFonts w:ascii="宋体" w:hAnsi="宋体" w:cs="宋体"/>
          <w:szCs w:val="21"/>
        </w:rPr>
      </w:pPr>
      <w:r>
        <w:rPr>
          <w:rFonts w:hint="eastAsia" w:ascii="宋体" w:hAnsi="宋体" w:cs="宋体"/>
          <w:szCs w:val="21"/>
        </w:rPr>
        <w:t>①不同磋商供应商的响应文件由同一单位或者个人编制；或不同磋商供应商报名的IP地址一致的;</w:t>
      </w:r>
    </w:p>
    <w:p w14:paraId="1D378641">
      <w:pPr>
        <w:widowControl/>
        <w:spacing w:line="360" w:lineRule="auto"/>
        <w:ind w:firstLine="640"/>
        <w:jc w:val="left"/>
        <w:rPr>
          <w:rFonts w:ascii="宋体" w:hAnsi="宋体" w:cs="宋体"/>
          <w:szCs w:val="21"/>
        </w:rPr>
      </w:pPr>
      <w:r>
        <w:rPr>
          <w:rFonts w:hint="eastAsia" w:ascii="宋体" w:hAnsi="宋体" w:cs="宋体"/>
          <w:szCs w:val="21"/>
        </w:rPr>
        <w:t>②不同磋商供应商委托同一单位或者个人办理响应事宜;</w:t>
      </w:r>
    </w:p>
    <w:p w14:paraId="29C3F2CB">
      <w:pPr>
        <w:widowControl/>
        <w:spacing w:line="360" w:lineRule="auto"/>
        <w:ind w:firstLine="640"/>
        <w:jc w:val="left"/>
        <w:rPr>
          <w:rFonts w:ascii="宋体" w:hAnsi="宋体" w:cs="宋体"/>
          <w:szCs w:val="21"/>
        </w:rPr>
      </w:pPr>
      <w:r>
        <w:rPr>
          <w:rFonts w:hint="eastAsia" w:ascii="宋体" w:hAnsi="宋体" w:cs="宋体"/>
          <w:szCs w:val="21"/>
        </w:rPr>
        <w:t>③不同的磋商供应商的响应文件载明的项目管理员为同一个人;</w:t>
      </w:r>
    </w:p>
    <w:p w14:paraId="3DC6A2DA">
      <w:pPr>
        <w:widowControl/>
        <w:spacing w:line="360" w:lineRule="auto"/>
        <w:ind w:firstLine="640"/>
        <w:jc w:val="left"/>
        <w:rPr>
          <w:rFonts w:ascii="宋体" w:hAnsi="宋体" w:cs="宋体"/>
          <w:szCs w:val="21"/>
        </w:rPr>
      </w:pPr>
      <w:r>
        <w:rPr>
          <w:rFonts w:hint="eastAsia" w:ascii="宋体" w:hAnsi="宋体" w:cs="宋体"/>
          <w:szCs w:val="21"/>
        </w:rPr>
        <w:t>④不同磋商供应商的响应文件异常一致或响应报价呈规律性差异;</w:t>
      </w:r>
    </w:p>
    <w:p w14:paraId="70A90724">
      <w:pPr>
        <w:widowControl/>
        <w:spacing w:line="360" w:lineRule="auto"/>
        <w:ind w:firstLine="640"/>
        <w:jc w:val="left"/>
        <w:rPr>
          <w:rFonts w:ascii="宋体" w:hAnsi="宋体" w:cs="宋体"/>
          <w:szCs w:val="21"/>
        </w:rPr>
      </w:pPr>
      <w:r>
        <w:rPr>
          <w:rFonts w:hint="eastAsia" w:ascii="宋体" w:hAnsi="宋体" w:cs="宋体"/>
          <w:szCs w:val="21"/>
        </w:rPr>
        <w:t>⑤不同磋商供应商的响应文件相互混装;</w:t>
      </w:r>
    </w:p>
    <w:p w14:paraId="515C17F6">
      <w:pPr>
        <w:widowControl/>
        <w:spacing w:line="360" w:lineRule="auto"/>
        <w:ind w:firstLine="640"/>
        <w:jc w:val="left"/>
        <w:rPr>
          <w:rFonts w:ascii="宋体" w:hAnsi="宋体" w:cs="宋体"/>
          <w:szCs w:val="21"/>
        </w:rPr>
      </w:pPr>
      <w:r>
        <w:rPr>
          <w:rFonts w:hint="eastAsia" w:ascii="宋体" w:hAnsi="宋体" w:cs="宋体"/>
          <w:szCs w:val="21"/>
        </w:rPr>
        <w:t>（2）关联供应商不得参加同一合同项下采购活动，否则响应文件将被视为无效</w:t>
      </w:r>
    </w:p>
    <w:p w14:paraId="7429671A">
      <w:pPr>
        <w:widowControl/>
        <w:spacing w:line="360" w:lineRule="auto"/>
        <w:ind w:firstLine="640"/>
        <w:jc w:val="left"/>
        <w:rPr>
          <w:rFonts w:ascii="宋体" w:hAnsi="宋体" w:cs="宋体"/>
          <w:szCs w:val="21"/>
        </w:rPr>
      </w:pPr>
      <w:r>
        <w:rPr>
          <w:rFonts w:hint="eastAsia" w:ascii="宋体" w:hAnsi="宋体" w:cs="宋体"/>
          <w:szCs w:val="21"/>
        </w:rPr>
        <w:t>①单位负责人为同一人或者存在直接控股、管理关系的不同的供应商，不得参加同一合同项下的采购活动;</w:t>
      </w:r>
    </w:p>
    <w:p w14:paraId="619AC013">
      <w:pPr>
        <w:widowControl/>
        <w:spacing w:line="360" w:lineRule="auto"/>
        <w:ind w:firstLine="640"/>
        <w:jc w:val="left"/>
        <w:rPr>
          <w:rFonts w:hint="eastAsia" w:ascii="宋体" w:hAnsi="宋体" w:cs="宋体"/>
          <w:szCs w:val="21"/>
        </w:rPr>
      </w:pPr>
      <w:r>
        <w:rPr>
          <w:rFonts w:hint="eastAsia" w:ascii="宋体" w:hAnsi="宋体" w:cs="宋体"/>
          <w:szCs w:val="21"/>
        </w:rPr>
        <w:t>②生产厂商授权给供应商后自己不得参加同一合同项下的采购活动；生产厂商对同一品牌同一型号的货物，仅能委托一个代理商参加响应。</w:t>
      </w:r>
    </w:p>
    <w:p w14:paraId="236155BB">
      <w:pPr>
        <w:pStyle w:val="22"/>
        <w:ind w:firstLine="630" w:firstLineChars="300"/>
      </w:pPr>
      <w:r>
        <w:rPr>
          <w:rFonts w:hint="eastAsia" w:ascii="宋体" w:hAnsi="宋体" w:eastAsia="宋体" w:cs="宋体"/>
          <w:sz w:val="21"/>
          <w:szCs w:val="21"/>
          <w:lang w:val="en-US" w:eastAsia="zh-CN"/>
        </w:rPr>
        <w:t>3</w:t>
      </w:r>
      <w:r>
        <w:rPr>
          <w:rFonts w:hint="eastAsia" w:hAnsi="宋体" w:cs="宋体"/>
          <w:sz w:val="21"/>
          <w:szCs w:val="21"/>
        </w:rPr>
        <w:t>法定代表人为同一个人的两个及两个以上法人，母公司、全资子公司及其控股公司，在同一包采购中同时参与磋商；</w:t>
      </w:r>
    </w:p>
    <w:p w14:paraId="125192D4">
      <w:pPr>
        <w:pStyle w:val="13"/>
        <w:spacing w:line="360" w:lineRule="auto"/>
        <w:ind w:firstLine="420" w:firstLineChars="200"/>
        <w:rPr>
          <w:rFonts w:hAnsi="宋体" w:cs="宋体"/>
          <w:szCs w:val="21"/>
        </w:rPr>
      </w:pPr>
      <w:r>
        <w:rPr>
          <w:rFonts w:hint="eastAsia" w:hAnsi="宋体" w:cs="宋体"/>
          <w:szCs w:val="21"/>
        </w:rPr>
        <w:t>17.4.5  澄清有关问题。磋商小组在对响应文件的有效性、完整性和响应程度进行审查时，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04D6B645">
      <w:pPr>
        <w:pStyle w:val="13"/>
        <w:spacing w:line="360" w:lineRule="auto"/>
        <w:ind w:firstLine="420" w:firstLineChars="200"/>
        <w:rPr>
          <w:rFonts w:hAnsi="宋体" w:cs="宋体"/>
          <w:szCs w:val="21"/>
        </w:rPr>
      </w:pPr>
      <w:r>
        <w:rPr>
          <w:rFonts w:hint="eastAsia" w:hAnsi="宋体" w:cs="宋体"/>
          <w:szCs w:val="21"/>
        </w:rPr>
        <w:t>17.4.6  确定参加磋商的供应商名单。磋商小组将所有通过资格性审查及符合性审查的供应商确定为参加磋商的供应商。</w:t>
      </w:r>
    </w:p>
    <w:p w14:paraId="53235CE3">
      <w:pPr>
        <w:pStyle w:val="13"/>
        <w:spacing w:line="360" w:lineRule="auto"/>
        <w:ind w:firstLine="420" w:firstLineChars="200"/>
        <w:rPr>
          <w:rFonts w:hAnsi="宋体" w:cs="宋体"/>
          <w:szCs w:val="21"/>
        </w:rPr>
      </w:pPr>
      <w:r>
        <w:rPr>
          <w:rFonts w:hint="eastAsia" w:hAnsi="宋体" w:cs="宋体"/>
          <w:szCs w:val="21"/>
        </w:rPr>
        <w:t>17.4.7  磋商。</w:t>
      </w:r>
    </w:p>
    <w:p w14:paraId="7D2B70CF">
      <w:pPr>
        <w:pStyle w:val="13"/>
        <w:spacing w:line="360" w:lineRule="auto"/>
        <w:ind w:firstLine="420" w:firstLineChars="200"/>
        <w:rPr>
          <w:rFonts w:hAnsi="宋体" w:cs="宋体"/>
          <w:szCs w:val="21"/>
        </w:rPr>
      </w:pPr>
      <w:r>
        <w:rPr>
          <w:rFonts w:hint="eastAsia" w:hAnsi="宋体" w:cs="宋体"/>
          <w:szCs w:val="21"/>
        </w:rPr>
        <w:t>（1）磋商小组将在供应商须知前附表规定的地点与各供应商进行磋商。磋商小组所有成员应当集中与单一供应商分别进行磋商，并给予所有参加磋商的响应供应商平等的磋商机会。在磋商过程中，磋商小组应当严格遵循保密原则，未经供应商同意不得向任何人透露其技术、价格和其他重要信息。</w:t>
      </w:r>
    </w:p>
    <w:p w14:paraId="0421EE56">
      <w:pPr>
        <w:spacing w:line="360" w:lineRule="auto"/>
        <w:ind w:firstLine="357" w:firstLineChars="170"/>
        <w:rPr>
          <w:rFonts w:ascii="宋体" w:hAnsi="宋体" w:cs="宋体"/>
          <w:szCs w:val="21"/>
        </w:rPr>
      </w:pPr>
      <w:r>
        <w:rPr>
          <w:rFonts w:hint="eastAsia" w:ascii="宋体" w:hAnsi="宋体" w:cs="宋体"/>
          <w:szCs w:val="21"/>
        </w:rPr>
        <w:t>（2）供应商的法定代表人或其委托代理人以及技术人员必须参加磋商。供应商的法定代表人凭法定代表人资格证明书和本人身份证原件参加磋商，其委托代理人凭授权委托书和本人身份证原件参加磋商。供应商未按时到达评审会场参加磋商或未能出示上述证件的，视为放弃响应。</w:t>
      </w:r>
    </w:p>
    <w:p w14:paraId="2FDE03E5">
      <w:pPr>
        <w:spacing w:line="360" w:lineRule="auto"/>
        <w:ind w:firstLine="357" w:firstLineChars="170"/>
        <w:rPr>
          <w:rFonts w:ascii="宋体" w:hAnsi="宋体" w:cs="宋体"/>
          <w:szCs w:val="21"/>
        </w:rPr>
      </w:pPr>
      <w:r>
        <w:rPr>
          <w:rFonts w:hint="eastAsia" w:ascii="宋体" w:hAnsi="宋体" w:cs="宋体"/>
          <w:szCs w:val="21"/>
        </w:rPr>
        <w:t>（3）在磋商过程中，磋商小组可以根据磋商文件和磋商情况实质性变动采购需求中的技术、服务要求（供应商资格条件和</w:t>
      </w:r>
      <w:r>
        <w:rPr>
          <w:rFonts w:hint="eastAsia" w:ascii="宋体" w:hAnsi="宋体" w:cs="宋体"/>
          <w:bCs/>
          <w:szCs w:val="21"/>
        </w:rPr>
        <w:t>标注</w:t>
      </w:r>
      <w:r>
        <w:rPr>
          <w:rFonts w:hint="eastAsia" w:ascii="宋体" w:hAnsi="宋体" w:cs="宋体"/>
          <w:b/>
          <w:bCs/>
          <w:szCs w:val="21"/>
        </w:rPr>
        <w:t>★</w:t>
      </w:r>
      <w:r>
        <w:rPr>
          <w:rFonts w:hint="eastAsia" w:ascii="宋体" w:hAnsi="宋体" w:cs="宋体"/>
          <w:bCs/>
          <w:szCs w:val="21"/>
        </w:rPr>
        <w:t>号的条款</w:t>
      </w:r>
      <w:r>
        <w:rPr>
          <w:rFonts w:hint="eastAsia" w:ascii="宋体" w:hAnsi="宋体" w:cs="宋体"/>
          <w:szCs w:val="21"/>
        </w:rPr>
        <w:t>除外）以及合同草案条款，但不得变动磋商文件的其他内容。实质性变动的内容，须经采购人代表确认。对磋商文件作出的实质性变动是磋商文件的有效组成部分，磋商小组应当及时以书面形式同时通知所有参加磋商的供应商。</w:t>
      </w:r>
    </w:p>
    <w:p w14:paraId="60113EA5">
      <w:pPr>
        <w:pStyle w:val="13"/>
        <w:spacing w:line="360" w:lineRule="auto"/>
        <w:ind w:firstLine="420" w:firstLineChars="200"/>
        <w:rPr>
          <w:rFonts w:hAnsi="宋体" w:cs="宋体"/>
          <w:szCs w:val="21"/>
        </w:rPr>
      </w:pPr>
      <w:r>
        <w:rPr>
          <w:rFonts w:hint="eastAsia" w:hAnsi="宋体" w:cs="宋体"/>
          <w:szCs w:val="21"/>
        </w:rPr>
        <w:t>（4）供应商应当按照磋商文件的变动情况和磋商小组的要求重新提交响应文件，并由其法定代表人或授权代表签字。由授权代表签字的，蹉商响应文件应当附法定代表人授权书。供应商应当按要求对响应文件进行封装并在规定的时间前递交至磋商小组，否则视为放弃磋商。</w:t>
      </w:r>
    </w:p>
    <w:p w14:paraId="4C20502B">
      <w:pPr>
        <w:pStyle w:val="13"/>
        <w:spacing w:line="360" w:lineRule="auto"/>
        <w:ind w:firstLine="420" w:firstLineChars="200"/>
        <w:rPr>
          <w:rFonts w:hAnsi="宋体" w:cs="宋体"/>
          <w:szCs w:val="21"/>
        </w:rPr>
      </w:pPr>
      <w:r>
        <w:rPr>
          <w:rFonts w:hint="eastAsia" w:hAnsi="宋体" w:cs="宋体"/>
          <w:szCs w:val="21"/>
        </w:rPr>
        <w:t>（5）未实质性响应磋商文件的响应文件按无效响应处理，磋商小组应当告知提交响应文件的供应商。</w:t>
      </w:r>
    </w:p>
    <w:p w14:paraId="2762FDF8">
      <w:pPr>
        <w:spacing w:line="360" w:lineRule="auto"/>
        <w:ind w:firstLine="336" w:firstLineChars="160"/>
        <w:rPr>
          <w:rFonts w:ascii="宋体" w:hAnsi="宋体" w:cs="宋体"/>
          <w:szCs w:val="21"/>
        </w:rPr>
      </w:pPr>
      <w:r>
        <w:rPr>
          <w:rFonts w:hint="eastAsia" w:ascii="宋体" w:hAnsi="宋体" w:cs="宋体"/>
          <w:szCs w:val="21"/>
        </w:rPr>
        <w:t>（6）磋商文件能够详细列明采购标的的技术、服务要求的，磋商结束后，磋商小组要求所有作出实质性响应的有效供应商应在规定的时间内提交最后报价。供应商应在磋商小组规定的时间内统一提交最终报价（最后报价时间视磋商进程由磋商小组决定）。供应商的最后报价应单独封装递交至磋商小组。</w:t>
      </w:r>
    </w:p>
    <w:p w14:paraId="7A53C209">
      <w:pPr>
        <w:pStyle w:val="13"/>
        <w:spacing w:line="360" w:lineRule="auto"/>
        <w:ind w:firstLine="420" w:firstLineChars="200"/>
        <w:rPr>
          <w:rFonts w:hAnsi="宋体" w:cs="宋体"/>
          <w:szCs w:val="21"/>
        </w:rPr>
      </w:pPr>
      <w:r>
        <w:rPr>
          <w:rFonts w:hint="eastAsia" w:hAnsi="宋体" w:cs="宋体"/>
          <w:szCs w:val="21"/>
        </w:rPr>
        <w:t>（7）已提交响应文件的供应商，在提交最后报价之前，可以根据磋商情况退出磋商。</w:t>
      </w:r>
    </w:p>
    <w:p w14:paraId="2A54AA38">
      <w:pPr>
        <w:pStyle w:val="13"/>
        <w:spacing w:line="360" w:lineRule="auto"/>
        <w:ind w:firstLine="420" w:firstLineChars="200"/>
        <w:rPr>
          <w:rFonts w:hAnsi="宋体" w:cs="宋体"/>
          <w:szCs w:val="21"/>
        </w:rPr>
      </w:pPr>
      <w:r>
        <w:rPr>
          <w:rFonts w:hint="eastAsia" w:hAnsi="宋体" w:cs="宋体"/>
          <w:szCs w:val="21"/>
        </w:rPr>
        <w:t>（8）在磋商过程中，供应商提交的响应文件、澄清文件、最后报价文件等，由供应商法人代表或授权代表当场签字后生效，供应商应受其约束，替代竞争性磋商文件或响应文件中相应的内容，并构成响应文件的组成部分和评审的依据。如成交，则作为合同的组成部分。</w:t>
      </w:r>
    </w:p>
    <w:p w14:paraId="0B88703C">
      <w:pPr>
        <w:pStyle w:val="13"/>
        <w:spacing w:line="360" w:lineRule="auto"/>
        <w:ind w:firstLine="420" w:firstLineChars="200"/>
        <w:rPr>
          <w:rFonts w:hAnsi="宋体" w:cs="宋体"/>
          <w:szCs w:val="21"/>
        </w:rPr>
      </w:pPr>
      <w:r>
        <w:rPr>
          <w:rFonts w:hint="eastAsia" w:hAnsi="宋体" w:cs="宋体"/>
          <w:szCs w:val="21"/>
        </w:rPr>
        <w:t>（9）在对商务、技术及其他内容的比较和评价结束前，磋商小组不能接触、比较和评价响应报价。最后报价在磋商小组完成商务、技术及其他内容的评审后才能拆封。</w:t>
      </w:r>
    </w:p>
    <w:p w14:paraId="3318A054">
      <w:pPr>
        <w:pStyle w:val="13"/>
        <w:spacing w:line="360" w:lineRule="auto"/>
        <w:ind w:firstLine="422" w:firstLineChars="200"/>
        <w:rPr>
          <w:rFonts w:hAnsi="宋体" w:cs="宋体"/>
          <w:b/>
          <w:szCs w:val="21"/>
        </w:rPr>
      </w:pPr>
      <w:r>
        <w:rPr>
          <w:rFonts w:hint="eastAsia" w:hAnsi="宋体" w:cs="宋体"/>
          <w:b/>
          <w:szCs w:val="21"/>
        </w:rPr>
        <w:t>17.4.8 低于成本报价。磋商小组在评审过程中发现供应商的总报价明显低于其他供应商的总报价或者明显低于采购预算价，有理由怀疑其总报价可能低于其成本的，应当要求该供应商做出书面说明并提供相关证明材料。供应商不能合理说明或者不能提供相关证明材料的，视作该供应商以低于成本报价，其响应无效。</w:t>
      </w:r>
    </w:p>
    <w:p w14:paraId="5E7FA0BD">
      <w:pPr>
        <w:tabs>
          <w:tab w:val="left" w:pos="720"/>
        </w:tabs>
        <w:spacing w:line="360" w:lineRule="auto"/>
        <w:ind w:firstLine="420" w:firstLineChars="200"/>
        <w:rPr>
          <w:rFonts w:ascii="宋体" w:hAnsi="宋体" w:cs="宋体"/>
          <w:szCs w:val="21"/>
        </w:rPr>
      </w:pPr>
      <w:r>
        <w:rPr>
          <w:rFonts w:hint="eastAsia" w:ascii="宋体" w:hAnsi="宋体" w:cs="宋体"/>
          <w:szCs w:val="21"/>
        </w:rPr>
        <w:t>17.4.9 磋商小组将只对确定为实质上响应磋商文件要求的响应文件、澄清和最后报价等内容进行详细评审，按第</w:t>
      </w:r>
      <w:r>
        <w:rPr>
          <w:rFonts w:hint="eastAsia" w:ascii="宋体" w:hAnsi="宋体" w:cs="宋体"/>
          <w:szCs w:val="21"/>
          <w:lang w:eastAsia="zh-CN"/>
        </w:rPr>
        <w:t>六</w:t>
      </w:r>
      <w:r>
        <w:rPr>
          <w:rFonts w:hint="eastAsia" w:ascii="宋体" w:hAnsi="宋体" w:cs="宋体"/>
          <w:szCs w:val="21"/>
        </w:rPr>
        <w:t>章评审办法进行综合比较和评价。</w:t>
      </w:r>
    </w:p>
    <w:p w14:paraId="538DE117">
      <w:pPr>
        <w:pStyle w:val="13"/>
        <w:spacing w:line="360" w:lineRule="auto"/>
        <w:ind w:firstLine="420" w:firstLineChars="200"/>
        <w:rPr>
          <w:rFonts w:hAnsi="宋体" w:cs="宋体"/>
          <w:szCs w:val="21"/>
        </w:rPr>
      </w:pPr>
      <w:r>
        <w:rPr>
          <w:rFonts w:hint="eastAsia" w:hAnsi="宋体" w:cs="宋体"/>
          <w:szCs w:val="21"/>
        </w:rPr>
        <w:t>17.4.10 采购代理机构对评审过程和评分、评审结论进行核对和复核，如有错漏，请当事评委进行校正，按校正后的结果确定成交供应商。</w:t>
      </w:r>
    </w:p>
    <w:p w14:paraId="3BC832C5">
      <w:pPr>
        <w:pStyle w:val="13"/>
        <w:spacing w:line="360" w:lineRule="auto"/>
        <w:ind w:firstLine="359" w:firstLineChars="171"/>
        <w:rPr>
          <w:rFonts w:hAnsi="宋体" w:cs="宋体"/>
          <w:szCs w:val="21"/>
        </w:rPr>
      </w:pPr>
      <w:r>
        <w:rPr>
          <w:rFonts w:hint="eastAsia" w:hAnsi="宋体" w:cs="宋体"/>
          <w:szCs w:val="21"/>
        </w:rPr>
        <w:t>17.5  评审过程的保密。评审在严格保密的情况下进行，任何单位和个人不得非法干预、影响评审办法的确定，以及评审过程和结果。磋商小组成员和参与评审的有关工作人员不得透露对响应文件的评审和比较、成交候选人的推荐情况以及与评审有关的其他情况。</w:t>
      </w:r>
    </w:p>
    <w:p w14:paraId="7008F89F">
      <w:pPr>
        <w:pStyle w:val="13"/>
        <w:spacing w:line="360" w:lineRule="auto"/>
        <w:rPr>
          <w:rFonts w:hAnsi="宋体" w:cs="宋体"/>
          <w:bCs/>
          <w:szCs w:val="21"/>
        </w:rPr>
      </w:pPr>
    </w:p>
    <w:p w14:paraId="6EA21A91">
      <w:pPr>
        <w:pStyle w:val="13"/>
        <w:spacing w:line="360" w:lineRule="auto"/>
        <w:rPr>
          <w:rFonts w:hAnsi="宋体" w:cs="宋体"/>
          <w:bCs/>
          <w:szCs w:val="21"/>
        </w:rPr>
      </w:pPr>
      <w:r>
        <w:rPr>
          <w:rFonts w:hint="eastAsia" w:hAnsi="宋体" w:cs="宋体"/>
          <w:bCs/>
          <w:szCs w:val="21"/>
        </w:rPr>
        <w:t>18. 响应文件的修正</w:t>
      </w:r>
    </w:p>
    <w:p w14:paraId="104A0FCD">
      <w:pPr>
        <w:pStyle w:val="13"/>
        <w:spacing w:line="360" w:lineRule="auto"/>
        <w:ind w:firstLine="420" w:firstLineChars="200"/>
        <w:rPr>
          <w:rFonts w:hAnsi="宋体" w:cs="宋体"/>
          <w:szCs w:val="21"/>
        </w:rPr>
      </w:pPr>
      <w:r>
        <w:rPr>
          <w:rFonts w:hint="eastAsia" w:hAnsi="宋体" w:cs="宋体"/>
          <w:szCs w:val="21"/>
        </w:rPr>
        <w:t>18.1  响应文件报价出现前后不一致的，修正的原则如下：</w:t>
      </w:r>
    </w:p>
    <w:p w14:paraId="66A8CC5C">
      <w:pPr>
        <w:pStyle w:val="13"/>
        <w:spacing w:line="360" w:lineRule="auto"/>
        <w:rPr>
          <w:rFonts w:hAnsi="宋体" w:cs="宋体"/>
          <w:szCs w:val="21"/>
        </w:rPr>
      </w:pPr>
      <w:r>
        <w:rPr>
          <w:rFonts w:hint="eastAsia" w:hAnsi="宋体" w:cs="宋体"/>
          <w:szCs w:val="21"/>
        </w:rPr>
        <w:t>（1）响应文件中开标一览表（报价表）内容与响应文件中相应内容不一致的，以开标一览表（报价表）为准；</w:t>
      </w:r>
    </w:p>
    <w:p w14:paraId="52992C2A">
      <w:pPr>
        <w:pStyle w:val="13"/>
        <w:spacing w:line="360" w:lineRule="auto"/>
        <w:rPr>
          <w:rFonts w:hAnsi="宋体" w:cs="宋体"/>
          <w:szCs w:val="21"/>
        </w:rPr>
      </w:pPr>
      <w:r>
        <w:rPr>
          <w:rFonts w:hint="eastAsia" w:hAnsi="宋体" w:cs="宋体"/>
          <w:szCs w:val="21"/>
        </w:rPr>
        <w:t>（2）大写金额和小写金额不一致的，以大写金额为准；</w:t>
      </w:r>
    </w:p>
    <w:p w14:paraId="3869D90D">
      <w:pPr>
        <w:pStyle w:val="13"/>
        <w:spacing w:line="360" w:lineRule="auto"/>
        <w:rPr>
          <w:rFonts w:hAnsi="宋体" w:cs="宋体"/>
          <w:szCs w:val="21"/>
        </w:rPr>
      </w:pPr>
      <w:r>
        <w:rPr>
          <w:rFonts w:hint="eastAsia" w:hAnsi="宋体" w:cs="宋体"/>
          <w:szCs w:val="21"/>
        </w:rPr>
        <w:t>（3）单价金额小数点或者百分比有明显错位的，以开标一览表的总价为准，并修改单价；</w:t>
      </w:r>
    </w:p>
    <w:p w14:paraId="1B07AF2E">
      <w:pPr>
        <w:pStyle w:val="13"/>
        <w:spacing w:line="360" w:lineRule="auto"/>
        <w:rPr>
          <w:rFonts w:hAnsi="宋体" w:cs="宋体"/>
          <w:szCs w:val="21"/>
        </w:rPr>
      </w:pPr>
      <w:r>
        <w:rPr>
          <w:rFonts w:hint="eastAsia" w:hAnsi="宋体" w:cs="宋体"/>
          <w:szCs w:val="21"/>
        </w:rPr>
        <w:t>（4）总价金额与按单价汇总金额不一致的，以单价金额计算结果为准。</w:t>
      </w:r>
    </w:p>
    <w:p w14:paraId="7CC29796">
      <w:pPr>
        <w:pStyle w:val="13"/>
        <w:spacing w:line="360" w:lineRule="auto"/>
        <w:ind w:firstLine="420" w:firstLineChars="200"/>
        <w:rPr>
          <w:rFonts w:hAnsi="宋体" w:cs="宋体"/>
          <w:szCs w:val="21"/>
        </w:rPr>
      </w:pPr>
      <w:r>
        <w:rPr>
          <w:rFonts w:hint="eastAsia" w:hAnsi="宋体" w:cs="宋体"/>
          <w:szCs w:val="21"/>
        </w:rPr>
        <w:t>18.2同时出现两种以上不一致的，按照本条款规定的顺序修正。修正后的报价按照本章17.4.5的规定经供应商人确认后产生约束力，供应商不确认的，其响应无效。</w:t>
      </w:r>
    </w:p>
    <w:p w14:paraId="66282ED6">
      <w:pPr>
        <w:pStyle w:val="13"/>
        <w:spacing w:line="360" w:lineRule="auto"/>
        <w:rPr>
          <w:rFonts w:hAnsi="宋体" w:cs="宋体"/>
          <w:b/>
          <w:bCs/>
          <w:szCs w:val="21"/>
        </w:rPr>
      </w:pPr>
      <w:r>
        <w:rPr>
          <w:rFonts w:hint="eastAsia" w:hAnsi="宋体" w:cs="宋体"/>
          <w:b/>
          <w:bCs/>
          <w:szCs w:val="21"/>
        </w:rPr>
        <w:t>19.  拒绝接收</w:t>
      </w:r>
    </w:p>
    <w:p w14:paraId="39AA999F">
      <w:pPr>
        <w:pStyle w:val="13"/>
        <w:spacing w:line="360" w:lineRule="auto"/>
        <w:ind w:firstLine="420"/>
        <w:rPr>
          <w:rFonts w:hAnsi="宋体" w:cs="宋体"/>
          <w:szCs w:val="21"/>
        </w:rPr>
      </w:pPr>
      <w:r>
        <w:rPr>
          <w:rFonts w:hint="eastAsia" w:hAnsi="宋体" w:cs="宋体"/>
          <w:szCs w:val="21"/>
        </w:rPr>
        <w:t>19.1  磋商供应商未按本章第1.7项报名要求报名的。</w:t>
      </w:r>
    </w:p>
    <w:p w14:paraId="4E2D3030">
      <w:pPr>
        <w:pStyle w:val="13"/>
        <w:spacing w:line="360" w:lineRule="auto"/>
        <w:ind w:firstLine="420"/>
        <w:rPr>
          <w:rFonts w:hAnsi="宋体" w:cs="宋体"/>
          <w:szCs w:val="21"/>
        </w:rPr>
      </w:pPr>
      <w:r>
        <w:rPr>
          <w:rFonts w:hint="eastAsia" w:hAnsi="宋体" w:cs="宋体"/>
          <w:szCs w:val="21"/>
        </w:rPr>
        <w:t>19.2 磋商供应商未在本章第15.3项规定的时间之前将样品送达至本章第15.4项指定地点的，采购代理机构应当拒绝接收该磋商供应商的样品。</w:t>
      </w:r>
    </w:p>
    <w:p w14:paraId="78D33930">
      <w:pPr>
        <w:pStyle w:val="13"/>
        <w:spacing w:line="360" w:lineRule="auto"/>
        <w:rPr>
          <w:rFonts w:hAnsi="宋体" w:cs="宋体"/>
          <w:b/>
          <w:bCs/>
          <w:szCs w:val="21"/>
        </w:rPr>
      </w:pPr>
      <w:r>
        <w:rPr>
          <w:rFonts w:hint="eastAsia" w:hAnsi="宋体" w:cs="宋体"/>
          <w:b/>
          <w:bCs/>
          <w:szCs w:val="21"/>
        </w:rPr>
        <w:t>20.  无效响应</w:t>
      </w:r>
    </w:p>
    <w:p w14:paraId="375E85B4">
      <w:pPr>
        <w:pStyle w:val="13"/>
        <w:spacing w:line="360" w:lineRule="auto"/>
        <w:ind w:firstLine="420" w:firstLineChars="200"/>
        <w:rPr>
          <w:rFonts w:hAnsi="宋体" w:cs="宋体"/>
          <w:szCs w:val="21"/>
        </w:rPr>
      </w:pPr>
      <w:r>
        <w:rPr>
          <w:rFonts w:hint="eastAsia" w:hAnsi="宋体" w:cs="宋体"/>
          <w:szCs w:val="21"/>
          <w:shd w:val="clear" w:color="auto" w:fill="FFFFFF"/>
        </w:rPr>
        <w:t>★</w:t>
      </w:r>
      <w:r>
        <w:rPr>
          <w:rFonts w:hint="eastAsia" w:hAnsi="宋体" w:cs="宋体"/>
          <w:szCs w:val="21"/>
        </w:rPr>
        <w:t>20.1  属下列情形之一的，磋商供应商的响应文件无效：</w:t>
      </w:r>
    </w:p>
    <w:p w14:paraId="7BDDFD85">
      <w:pPr>
        <w:pStyle w:val="13"/>
        <w:spacing w:line="360" w:lineRule="auto"/>
        <w:ind w:firstLine="420" w:firstLineChars="200"/>
        <w:rPr>
          <w:rFonts w:hAnsi="宋体" w:cs="宋体"/>
          <w:szCs w:val="21"/>
        </w:rPr>
      </w:pPr>
      <w:r>
        <w:rPr>
          <w:rFonts w:hint="eastAsia" w:hAnsi="宋体" w:cs="宋体"/>
          <w:szCs w:val="21"/>
        </w:rPr>
        <w:t>（1）磋商供应商不具备本章第3项规定的磋商供应商资格要求的；</w:t>
      </w:r>
    </w:p>
    <w:p w14:paraId="3F2D07AA">
      <w:pPr>
        <w:pStyle w:val="13"/>
        <w:spacing w:line="360" w:lineRule="auto"/>
        <w:ind w:firstLine="420" w:firstLineChars="200"/>
        <w:rPr>
          <w:rFonts w:hAnsi="宋体" w:cs="宋体"/>
          <w:szCs w:val="21"/>
        </w:rPr>
      </w:pPr>
      <w:r>
        <w:rPr>
          <w:rFonts w:hint="eastAsia" w:hAnsi="宋体" w:cs="宋体"/>
          <w:szCs w:val="21"/>
        </w:rPr>
        <w:t xml:space="preserve">（2）响应文件未按本章第8.8项的规定标识或未按规定的正、副本数量提交的； </w:t>
      </w:r>
    </w:p>
    <w:p w14:paraId="72060A81">
      <w:pPr>
        <w:pStyle w:val="13"/>
        <w:spacing w:line="360" w:lineRule="auto"/>
        <w:ind w:firstLine="420" w:firstLineChars="200"/>
        <w:rPr>
          <w:rFonts w:hAnsi="宋体" w:cs="宋体"/>
          <w:szCs w:val="21"/>
        </w:rPr>
      </w:pPr>
      <w:r>
        <w:rPr>
          <w:rFonts w:hint="eastAsia" w:hAnsi="宋体" w:cs="宋体"/>
          <w:szCs w:val="21"/>
        </w:rPr>
        <w:t>（3）响应文件未按本章第10.1项的规定编写和提交的（包括缺少应提交的文件或格式不符合第四章“响应文件格式”的要求）；</w:t>
      </w:r>
    </w:p>
    <w:p w14:paraId="6C37DA02">
      <w:pPr>
        <w:pStyle w:val="13"/>
        <w:spacing w:line="360" w:lineRule="auto"/>
        <w:ind w:firstLine="420" w:firstLineChars="200"/>
        <w:rPr>
          <w:rFonts w:hAnsi="宋体" w:cs="宋体"/>
          <w:szCs w:val="21"/>
        </w:rPr>
      </w:pPr>
      <w:r>
        <w:rPr>
          <w:rFonts w:hint="eastAsia" w:hAnsi="宋体" w:cs="宋体"/>
          <w:szCs w:val="21"/>
        </w:rPr>
        <w:t>（4）响应文件不符合本章第10.2项规定的；</w:t>
      </w:r>
    </w:p>
    <w:p w14:paraId="0EECFD41">
      <w:pPr>
        <w:spacing w:line="360" w:lineRule="auto"/>
        <w:ind w:firstLine="420" w:firstLineChars="200"/>
        <w:rPr>
          <w:rFonts w:ascii="宋体" w:hAnsi="宋体" w:cs="宋体"/>
          <w:szCs w:val="21"/>
        </w:rPr>
      </w:pPr>
      <w:r>
        <w:rPr>
          <w:rFonts w:hint="eastAsia" w:ascii="宋体" w:hAnsi="宋体" w:cs="宋体"/>
          <w:szCs w:val="21"/>
        </w:rPr>
        <w:t>（5）响应报价不符合本章第11项规定的或最终报价超过采购预算的或最终报价超过最高限价的或磋商小组认定低于成本报价的；</w:t>
      </w:r>
    </w:p>
    <w:p w14:paraId="10043540">
      <w:pPr>
        <w:pStyle w:val="13"/>
        <w:spacing w:line="360" w:lineRule="auto"/>
        <w:ind w:firstLine="420" w:firstLineChars="200"/>
        <w:rPr>
          <w:rFonts w:hAnsi="宋体" w:cs="宋体"/>
          <w:szCs w:val="21"/>
        </w:rPr>
      </w:pPr>
      <w:r>
        <w:rPr>
          <w:rFonts w:hint="eastAsia" w:hAnsi="宋体" w:cs="宋体"/>
          <w:szCs w:val="21"/>
        </w:rPr>
        <w:t>（6）响应文件不符合本章第14.1项规定的；</w:t>
      </w:r>
    </w:p>
    <w:p w14:paraId="0C3A8B1A">
      <w:pPr>
        <w:pStyle w:val="13"/>
        <w:spacing w:line="360" w:lineRule="auto"/>
        <w:ind w:firstLine="420" w:firstLineChars="200"/>
        <w:rPr>
          <w:rFonts w:hAnsi="宋体" w:cs="宋体"/>
          <w:szCs w:val="21"/>
        </w:rPr>
      </w:pPr>
      <w:r>
        <w:rPr>
          <w:rFonts w:hint="eastAsia" w:hAnsi="宋体" w:cs="宋体"/>
          <w:szCs w:val="21"/>
        </w:rPr>
        <w:t>（7）磋商供应商出现本章第18.2项所述情形的；</w:t>
      </w:r>
    </w:p>
    <w:p w14:paraId="7D1FB26D">
      <w:pPr>
        <w:pStyle w:val="13"/>
        <w:spacing w:line="360" w:lineRule="auto"/>
        <w:ind w:firstLine="420" w:firstLineChars="200"/>
        <w:rPr>
          <w:rFonts w:hAnsi="宋体" w:cs="宋体"/>
          <w:szCs w:val="21"/>
        </w:rPr>
      </w:pPr>
      <w:r>
        <w:rPr>
          <w:rFonts w:hint="eastAsia" w:hAnsi="宋体" w:cs="宋体"/>
          <w:szCs w:val="21"/>
        </w:rPr>
        <w:t>（8）响应文件未对竞争性磋商文件提出的要求和条件作出实质性响应的；</w:t>
      </w:r>
    </w:p>
    <w:p w14:paraId="34E97105">
      <w:pPr>
        <w:pStyle w:val="13"/>
        <w:spacing w:line="360" w:lineRule="auto"/>
        <w:ind w:firstLine="420" w:firstLineChars="200"/>
        <w:rPr>
          <w:rFonts w:hAnsi="宋体" w:cs="宋体"/>
          <w:szCs w:val="21"/>
        </w:rPr>
      </w:pPr>
      <w:r>
        <w:rPr>
          <w:rFonts w:hint="eastAsia" w:hAnsi="宋体" w:cs="宋体"/>
          <w:szCs w:val="21"/>
        </w:rPr>
        <w:t>（9）磋商小组认为响应文件存在严重负偏离的；</w:t>
      </w:r>
    </w:p>
    <w:p w14:paraId="548BA734">
      <w:pPr>
        <w:pStyle w:val="13"/>
        <w:spacing w:line="360" w:lineRule="auto"/>
        <w:ind w:firstLine="420" w:firstLineChars="200"/>
        <w:rPr>
          <w:rFonts w:hAnsi="宋体" w:cs="宋体"/>
          <w:szCs w:val="21"/>
        </w:rPr>
      </w:pPr>
      <w:r>
        <w:rPr>
          <w:rFonts w:hint="eastAsia" w:hAnsi="宋体" w:cs="宋体"/>
          <w:szCs w:val="21"/>
        </w:rPr>
        <w:t>（10）响应文件附有采购需求以外的条件使磋商小组认为不能接受的；</w:t>
      </w:r>
    </w:p>
    <w:p w14:paraId="165AAE67">
      <w:pPr>
        <w:pStyle w:val="13"/>
        <w:spacing w:line="360" w:lineRule="auto"/>
        <w:ind w:firstLine="420" w:firstLineChars="200"/>
        <w:rPr>
          <w:rFonts w:hAnsi="宋体" w:cs="宋体"/>
          <w:szCs w:val="21"/>
        </w:rPr>
      </w:pPr>
      <w:r>
        <w:rPr>
          <w:rFonts w:hint="eastAsia" w:hAnsi="宋体" w:cs="宋体"/>
          <w:szCs w:val="21"/>
        </w:rPr>
        <w:t>（11）磋商供应商在响应过程中提供虚假材料的。</w:t>
      </w:r>
    </w:p>
    <w:p w14:paraId="5EE3DEA6">
      <w:pPr>
        <w:pStyle w:val="13"/>
        <w:spacing w:line="360" w:lineRule="auto"/>
        <w:rPr>
          <w:rFonts w:hAnsi="宋体" w:cs="宋体"/>
          <w:b/>
          <w:bCs/>
          <w:szCs w:val="21"/>
        </w:rPr>
      </w:pPr>
      <w:bookmarkStart w:id="88" w:name="_Toc213326421"/>
      <w:bookmarkStart w:id="89" w:name="_Toc495334415"/>
      <w:r>
        <w:rPr>
          <w:rFonts w:hint="eastAsia" w:hAnsi="宋体" w:cs="宋体"/>
          <w:b/>
          <w:bCs/>
          <w:szCs w:val="21"/>
        </w:rPr>
        <w:t>21.  废标</w:t>
      </w:r>
    </w:p>
    <w:p w14:paraId="18E0AA7F">
      <w:pPr>
        <w:pStyle w:val="13"/>
        <w:spacing w:line="360" w:lineRule="auto"/>
        <w:ind w:left="359" w:leftChars="171" w:firstLine="105" w:firstLineChars="50"/>
        <w:rPr>
          <w:rFonts w:hAnsi="宋体" w:cs="宋体"/>
          <w:szCs w:val="21"/>
        </w:rPr>
      </w:pPr>
      <w:r>
        <w:rPr>
          <w:rFonts w:hint="eastAsia" w:hAnsi="宋体" w:cs="宋体"/>
          <w:szCs w:val="21"/>
          <w:shd w:val="clear" w:color="auto" w:fill="FFFFFF"/>
        </w:rPr>
        <w:t>★</w:t>
      </w:r>
      <w:r>
        <w:rPr>
          <w:rFonts w:hint="eastAsia" w:hAnsi="宋体" w:cs="宋体"/>
          <w:szCs w:val="21"/>
        </w:rPr>
        <w:t>21.1  在采购过程中，出现下列情形之一的，予以废标：</w:t>
      </w:r>
    </w:p>
    <w:p w14:paraId="1BD1E1F6">
      <w:pPr>
        <w:pStyle w:val="13"/>
        <w:numPr>
          <w:ilvl w:val="0"/>
          <w:numId w:val="3"/>
        </w:numPr>
        <w:spacing w:line="360" w:lineRule="auto"/>
        <w:ind w:left="359" w:leftChars="171" w:firstLine="105" w:firstLineChars="50"/>
        <w:rPr>
          <w:rFonts w:hAnsi="宋体" w:cs="宋体"/>
          <w:szCs w:val="21"/>
        </w:rPr>
      </w:pPr>
      <w:r>
        <w:rPr>
          <w:rFonts w:hint="eastAsia" w:hAnsi="宋体" w:cs="宋体"/>
          <w:szCs w:val="21"/>
        </w:rPr>
        <w:t>除《政府采购竞争性磋商采购方式管理暂行办法》（财库[2014]214号）第二十一条第三款及《财政部关于政府采购竞争性磋商采购方式管理暂行办法有关问题的补充通知》（财库[2015]124号）规定的情形外，符合专业条件的供应商或者对招标文件作实质响应的供应商不足三家的；</w:t>
      </w:r>
    </w:p>
    <w:p w14:paraId="58DA1973">
      <w:pPr>
        <w:pStyle w:val="13"/>
        <w:numPr>
          <w:ilvl w:val="0"/>
          <w:numId w:val="3"/>
        </w:numPr>
        <w:spacing w:line="360" w:lineRule="auto"/>
        <w:ind w:left="359" w:leftChars="171" w:firstLine="105" w:firstLineChars="50"/>
        <w:rPr>
          <w:rFonts w:hAnsi="宋体" w:cs="宋体"/>
          <w:szCs w:val="21"/>
        </w:rPr>
      </w:pPr>
      <w:r>
        <w:rPr>
          <w:rFonts w:hint="eastAsia" w:hAnsi="宋体" w:cs="宋体"/>
          <w:szCs w:val="21"/>
        </w:rPr>
        <w:t>采用竞争性磋商采购方式的政府购买服务项目或政府和社会资本合作项目对竞争性磋商文件作实质响应的供应商不足2家的；</w:t>
      </w:r>
    </w:p>
    <w:p w14:paraId="5F14552A">
      <w:pPr>
        <w:pStyle w:val="13"/>
        <w:spacing w:line="360" w:lineRule="auto"/>
        <w:ind w:left="359" w:leftChars="171" w:firstLine="105" w:firstLineChars="50"/>
        <w:rPr>
          <w:rFonts w:hAnsi="宋体" w:cs="宋体"/>
          <w:szCs w:val="21"/>
        </w:rPr>
      </w:pPr>
      <w:r>
        <w:rPr>
          <w:rFonts w:hint="eastAsia" w:hAnsi="宋体" w:cs="宋体"/>
          <w:szCs w:val="21"/>
        </w:rPr>
        <w:t>（3）采用竞争性磋商采购方式的市场竞争不充分的科研项目或需要扶持科技成果转化项目对竞争性磋商文件作实质响应的供应商不足3家的；</w:t>
      </w:r>
    </w:p>
    <w:p w14:paraId="6DB4C7F2">
      <w:pPr>
        <w:pStyle w:val="13"/>
        <w:spacing w:line="360" w:lineRule="auto"/>
        <w:ind w:left="359" w:leftChars="171" w:firstLine="105" w:firstLineChars="50"/>
        <w:rPr>
          <w:rFonts w:hAnsi="宋体" w:cs="宋体"/>
          <w:szCs w:val="21"/>
        </w:rPr>
      </w:pPr>
      <w:r>
        <w:rPr>
          <w:rFonts w:hint="eastAsia" w:hAnsi="宋体" w:cs="宋体"/>
          <w:szCs w:val="21"/>
        </w:rPr>
        <w:t>（4）出现影响采购公正的违法、违规行为的；</w:t>
      </w:r>
    </w:p>
    <w:p w14:paraId="0D1B1237">
      <w:pPr>
        <w:pStyle w:val="13"/>
        <w:spacing w:line="360" w:lineRule="auto"/>
        <w:ind w:left="359" w:leftChars="171" w:firstLine="105" w:firstLineChars="50"/>
        <w:rPr>
          <w:rFonts w:hAnsi="宋体" w:cs="宋体"/>
          <w:szCs w:val="21"/>
        </w:rPr>
      </w:pPr>
      <w:r>
        <w:rPr>
          <w:rFonts w:hint="eastAsia" w:hAnsi="宋体" w:cs="宋体"/>
          <w:szCs w:val="21"/>
        </w:rPr>
        <w:t>（5）磋商供应商的报价均超过了采购预算，采购单位不能支付的；</w:t>
      </w:r>
    </w:p>
    <w:p w14:paraId="65894D77">
      <w:pPr>
        <w:pStyle w:val="13"/>
        <w:spacing w:line="360" w:lineRule="auto"/>
        <w:ind w:left="359" w:leftChars="171" w:firstLine="105" w:firstLineChars="50"/>
        <w:rPr>
          <w:rFonts w:hAnsi="宋体" w:cs="宋体"/>
          <w:szCs w:val="21"/>
        </w:rPr>
      </w:pPr>
      <w:r>
        <w:rPr>
          <w:rFonts w:hint="eastAsia" w:hAnsi="宋体" w:cs="宋体"/>
          <w:szCs w:val="21"/>
        </w:rPr>
        <w:t>（6）因重大变故，采购任务取消的。</w:t>
      </w:r>
    </w:p>
    <w:p w14:paraId="61D231F0">
      <w:pPr>
        <w:pStyle w:val="13"/>
        <w:spacing w:line="360" w:lineRule="auto"/>
        <w:ind w:firstLine="417" w:firstLineChars="199"/>
        <w:rPr>
          <w:rFonts w:hAnsi="宋体" w:cs="宋体"/>
          <w:szCs w:val="21"/>
        </w:rPr>
      </w:pPr>
      <w:r>
        <w:rPr>
          <w:rFonts w:hint="eastAsia" w:hAnsi="宋体" w:cs="宋体"/>
          <w:szCs w:val="21"/>
        </w:rPr>
        <w:t>21.2  废标后，采购代理机构将在本章第2项规定的采购信息发布媒体上公告废标理由，不再另行通知。</w:t>
      </w:r>
    </w:p>
    <w:p w14:paraId="5AE1D4C9">
      <w:pPr>
        <w:pStyle w:val="26"/>
        <w:spacing w:line="360" w:lineRule="auto"/>
        <w:jc w:val="left"/>
        <w:outlineLvl w:val="1"/>
        <w:rPr>
          <w:rFonts w:hint="eastAsia" w:ascii="宋体" w:hAnsi="宋体" w:cs="宋体"/>
          <w:sz w:val="21"/>
          <w:szCs w:val="21"/>
        </w:rPr>
      </w:pPr>
      <w:bookmarkStart w:id="90" w:name="_Toc10393"/>
      <w:bookmarkStart w:id="91" w:name="_Toc9075"/>
      <w:bookmarkStart w:id="92" w:name="_Toc25763"/>
      <w:bookmarkStart w:id="93" w:name="_Toc1443"/>
      <w:r>
        <w:rPr>
          <w:rFonts w:hint="eastAsia" w:ascii="宋体" w:hAnsi="宋体" w:cs="宋体"/>
          <w:sz w:val="21"/>
          <w:szCs w:val="21"/>
          <w:lang w:val="en-US" w:eastAsia="zh-CN"/>
        </w:rPr>
        <w:t>22.</w:t>
      </w:r>
      <w:r>
        <w:rPr>
          <w:rFonts w:hint="eastAsia" w:ascii="宋体" w:hAnsi="宋体" w:cs="宋体"/>
          <w:sz w:val="21"/>
          <w:szCs w:val="21"/>
        </w:rPr>
        <w:t>采购终止</w:t>
      </w:r>
    </w:p>
    <w:p w14:paraId="2DEB70AC">
      <w:pPr>
        <w:pStyle w:val="26"/>
        <w:spacing w:line="360" w:lineRule="auto"/>
        <w:jc w:val="left"/>
        <w:outlineLvl w:val="1"/>
        <w:rPr>
          <w:rFonts w:hint="eastAsia" w:ascii="宋体" w:hAnsi="宋体" w:cs="宋体"/>
          <w:b w:val="0"/>
          <w:bCs w:val="0"/>
          <w:sz w:val="21"/>
          <w:szCs w:val="21"/>
        </w:rPr>
      </w:pPr>
      <w:r>
        <w:rPr>
          <w:rFonts w:hint="eastAsia" w:ascii="宋体" w:hAnsi="宋体" w:cs="宋体"/>
          <w:b w:val="0"/>
          <w:bCs w:val="0"/>
          <w:sz w:val="21"/>
          <w:szCs w:val="21"/>
        </w:rPr>
        <w:t>出现下列情形之一的，采购人或者采购代理机构应当终止竞争性磋商采购活动，发布项目终止公告并说明原因，重新开展采购活动：</w:t>
      </w:r>
    </w:p>
    <w:p w14:paraId="277C6E41">
      <w:pPr>
        <w:pStyle w:val="13"/>
        <w:spacing w:line="360" w:lineRule="auto"/>
        <w:ind w:firstLine="360"/>
        <w:rPr>
          <w:rFonts w:hint="eastAsia" w:ascii="宋体" w:hAnsi="宋体" w:eastAsia="宋体" w:cs="宋体"/>
          <w:szCs w:val="21"/>
        </w:rPr>
      </w:pPr>
      <w:r>
        <w:rPr>
          <w:rFonts w:hint="eastAsia" w:ascii="宋体" w:hAnsi="宋体" w:eastAsia="宋体" w:cs="宋体"/>
          <w:szCs w:val="21"/>
        </w:rPr>
        <w:t>（一）因情况变化，不再符合规定的竞争性磋商采购方式适用情形的；</w:t>
      </w:r>
    </w:p>
    <w:p w14:paraId="414EFB30">
      <w:pPr>
        <w:pStyle w:val="13"/>
        <w:spacing w:line="360" w:lineRule="auto"/>
        <w:ind w:firstLine="360"/>
        <w:rPr>
          <w:rFonts w:hint="eastAsia" w:ascii="宋体" w:hAnsi="宋体" w:eastAsia="宋体" w:cs="宋体"/>
          <w:szCs w:val="21"/>
        </w:rPr>
      </w:pPr>
      <w:r>
        <w:rPr>
          <w:rFonts w:hint="eastAsia" w:ascii="宋体" w:hAnsi="宋体" w:eastAsia="宋体" w:cs="宋体"/>
          <w:szCs w:val="21"/>
        </w:rPr>
        <w:t>（二）出现影响采购公正的违法、违规行为的；</w:t>
      </w:r>
    </w:p>
    <w:p w14:paraId="170ADC09">
      <w:pPr>
        <w:pStyle w:val="13"/>
        <w:spacing w:line="360" w:lineRule="auto"/>
        <w:ind w:firstLine="360"/>
        <w:rPr>
          <w:rFonts w:hint="eastAsia" w:ascii="宋体" w:hAnsi="宋体" w:eastAsia="宋体" w:cs="宋体"/>
          <w:szCs w:val="21"/>
        </w:rPr>
      </w:pPr>
      <w:r>
        <w:rPr>
          <w:rFonts w:hint="eastAsia" w:ascii="宋体" w:hAnsi="宋体" w:eastAsia="宋体" w:cs="宋体"/>
          <w:szCs w:val="21"/>
        </w:rPr>
        <w:t>（三）在采购过程中符合要求的供应商或者报价未超过采购预算的供应商不足3家的，但《政府采购竞争性磋商采购方式管理暂行办法》第二十一条第三款规定的情形除外。</w:t>
      </w:r>
    </w:p>
    <w:p w14:paraId="60B3BACB">
      <w:pPr>
        <w:pStyle w:val="26"/>
        <w:spacing w:line="360" w:lineRule="auto"/>
        <w:jc w:val="left"/>
        <w:outlineLvl w:val="1"/>
        <w:rPr>
          <w:rFonts w:hint="default" w:ascii="宋体" w:hAnsi="宋体" w:eastAsia="宋体" w:cs="宋体"/>
          <w:sz w:val="21"/>
          <w:szCs w:val="21"/>
          <w:lang w:val="en-US" w:eastAsia="zh-CN"/>
        </w:rPr>
      </w:pPr>
    </w:p>
    <w:p w14:paraId="5D6A3B58">
      <w:pPr>
        <w:pStyle w:val="26"/>
        <w:spacing w:line="360" w:lineRule="auto"/>
        <w:outlineLvl w:val="1"/>
        <w:rPr>
          <w:rFonts w:ascii="宋体" w:hAnsi="宋体" w:cs="宋体"/>
          <w:sz w:val="21"/>
          <w:szCs w:val="21"/>
        </w:rPr>
      </w:pPr>
      <w:r>
        <w:rPr>
          <w:rFonts w:hint="eastAsia" w:ascii="宋体" w:hAnsi="宋体" w:cs="宋体"/>
          <w:sz w:val="21"/>
          <w:szCs w:val="21"/>
        </w:rPr>
        <w:t>六    合同授予</w:t>
      </w:r>
      <w:bookmarkEnd w:id="88"/>
      <w:bookmarkEnd w:id="89"/>
      <w:bookmarkEnd w:id="90"/>
      <w:bookmarkEnd w:id="91"/>
      <w:bookmarkEnd w:id="92"/>
      <w:bookmarkEnd w:id="93"/>
    </w:p>
    <w:p w14:paraId="7EF81C55">
      <w:pPr>
        <w:pStyle w:val="13"/>
        <w:spacing w:line="360" w:lineRule="auto"/>
        <w:rPr>
          <w:rFonts w:hAnsi="宋体" w:cs="宋体"/>
          <w:b/>
          <w:szCs w:val="21"/>
        </w:rPr>
      </w:pPr>
    </w:p>
    <w:p w14:paraId="2AF489A8">
      <w:pPr>
        <w:pStyle w:val="13"/>
        <w:spacing w:line="360" w:lineRule="auto"/>
        <w:rPr>
          <w:rFonts w:hAnsi="宋体" w:cs="宋体"/>
          <w:bCs/>
          <w:szCs w:val="21"/>
        </w:rPr>
      </w:pPr>
      <w:r>
        <w:rPr>
          <w:rFonts w:hint="eastAsia" w:hAnsi="宋体" w:cs="宋体"/>
          <w:bCs/>
          <w:szCs w:val="21"/>
        </w:rPr>
        <w:t>22.  成交供应商的确定</w:t>
      </w:r>
    </w:p>
    <w:p w14:paraId="18ACA71A">
      <w:pPr>
        <w:spacing w:line="360" w:lineRule="auto"/>
        <w:ind w:firstLine="420" w:firstLineChars="200"/>
        <w:rPr>
          <w:rFonts w:ascii="宋体" w:hAnsi="宋体" w:cs="宋体"/>
          <w:szCs w:val="21"/>
        </w:rPr>
      </w:pPr>
      <w:r>
        <w:rPr>
          <w:rFonts w:hint="eastAsia" w:ascii="宋体" w:hAnsi="宋体" w:cs="宋体"/>
          <w:szCs w:val="21"/>
        </w:rPr>
        <w:t>磋商小组按第</w:t>
      </w:r>
      <w:r>
        <w:rPr>
          <w:rFonts w:hint="eastAsia" w:ascii="宋体" w:hAnsi="宋体" w:cs="宋体"/>
          <w:szCs w:val="21"/>
          <w:lang w:eastAsia="zh-CN"/>
        </w:rPr>
        <w:t>六</w:t>
      </w:r>
      <w:r>
        <w:rPr>
          <w:rFonts w:hint="eastAsia" w:ascii="宋体" w:hAnsi="宋体" w:cs="宋体"/>
          <w:szCs w:val="21"/>
        </w:rPr>
        <w:t>章“评审方法”的规定排列成交候选供应商顺序，并依照次序确定成交方。</w:t>
      </w:r>
    </w:p>
    <w:p w14:paraId="3E31E5C0">
      <w:pPr>
        <w:pStyle w:val="13"/>
        <w:spacing w:line="360" w:lineRule="auto"/>
        <w:rPr>
          <w:rFonts w:hAnsi="宋体" w:cs="宋体"/>
          <w:bCs/>
          <w:szCs w:val="21"/>
        </w:rPr>
      </w:pPr>
      <w:r>
        <w:rPr>
          <w:rFonts w:hint="eastAsia" w:hAnsi="宋体" w:cs="宋体"/>
          <w:bCs/>
          <w:szCs w:val="21"/>
        </w:rPr>
        <w:t>23.  成交公告及成交通知书</w:t>
      </w:r>
    </w:p>
    <w:p w14:paraId="564BFBE1">
      <w:pPr>
        <w:pStyle w:val="13"/>
        <w:spacing w:line="360" w:lineRule="auto"/>
        <w:ind w:firstLine="360"/>
        <w:rPr>
          <w:rFonts w:hAnsi="宋体" w:cs="宋体"/>
          <w:szCs w:val="21"/>
        </w:rPr>
      </w:pPr>
      <w:r>
        <w:rPr>
          <w:rFonts w:hint="eastAsia" w:hAnsi="宋体" w:cs="宋体"/>
          <w:szCs w:val="21"/>
        </w:rPr>
        <w:t>23.1采购代理机构应当自成交人确认之日起2个工作日内，在本章第2.1项规定的采购信息发布媒体上公示成交结果，成交公告期限为1个工作日，在公告成交结果的同时，采购代理机构应当向成交人发出成交通知书。</w:t>
      </w:r>
    </w:p>
    <w:p w14:paraId="5A642A29">
      <w:pPr>
        <w:pStyle w:val="13"/>
        <w:spacing w:line="360" w:lineRule="auto"/>
        <w:ind w:firstLine="420" w:firstLineChars="200"/>
        <w:rPr>
          <w:rFonts w:hAnsi="宋体" w:cs="宋体"/>
          <w:szCs w:val="21"/>
        </w:rPr>
      </w:pPr>
      <w:r>
        <w:rPr>
          <w:rFonts w:hint="eastAsia" w:hAnsi="宋体" w:cs="宋体"/>
          <w:szCs w:val="21"/>
        </w:rPr>
        <w:t>23.2  成交通知书对采购人和成交供应商具有同等法律效力。成交通知书发出后，采购人改变成交结果，或者成交供应商放弃成交，应当承担相应的法律责任。</w:t>
      </w:r>
    </w:p>
    <w:p w14:paraId="2DDB3FE4">
      <w:pPr>
        <w:pStyle w:val="13"/>
        <w:spacing w:line="360" w:lineRule="auto"/>
        <w:rPr>
          <w:rFonts w:hAnsi="宋体" w:cs="宋体"/>
          <w:bCs/>
          <w:szCs w:val="21"/>
        </w:rPr>
      </w:pPr>
      <w:r>
        <w:rPr>
          <w:rFonts w:hint="eastAsia" w:hAnsi="宋体" w:cs="宋体"/>
          <w:bCs/>
          <w:szCs w:val="21"/>
        </w:rPr>
        <w:t>24.  响应文件及样品的退回</w:t>
      </w:r>
    </w:p>
    <w:p w14:paraId="30D04D26">
      <w:pPr>
        <w:pStyle w:val="13"/>
        <w:spacing w:line="360" w:lineRule="auto"/>
        <w:ind w:firstLine="420" w:firstLineChars="200"/>
        <w:rPr>
          <w:rFonts w:hAnsi="宋体" w:cs="宋体"/>
          <w:szCs w:val="21"/>
        </w:rPr>
      </w:pPr>
      <w:r>
        <w:rPr>
          <w:rFonts w:hint="eastAsia" w:hAnsi="宋体" w:cs="宋体"/>
          <w:szCs w:val="21"/>
        </w:rPr>
        <w:t>24.1  采购人及采购代理机构无义务向未成交供应商退回响应文件。</w:t>
      </w:r>
    </w:p>
    <w:p w14:paraId="75709DDB">
      <w:pPr>
        <w:pStyle w:val="13"/>
        <w:spacing w:line="360" w:lineRule="auto"/>
        <w:ind w:firstLine="420" w:firstLineChars="200"/>
        <w:rPr>
          <w:rFonts w:hAnsi="宋体" w:cs="宋体"/>
          <w:szCs w:val="21"/>
        </w:rPr>
      </w:pPr>
      <w:r>
        <w:rPr>
          <w:rFonts w:hint="eastAsia" w:hAnsi="宋体" w:cs="宋体"/>
          <w:szCs w:val="21"/>
        </w:rPr>
        <w:t>24.2  成交供应商的样品由采购人保管，作为验收的依据，验收后由采购人退回。未成交供应商的样品由供应商在成交结果公布后2个工作日内领回，否则按无主物品处理。</w:t>
      </w:r>
    </w:p>
    <w:p w14:paraId="0F47C2A4">
      <w:pPr>
        <w:pStyle w:val="13"/>
        <w:spacing w:line="360" w:lineRule="auto"/>
        <w:rPr>
          <w:rFonts w:hAnsi="宋体" w:cs="宋体"/>
          <w:bCs/>
          <w:szCs w:val="21"/>
        </w:rPr>
      </w:pPr>
      <w:r>
        <w:rPr>
          <w:rFonts w:hint="eastAsia" w:hAnsi="宋体" w:cs="宋体"/>
          <w:bCs/>
          <w:szCs w:val="21"/>
        </w:rPr>
        <w:t>25.   签订合同</w:t>
      </w:r>
    </w:p>
    <w:p w14:paraId="0EEF45C7">
      <w:pPr>
        <w:pStyle w:val="13"/>
        <w:spacing w:line="360" w:lineRule="auto"/>
        <w:ind w:firstLine="420" w:firstLineChars="200"/>
        <w:rPr>
          <w:rFonts w:hAnsi="宋体" w:cs="宋体"/>
          <w:szCs w:val="21"/>
        </w:rPr>
      </w:pPr>
      <w:r>
        <w:rPr>
          <w:rFonts w:hint="eastAsia" w:hAnsi="宋体" w:cs="宋体"/>
          <w:szCs w:val="21"/>
        </w:rPr>
        <w:t>25.1  采购人和成交供应商应当在第三章 “服务需求一览表”中商务条款要求载明的合同签订期内，根据竞争性磋商文件、成交供应商的响应文件及有关澄清承诺书的要求按第五章“合同条款及格式”订立书面合同。联合体响应的，联合体各方应当共同与采购人签订采购合同，就采购合同约定的事项对采购人承担连带责任。</w:t>
      </w:r>
    </w:p>
    <w:p w14:paraId="2175A809">
      <w:pPr>
        <w:pStyle w:val="13"/>
        <w:spacing w:line="360" w:lineRule="auto"/>
        <w:ind w:firstLine="420" w:firstLineChars="200"/>
        <w:rPr>
          <w:rFonts w:hAnsi="宋体" w:cs="宋体"/>
          <w:szCs w:val="21"/>
        </w:rPr>
      </w:pPr>
      <w:r>
        <w:rPr>
          <w:rFonts w:hint="eastAsia" w:hAnsi="宋体" w:cs="宋体"/>
          <w:szCs w:val="21"/>
        </w:rPr>
        <w:t>25.2成交供应商拒绝与采购人签订合同的，采购人可以按照评审报告推荐的成交候选人名单排序，确定下一候选人为成交供应商，也可以重新开展采购活动。</w:t>
      </w:r>
    </w:p>
    <w:p w14:paraId="319321C4">
      <w:pPr>
        <w:pStyle w:val="13"/>
        <w:spacing w:line="360" w:lineRule="auto"/>
        <w:ind w:firstLine="420" w:firstLineChars="200"/>
        <w:rPr>
          <w:rFonts w:hAnsi="宋体" w:cs="宋体"/>
          <w:szCs w:val="21"/>
        </w:rPr>
      </w:pPr>
      <w:r>
        <w:rPr>
          <w:rFonts w:hint="eastAsia" w:hAnsi="宋体" w:cs="宋体"/>
          <w:szCs w:val="21"/>
        </w:rPr>
        <w:t>25.3  成交供应商因不可抗力或者自身原因不能履行采购合同的，采购人可以与排位在成交供应商之后第一位的成交候选供应商签订采购合同，以此类推。</w:t>
      </w:r>
    </w:p>
    <w:p w14:paraId="10C0EBF8">
      <w:pPr>
        <w:pStyle w:val="13"/>
        <w:spacing w:line="360" w:lineRule="auto"/>
        <w:rPr>
          <w:rFonts w:hAnsi="宋体" w:cs="宋体"/>
          <w:bCs/>
          <w:szCs w:val="21"/>
        </w:rPr>
      </w:pPr>
      <w:r>
        <w:rPr>
          <w:rFonts w:hint="eastAsia" w:hAnsi="宋体" w:cs="宋体"/>
          <w:bCs/>
          <w:szCs w:val="21"/>
        </w:rPr>
        <w:t>26. 履约保证金及质量保证金</w:t>
      </w:r>
    </w:p>
    <w:p w14:paraId="69CD8A5E">
      <w:pPr>
        <w:pStyle w:val="13"/>
        <w:spacing w:line="360" w:lineRule="auto"/>
        <w:ind w:firstLine="420" w:firstLineChars="200"/>
        <w:rPr>
          <w:rFonts w:hAnsi="宋体" w:cs="宋体"/>
          <w:szCs w:val="21"/>
        </w:rPr>
      </w:pPr>
      <w:bookmarkStart w:id="94" w:name="_Toc213326422"/>
      <w:bookmarkStart w:id="95" w:name="_Toc495334416"/>
      <w:r>
        <w:rPr>
          <w:rFonts w:hint="eastAsia" w:hAnsi="宋体" w:cs="宋体"/>
          <w:szCs w:val="21"/>
          <w:lang w:eastAsia="zh-CN"/>
        </w:rPr>
        <w:t>无</w:t>
      </w:r>
      <w:r>
        <w:rPr>
          <w:rFonts w:hint="eastAsia" w:hAnsi="宋体" w:cs="宋体"/>
          <w:szCs w:val="21"/>
        </w:rPr>
        <w:t>。</w:t>
      </w:r>
    </w:p>
    <w:p w14:paraId="17214B29">
      <w:pPr>
        <w:pStyle w:val="26"/>
        <w:spacing w:line="360" w:lineRule="auto"/>
        <w:outlineLvl w:val="1"/>
        <w:rPr>
          <w:rFonts w:ascii="宋体" w:hAnsi="宋体" w:cs="宋体"/>
          <w:sz w:val="21"/>
          <w:szCs w:val="21"/>
        </w:rPr>
      </w:pPr>
      <w:bookmarkStart w:id="96" w:name="_Toc2777"/>
      <w:bookmarkStart w:id="97" w:name="_Toc3256"/>
      <w:bookmarkStart w:id="98" w:name="_Toc11602"/>
      <w:bookmarkStart w:id="99" w:name="_Toc22996"/>
      <w:r>
        <w:rPr>
          <w:rFonts w:hint="eastAsia" w:ascii="宋体" w:hAnsi="宋体" w:cs="宋体"/>
          <w:sz w:val="21"/>
          <w:szCs w:val="21"/>
        </w:rPr>
        <w:t>七    其他事项</w:t>
      </w:r>
      <w:bookmarkEnd w:id="94"/>
      <w:bookmarkEnd w:id="95"/>
      <w:bookmarkEnd w:id="96"/>
      <w:bookmarkEnd w:id="97"/>
      <w:bookmarkEnd w:id="98"/>
      <w:bookmarkEnd w:id="99"/>
    </w:p>
    <w:p w14:paraId="347D3E15">
      <w:pPr>
        <w:pStyle w:val="13"/>
        <w:spacing w:line="360" w:lineRule="auto"/>
        <w:rPr>
          <w:rFonts w:hAnsi="宋体" w:cs="宋体"/>
          <w:bCs/>
          <w:szCs w:val="21"/>
        </w:rPr>
      </w:pPr>
      <w:r>
        <w:rPr>
          <w:rFonts w:hint="eastAsia" w:hAnsi="宋体" w:cs="宋体"/>
          <w:bCs/>
          <w:szCs w:val="21"/>
        </w:rPr>
        <w:t>27.  解释权</w:t>
      </w:r>
    </w:p>
    <w:p w14:paraId="40140DE1">
      <w:pPr>
        <w:pStyle w:val="13"/>
        <w:spacing w:line="360" w:lineRule="auto"/>
        <w:ind w:firstLine="420" w:firstLineChars="200"/>
        <w:jc w:val="left"/>
        <w:rPr>
          <w:rFonts w:hAnsi="宋体" w:cs="宋体"/>
          <w:szCs w:val="21"/>
        </w:rPr>
      </w:pPr>
      <w:r>
        <w:rPr>
          <w:rFonts w:hint="eastAsia" w:hAnsi="宋体" w:cs="宋体"/>
          <w:szCs w:val="21"/>
        </w:rPr>
        <w:t>27.1  本竞争性磋商采购文件根据《中华人民共和国政府采购法》、《中华人民共和国政府采购法实施条例》、《政府采购竞争性磋商采购方式管理暂行办法》（财库〔2014〕214号）及相关法律法规编制，解释权属采购代理机构。</w:t>
      </w:r>
    </w:p>
    <w:p w14:paraId="1B1ED75B">
      <w:pPr>
        <w:pStyle w:val="13"/>
        <w:spacing w:line="360" w:lineRule="auto"/>
        <w:rPr>
          <w:rFonts w:hAnsi="宋体" w:cs="宋体"/>
          <w:bCs/>
          <w:szCs w:val="21"/>
        </w:rPr>
      </w:pPr>
      <w:r>
        <w:rPr>
          <w:rFonts w:hint="eastAsia" w:hAnsi="宋体" w:cs="宋体"/>
          <w:bCs/>
          <w:szCs w:val="21"/>
        </w:rPr>
        <w:t>28.  其他</w:t>
      </w:r>
    </w:p>
    <w:p w14:paraId="7D74ECB1">
      <w:pPr>
        <w:pStyle w:val="13"/>
        <w:spacing w:line="360" w:lineRule="auto"/>
        <w:ind w:firstLine="525" w:firstLineChars="250"/>
        <w:jc w:val="left"/>
        <w:rPr>
          <w:rFonts w:hAnsi="宋体" w:cs="宋体"/>
          <w:szCs w:val="21"/>
        </w:rPr>
      </w:pPr>
      <w:r>
        <w:rPr>
          <w:rFonts w:hint="eastAsia" w:hAnsi="宋体" w:cs="宋体"/>
          <w:szCs w:val="21"/>
        </w:rPr>
        <w:t>只要磋商供应商参与响应并递交响应文件即视为已经理解并毫无保留地同意了本竞争性磋商文件的所有条文。</w:t>
      </w:r>
    </w:p>
    <w:p w14:paraId="227EFB3D">
      <w:pPr>
        <w:pStyle w:val="13"/>
        <w:spacing w:line="360" w:lineRule="auto"/>
        <w:rPr>
          <w:rFonts w:hAnsi="宋体" w:cs="宋体"/>
          <w:bCs/>
          <w:szCs w:val="21"/>
        </w:rPr>
      </w:pPr>
      <w:r>
        <w:rPr>
          <w:rFonts w:hint="eastAsia" w:hAnsi="宋体" w:cs="宋体"/>
          <w:bCs/>
          <w:szCs w:val="21"/>
        </w:rPr>
        <w:t>29.   响应文件的退回</w:t>
      </w:r>
    </w:p>
    <w:p w14:paraId="45D65634">
      <w:pPr>
        <w:pStyle w:val="13"/>
        <w:spacing w:line="360" w:lineRule="auto"/>
        <w:ind w:firstLine="420" w:firstLineChars="200"/>
        <w:jc w:val="left"/>
        <w:rPr>
          <w:rFonts w:hAnsi="宋体" w:cs="宋体"/>
          <w:szCs w:val="21"/>
        </w:rPr>
      </w:pPr>
      <w:r>
        <w:rPr>
          <w:rFonts w:hint="eastAsia" w:hAnsi="宋体" w:cs="宋体"/>
          <w:szCs w:val="21"/>
        </w:rPr>
        <w:t xml:space="preserve">  所有响应文件均不予退回。</w:t>
      </w:r>
    </w:p>
    <w:p w14:paraId="2CD272F9">
      <w:pPr>
        <w:pStyle w:val="13"/>
        <w:spacing w:line="360" w:lineRule="auto"/>
        <w:jc w:val="left"/>
        <w:rPr>
          <w:rFonts w:hAnsi="宋体" w:cs="宋体"/>
          <w:szCs w:val="21"/>
        </w:rPr>
      </w:pPr>
      <w:r>
        <w:rPr>
          <w:rFonts w:hint="eastAsia" w:hAnsi="宋体" w:cs="宋体"/>
          <w:szCs w:val="21"/>
        </w:rPr>
        <w:t>30.  需要补充的其他内容</w:t>
      </w:r>
    </w:p>
    <w:p w14:paraId="5E416587">
      <w:pPr>
        <w:pStyle w:val="13"/>
        <w:spacing w:line="360" w:lineRule="auto"/>
        <w:ind w:firstLine="525" w:firstLineChars="250"/>
        <w:jc w:val="left"/>
        <w:rPr>
          <w:rFonts w:hAnsi="宋体" w:cs="宋体"/>
          <w:szCs w:val="21"/>
        </w:rPr>
      </w:pPr>
      <w:r>
        <w:rPr>
          <w:rFonts w:hint="eastAsia" w:hAnsi="宋体" w:cs="宋体"/>
          <w:szCs w:val="21"/>
        </w:rPr>
        <w:t>需要补充的其他内容：见磋商供应商须知前附表。</w:t>
      </w:r>
    </w:p>
    <w:p w14:paraId="1450FDD6">
      <w:pPr>
        <w:rPr>
          <w:rFonts w:ascii="宋体" w:hAnsi="宋体" w:cs="宋体"/>
          <w:sz w:val="32"/>
          <w:szCs w:val="32"/>
        </w:rPr>
      </w:pPr>
      <w:r>
        <w:rPr>
          <w:rFonts w:hint="eastAsia" w:ascii="宋体" w:hAnsi="宋体" w:cs="宋体"/>
          <w:sz w:val="32"/>
          <w:szCs w:val="32"/>
        </w:rPr>
        <w:br w:type="page"/>
      </w:r>
    </w:p>
    <w:p w14:paraId="13D6A96F">
      <w:pPr>
        <w:pStyle w:val="26"/>
        <w:snapToGrid w:val="0"/>
        <w:spacing w:before="0" w:after="0" w:line="360" w:lineRule="auto"/>
        <w:rPr>
          <w:rFonts w:ascii="宋体" w:hAnsi="宋体" w:cs="宋体"/>
          <w:b/>
          <w:sz w:val="24"/>
        </w:rPr>
      </w:pPr>
      <w:bookmarkStart w:id="100" w:name="_Toc27800"/>
      <w:bookmarkStart w:id="101" w:name="_Toc14478"/>
      <w:r>
        <w:rPr>
          <w:rFonts w:hint="eastAsia" w:ascii="宋体" w:hAnsi="宋体" w:cs="宋体"/>
        </w:rPr>
        <w:t>第三章   服务需求一览表</w:t>
      </w:r>
      <w:bookmarkEnd w:id="53"/>
      <w:bookmarkEnd w:id="54"/>
      <w:bookmarkEnd w:id="100"/>
      <w:bookmarkEnd w:id="101"/>
    </w:p>
    <w:p w14:paraId="68EB60D8">
      <w:pPr>
        <w:spacing w:line="360" w:lineRule="auto"/>
        <w:rPr>
          <w:rFonts w:ascii="宋体" w:hAnsi="宋体" w:cs="宋体"/>
          <w:b/>
          <w:sz w:val="24"/>
        </w:rPr>
      </w:pPr>
      <w:r>
        <w:rPr>
          <w:rFonts w:hint="eastAsia" w:ascii="宋体" w:hAnsi="宋体" w:cs="宋体"/>
          <w:b/>
          <w:sz w:val="24"/>
        </w:rPr>
        <w:t>说明：</w:t>
      </w:r>
    </w:p>
    <w:p w14:paraId="5C3B1F18">
      <w:pPr>
        <w:adjustRightInd w:val="0"/>
        <w:spacing w:line="420" w:lineRule="exact"/>
        <w:ind w:left="6" w:firstLine="431"/>
        <w:rPr>
          <w:rFonts w:ascii="宋体" w:hAnsi="宋体"/>
          <w:bCs/>
          <w:color w:val="auto"/>
          <w:szCs w:val="21"/>
          <w:highlight w:val="none"/>
        </w:rPr>
      </w:pPr>
      <w:r>
        <w:rPr>
          <w:rFonts w:hint="eastAsia" w:ascii="宋体" w:hAnsi="宋体"/>
          <w:bCs/>
          <w:color w:val="auto"/>
          <w:szCs w:val="21"/>
          <w:highlight w:val="none"/>
        </w:rPr>
        <w:t>1、本服务需求一览表中标注★号的部分为实质性要求和条件。</w:t>
      </w:r>
    </w:p>
    <w:p w14:paraId="7239D156">
      <w:pPr>
        <w:adjustRightInd w:val="0"/>
        <w:spacing w:line="420" w:lineRule="exact"/>
        <w:ind w:left="6" w:firstLine="431"/>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2、本服务需求一览表中内容如与第</w:t>
      </w:r>
      <w:r>
        <w:rPr>
          <w:rFonts w:hint="eastAsia" w:ascii="宋体" w:hAnsi="宋体" w:cs="Times New Roman"/>
          <w:bCs/>
          <w:color w:val="auto"/>
          <w:szCs w:val="21"/>
          <w:highlight w:val="none"/>
          <w:lang w:eastAsia="zh-CN"/>
        </w:rPr>
        <w:t>五</w:t>
      </w:r>
      <w:r>
        <w:rPr>
          <w:rFonts w:hint="eastAsia" w:ascii="宋体" w:hAnsi="宋体" w:eastAsia="宋体" w:cs="Times New Roman"/>
          <w:bCs/>
          <w:color w:val="auto"/>
          <w:szCs w:val="21"/>
          <w:highlight w:val="none"/>
        </w:rPr>
        <w:t>章“合同条款及格式”相关条款不一致的，以本表为准。</w:t>
      </w:r>
    </w:p>
    <w:tbl>
      <w:tblPr>
        <w:tblStyle w:val="28"/>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425"/>
        <w:gridCol w:w="915"/>
        <w:gridCol w:w="6826"/>
      </w:tblGrid>
      <w:tr w14:paraId="56DB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81" w:type="dxa"/>
            <w:vAlign w:val="center"/>
          </w:tcPr>
          <w:p w14:paraId="02DF4860">
            <w:pPr>
              <w:spacing w:line="360" w:lineRule="exact"/>
              <w:jc w:val="center"/>
              <w:rPr>
                <w:rFonts w:ascii="宋体" w:hAnsi="宋体"/>
                <w:color w:val="auto"/>
                <w:szCs w:val="21"/>
              </w:rPr>
            </w:pPr>
            <w:r>
              <w:rPr>
                <w:rFonts w:hint="eastAsia" w:ascii="宋体" w:hAnsi="宋体"/>
                <w:color w:val="auto"/>
                <w:szCs w:val="21"/>
              </w:rPr>
              <w:t>序号</w:t>
            </w:r>
          </w:p>
        </w:tc>
        <w:tc>
          <w:tcPr>
            <w:tcW w:w="1425" w:type="dxa"/>
            <w:vAlign w:val="center"/>
          </w:tcPr>
          <w:p w14:paraId="440CDF17">
            <w:pPr>
              <w:spacing w:line="360" w:lineRule="exact"/>
              <w:jc w:val="center"/>
              <w:rPr>
                <w:rFonts w:ascii="宋体" w:hAnsi="宋体"/>
                <w:color w:val="auto"/>
                <w:szCs w:val="21"/>
              </w:rPr>
            </w:pPr>
            <w:r>
              <w:rPr>
                <w:rFonts w:hint="eastAsia" w:ascii="宋体" w:hAnsi="宋体"/>
                <w:color w:val="auto"/>
                <w:szCs w:val="21"/>
              </w:rPr>
              <w:t>服务名称</w:t>
            </w:r>
          </w:p>
        </w:tc>
        <w:tc>
          <w:tcPr>
            <w:tcW w:w="915" w:type="dxa"/>
            <w:vAlign w:val="center"/>
          </w:tcPr>
          <w:p w14:paraId="3E68755E">
            <w:pPr>
              <w:spacing w:line="360" w:lineRule="exact"/>
              <w:jc w:val="center"/>
              <w:rPr>
                <w:rFonts w:ascii="宋体" w:hAnsi="宋体"/>
                <w:color w:val="auto"/>
                <w:szCs w:val="21"/>
              </w:rPr>
            </w:pPr>
            <w:r>
              <w:rPr>
                <w:rFonts w:hint="eastAsia" w:ascii="宋体" w:hAnsi="宋体"/>
                <w:color w:val="auto"/>
                <w:szCs w:val="21"/>
              </w:rPr>
              <w:t>数量</w:t>
            </w:r>
          </w:p>
        </w:tc>
        <w:tc>
          <w:tcPr>
            <w:tcW w:w="6826" w:type="dxa"/>
            <w:vAlign w:val="center"/>
          </w:tcPr>
          <w:p w14:paraId="687831D5">
            <w:pPr>
              <w:spacing w:line="360" w:lineRule="exact"/>
              <w:ind w:firstLine="210" w:firstLineChars="100"/>
              <w:jc w:val="center"/>
              <w:rPr>
                <w:rFonts w:hint="eastAsia" w:ascii="宋体" w:hAnsi="宋体" w:eastAsia="宋体"/>
                <w:color w:val="auto"/>
                <w:szCs w:val="21"/>
                <w:lang w:eastAsia="zh-CN"/>
              </w:rPr>
            </w:pPr>
            <w:r>
              <w:rPr>
                <w:rFonts w:hint="eastAsia" w:ascii="宋体" w:hAnsi="宋体"/>
                <w:color w:val="auto"/>
                <w:szCs w:val="21"/>
              </w:rPr>
              <w:t>服务内容及要求</w:t>
            </w:r>
          </w:p>
        </w:tc>
      </w:tr>
      <w:tr w14:paraId="42E5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81" w:type="dxa"/>
            <w:vAlign w:val="center"/>
          </w:tcPr>
          <w:p w14:paraId="2F619566">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both"/>
              <w:textAlignment w:val="auto"/>
              <w:rPr>
                <w:rFonts w:ascii="宋体" w:hAnsi="宋体"/>
                <w:color w:val="auto"/>
                <w:szCs w:val="21"/>
              </w:rPr>
            </w:pPr>
            <w:r>
              <w:rPr>
                <w:rFonts w:hint="eastAsia" w:ascii="宋体" w:hAnsi="宋体"/>
                <w:color w:val="auto"/>
                <w:szCs w:val="21"/>
              </w:rPr>
              <w:t>1</w:t>
            </w:r>
          </w:p>
        </w:tc>
        <w:tc>
          <w:tcPr>
            <w:tcW w:w="1425" w:type="dxa"/>
            <w:vAlign w:val="center"/>
          </w:tcPr>
          <w:p w14:paraId="19522DE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cs="Times New Roman"/>
                <w:b w:val="0"/>
                <w:color w:val="auto"/>
                <w:kern w:val="0"/>
                <w:szCs w:val="21"/>
                <w:highlight w:val="none"/>
                <w:lang w:val="en-US" w:eastAsia="zh-CN"/>
              </w:rPr>
              <w:t>2025年12个直属单位内部审计服务</w:t>
            </w:r>
          </w:p>
          <w:p w14:paraId="0A8F07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color w:val="auto"/>
                <w:szCs w:val="21"/>
              </w:rPr>
            </w:pPr>
          </w:p>
        </w:tc>
        <w:tc>
          <w:tcPr>
            <w:tcW w:w="915" w:type="dxa"/>
            <w:vAlign w:val="center"/>
          </w:tcPr>
          <w:p w14:paraId="525383AF">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both"/>
              <w:textAlignment w:val="auto"/>
              <w:rPr>
                <w:rFonts w:ascii="宋体" w:hAnsi="宋体"/>
                <w:color w:val="auto"/>
                <w:szCs w:val="21"/>
              </w:rPr>
            </w:pPr>
            <w:r>
              <w:rPr>
                <w:rFonts w:hint="eastAsia" w:ascii="宋体" w:hAnsi="宋体"/>
                <w:color w:val="auto"/>
                <w:szCs w:val="21"/>
              </w:rPr>
              <w:t>1项</w:t>
            </w:r>
          </w:p>
        </w:tc>
        <w:tc>
          <w:tcPr>
            <w:tcW w:w="6826" w:type="dxa"/>
          </w:tcPr>
          <w:p w14:paraId="0E951A4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（一）项目需求概况</w:t>
            </w:r>
          </w:p>
          <w:p w14:paraId="02BDAF6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eastAsia"/>
                <w:lang w:val="en-US" w:eastAsia="zh-CN"/>
              </w:rPr>
              <w:t>为了加强内部审计工作，建立健全内部审计制度，提升内部审计工作质量，充分发挥内部审计作用，根据《中华人民共和国审计法》、《中华人民共和国审计法实施条例》、《广西壮族自治区内部审计工作规定》、《自治区生态环境厅内部审计工作实施细则》，2025年计划开展的内部审计需求服务如下：</w:t>
            </w:r>
          </w:p>
          <w:p w14:paraId="3BA9103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lang w:val="en-US" w:eastAsia="zh-CN"/>
              </w:rPr>
            </w:pPr>
            <w:r>
              <w:rPr>
                <w:rFonts w:hint="eastAsia"/>
                <w:lang w:val="en-US" w:eastAsia="zh-CN"/>
              </w:rPr>
              <w:t>（1）财务收支审计：对我厅直属单位的财务收支活动进行全面审查和监督，确保其真实性、合法性、效益性，并为管理决策、风险防范和合规经营提供依据。包括验证财务数据的真实性，确保合规性，评估资金使用效益，完善内部控制，提供决策依据，满足监管要求，预防腐败等。为管理层、监管部门或上级单位提供可靠信息；揭示财务管理中的重大风险或舞弊行为，支持追责；为后续预算编制、战略调整提供数据支持；满足外部监管（如财政部门、审计部门）的合规要求。通过监督遏制经济领域的违法违纪行为，促进单位财务透明化，防范权力滥用。规范财务管理，提升资金使用效率，保障可持续发展。</w:t>
            </w:r>
          </w:p>
          <w:p w14:paraId="1E45598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lang w:val="en-US" w:eastAsia="zh-CN"/>
              </w:rPr>
            </w:pPr>
            <w:r>
              <w:rPr>
                <w:rFonts w:hint="eastAsia"/>
                <w:lang w:val="en-US" w:eastAsia="zh-CN"/>
              </w:rPr>
              <w:t>（2）经济责任审计：按照《党政主要领导干部和国有企事业单位主要领导人员经济责任审计规定》（中办发〔2019〕45号）以及相关法律法规要求，通过对领导干部进行经济责任审计，客观公正、实事求是地评价领导干部经济责任履行情况，揭示领导干部在履行经济责任过程中存在的问题，正确界定领导干部应承担的责任。对审计发现的问题提出处理意见和建议，确保党中央令行禁止，促使干部履职尽责、担当作为、廉洁自律，促进单位加强和改善管理。</w:t>
            </w:r>
          </w:p>
          <w:p w14:paraId="5905989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（二）项目内容和技术要求</w:t>
            </w:r>
          </w:p>
          <w:p w14:paraId="5A483C6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eastAsia"/>
                <w:lang w:val="en-US" w:eastAsia="zh-CN"/>
              </w:rPr>
              <w:t>一、采购第三方技术服务单位完成我厅</w:t>
            </w:r>
            <w:r>
              <w:rPr>
                <w:rFonts w:hint="default"/>
                <w:lang w:val="en-US" w:eastAsia="zh-CN"/>
              </w:rPr>
              <w:t>2025年</w:t>
            </w:r>
            <w:r>
              <w:rPr>
                <w:rFonts w:hint="eastAsia"/>
              </w:rPr>
              <w:t>直属单位内部审计</w:t>
            </w:r>
            <w:r>
              <w:rPr>
                <w:rFonts w:hint="eastAsia"/>
                <w:lang w:val="en-US" w:eastAsia="zh-CN"/>
              </w:rPr>
              <w:t>服务，具体工作内容包括</w:t>
            </w:r>
            <w:r>
              <w:rPr>
                <w:rFonts w:hint="default"/>
                <w:lang w:val="en-US" w:eastAsia="zh-CN"/>
              </w:rPr>
              <w:t>但不限于</w:t>
            </w:r>
            <w:r>
              <w:rPr>
                <w:rFonts w:hint="eastAsia"/>
                <w:lang w:val="en-US" w:eastAsia="zh-CN"/>
              </w:rPr>
              <w:t>：</w:t>
            </w:r>
          </w:p>
          <w:tbl>
            <w:tblPr>
              <w:tblStyle w:val="29"/>
              <w:tblW w:w="6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022"/>
              <w:gridCol w:w="1942"/>
              <w:gridCol w:w="1691"/>
            </w:tblGrid>
            <w:tr w14:paraId="1F76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99" w:type="dxa"/>
                  <w:vAlign w:val="center"/>
                </w:tcPr>
                <w:p w14:paraId="376CD393">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jc w:val="center"/>
                    <w:textAlignment w:val="auto"/>
                    <w:rPr>
                      <w:rFonts w:hint="eastAsia"/>
                      <w:sz w:val="18"/>
                      <w:szCs w:val="18"/>
                      <w:lang w:val="en-US" w:eastAsia="zh-CN"/>
                    </w:rPr>
                  </w:pPr>
                  <w:r>
                    <w:rPr>
                      <w:rFonts w:hint="eastAsia"/>
                      <w:sz w:val="18"/>
                      <w:szCs w:val="18"/>
                      <w:lang w:val="en-US" w:eastAsia="zh-CN"/>
                    </w:rPr>
                    <w:t>序号</w:t>
                  </w:r>
                </w:p>
              </w:tc>
              <w:tc>
                <w:tcPr>
                  <w:tcW w:w="2022" w:type="dxa"/>
                  <w:vAlign w:val="center"/>
                </w:tcPr>
                <w:p w14:paraId="0A86B572">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单位名称</w:t>
                  </w:r>
                </w:p>
              </w:tc>
              <w:tc>
                <w:tcPr>
                  <w:tcW w:w="1942" w:type="dxa"/>
                  <w:vAlign w:val="center"/>
                </w:tcPr>
                <w:p w14:paraId="0BFAA2FB">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default"/>
                      <w:sz w:val="18"/>
                      <w:szCs w:val="18"/>
                      <w:lang w:val="en-US" w:eastAsia="zh-CN"/>
                    </w:rPr>
                  </w:pPr>
                  <w:r>
                    <w:rPr>
                      <w:rFonts w:hint="eastAsia"/>
                      <w:sz w:val="18"/>
                      <w:szCs w:val="18"/>
                      <w:lang w:val="en-US" w:eastAsia="zh-CN"/>
                    </w:rPr>
                    <w:t>审计类型</w:t>
                  </w:r>
                </w:p>
              </w:tc>
              <w:tc>
                <w:tcPr>
                  <w:tcW w:w="1691" w:type="dxa"/>
                  <w:shd w:val="clear" w:color="auto" w:fill="auto"/>
                  <w:vAlign w:val="center"/>
                </w:tcPr>
                <w:p w14:paraId="5BFD855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审计范围</w:t>
                  </w:r>
                </w:p>
              </w:tc>
            </w:tr>
            <w:tr w14:paraId="4D34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99" w:type="dxa"/>
                  <w:vAlign w:val="center"/>
                </w:tcPr>
                <w:p w14:paraId="60052323">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ind w:firstLine="180" w:firstLineChars="100"/>
                    <w:jc w:val="both"/>
                    <w:textAlignment w:val="auto"/>
                    <w:rPr>
                      <w:rFonts w:hint="default"/>
                      <w:sz w:val="18"/>
                      <w:szCs w:val="18"/>
                      <w:lang w:val="en-US" w:eastAsia="zh-CN"/>
                    </w:rPr>
                  </w:pPr>
                  <w:r>
                    <w:rPr>
                      <w:rFonts w:hint="eastAsia"/>
                      <w:sz w:val="18"/>
                      <w:szCs w:val="18"/>
                      <w:lang w:val="en-US" w:eastAsia="zh-CN"/>
                    </w:rPr>
                    <w:t>1</w:t>
                  </w:r>
                </w:p>
              </w:tc>
              <w:tc>
                <w:tcPr>
                  <w:tcW w:w="2022" w:type="dxa"/>
                  <w:vAlign w:val="center"/>
                </w:tcPr>
                <w:p w14:paraId="74B15967">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机关服务中心</w:t>
                  </w:r>
                </w:p>
              </w:tc>
              <w:tc>
                <w:tcPr>
                  <w:tcW w:w="1942" w:type="dxa"/>
                  <w:vAlign w:val="center"/>
                </w:tcPr>
                <w:p w14:paraId="5F9D2E50">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财务收支审计</w:t>
                  </w:r>
                </w:p>
              </w:tc>
              <w:tc>
                <w:tcPr>
                  <w:tcW w:w="1691" w:type="dxa"/>
                  <w:shd w:val="clear" w:color="auto" w:fill="auto"/>
                  <w:vAlign w:val="center"/>
                </w:tcPr>
                <w:p w14:paraId="0819F79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2022.06-2025.06</w:t>
                  </w:r>
                </w:p>
              </w:tc>
            </w:tr>
            <w:tr w14:paraId="2D08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99" w:type="dxa"/>
                  <w:vAlign w:val="center"/>
                </w:tcPr>
                <w:p w14:paraId="1829FFE6">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ind w:firstLine="180" w:firstLineChars="100"/>
                    <w:jc w:val="both"/>
                    <w:textAlignment w:val="auto"/>
                    <w:rPr>
                      <w:rFonts w:hint="default"/>
                      <w:sz w:val="18"/>
                      <w:szCs w:val="18"/>
                      <w:lang w:val="en-US" w:eastAsia="zh-CN"/>
                    </w:rPr>
                  </w:pPr>
                  <w:r>
                    <w:rPr>
                      <w:rFonts w:hint="eastAsia"/>
                      <w:sz w:val="18"/>
                      <w:szCs w:val="18"/>
                      <w:lang w:val="en-US" w:eastAsia="zh-CN"/>
                    </w:rPr>
                    <w:t>2</w:t>
                  </w:r>
                </w:p>
              </w:tc>
              <w:tc>
                <w:tcPr>
                  <w:tcW w:w="2022" w:type="dxa"/>
                  <w:vAlign w:val="center"/>
                </w:tcPr>
                <w:p w14:paraId="03E4B7AE">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宣教中心</w:t>
                  </w:r>
                </w:p>
              </w:tc>
              <w:tc>
                <w:tcPr>
                  <w:tcW w:w="1942" w:type="dxa"/>
                  <w:vAlign w:val="center"/>
                </w:tcPr>
                <w:p w14:paraId="60769AD6">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离任经责审计</w:t>
                  </w:r>
                </w:p>
              </w:tc>
              <w:tc>
                <w:tcPr>
                  <w:tcW w:w="1691" w:type="dxa"/>
                  <w:shd w:val="clear" w:color="auto" w:fill="auto"/>
                  <w:vAlign w:val="center"/>
                </w:tcPr>
                <w:p w14:paraId="5E6F821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2015.11-2025.03</w:t>
                  </w:r>
                </w:p>
              </w:tc>
            </w:tr>
            <w:tr w14:paraId="7E24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99" w:type="dxa"/>
                  <w:vAlign w:val="center"/>
                </w:tcPr>
                <w:p w14:paraId="38C0A12A">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ind w:firstLine="180" w:firstLineChars="100"/>
                    <w:jc w:val="both"/>
                    <w:textAlignment w:val="auto"/>
                    <w:rPr>
                      <w:rFonts w:hint="default"/>
                      <w:sz w:val="18"/>
                      <w:szCs w:val="18"/>
                      <w:lang w:val="en-US" w:eastAsia="zh-CN"/>
                    </w:rPr>
                  </w:pPr>
                  <w:r>
                    <w:rPr>
                      <w:rFonts w:hint="eastAsia"/>
                      <w:sz w:val="18"/>
                      <w:szCs w:val="18"/>
                      <w:lang w:val="en-US" w:eastAsia="zh-CN"/>
                    </w:rPr>
                    <w:t>3</w:t>
                  </w:r>
                </w:p>
              </w:tc>
              <w:tc>
                <w:tcPr>
                  <w:tcW w:w="2022" w:type="dxa"/>
                  <w:vAlign w:val="center"/>
                </w:tcPr>
                <w:p w14:paraId="7FBEAC92">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气候中心</w:t>
                  </w:r>
                </w:p>
              </w:tc>
              <w:tc>
                <w:tcPr>
                  <w:tcW w:w="1942" w:type="dxa"/>
                  <w:vAlign w:val="center"/>
                </w:tcPr>
                <w:p w14:paraId="64FE6732">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离任经责审计</w:t>
                  </w:r>
                </w:p>
              </w:tc>
              <w:tc>
                <w:tcPr>
                  <w:tcW w:w="1691" w:type="dxa"/>
                  <w:shd w:val="clear" w:color="auto" w:fill="auto"/>
                  <w:vAlign w:val="center"/>
                </w:tcPr>
                <w:p w14:paraId="2CB760E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18"/>
                      <w:szCs w:val="18"/>
                      <w:lang w:val="en-US" w:eastAsia="zh-CN"/>
                    </w:rPr>
                  </w:pPr>
                  <w:r>
                    <w:rPr>
                      <w:rFonts w:hint="eastAsia"/>
                      <w:sz w:val="18"/>
                      <w:szCs w:val="18"/>
                      <w:lang w:val="en-US" w:eastAsia="zh-CN"/>
                    </w:rPr>
                    <w:t>2021.12-2024.03</w:t>
                  </w:r>
                </w:p>
              </w:tc>
            </w:tr>
            <w:tr w14:paraId="6B7C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99" w:type="dxa"/>
                  <w:vAlign w:val="center"/>
                </w:tcPr>
                <w:p w14:paraId="2D639252">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jc w:val="center"/>
                    <w:textAlignment w:val="auto"/>
                    <w:rPr>
                      <w:rFonts w:hint="default"/>
                      <w:sz w:val="18"/>
                      <w:szCs w:val="18"/>
                      <w:lang w:val="en-US" w:eastAsia="zh-CN"/>
                    </w:rPr>
                  </w:pPr>
                  <w:r>
                    <w:rPr>
                      <w:rFonts w:hint="eastAsia"/>
                      <w:sz w:val="18"/>
                      <w:szCs w:val="18"/>
                      <w:lang w:val="en-US" w:eastAsia="zh-CN"/>
                    </w:rPr>
                    <w:t>4</w:t>
                  </w:r>
                </w:p>
              </w:tc>
              <w:tc>
                <w:tcPr>
                  <w:tcW w:w="2022" w:type="dxa"/>
                  <w:vAlign w:val="center"/>
                </w:tcPr>
                <w:p w14:paraId="1346F0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广西壮族自治区桂林生态环境监测中心</w:t>
                  </w:r>
                </w:p>
              </w:tc>
              <w:tc>
                <w:tcPr>
                  <w:tcW w:w="1942" w:type="dxa"/>
                  <w:vAlign w:val="center"/>
                </w:tcPr>
                <w:p w14:paraId="2E39E5FD">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离任经责审计</w:t>
                  </w:r>
                </w:p>
              </w:tc>
              <w:tc>
                <w:tcPr>
                  <w:tcW w:w="1691" w:type="dxa"/>
                  <w:shd w:val="clear" w:color="auto" w:fill="auto"/>
                  <w:vAlign w:val="center"/>
                </w:tcPr>
                <w:p w14:paraId="6FA6169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2022.03-2024.12</w:t>
                  </w:r>
                </w:p>
              </w:tc>
            </w:tr>
            <w:tr w14:paraId="55CC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99" w:type="dxa"/>
                  <w:vAlign w:val="center"/>
                </w:tcPr>
                <w:p w14:paraId="19DCA817">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jc w:val="center"/>
                    <w:textAlignment w:val="auto"/>
                    <w:rPr>
                      <w:rFonts w:hint="default"/>
                      <w:sz w:val="18"/>
                      <w:szCs w:val="18"/>
                      <w:lang w:val="en-US" w:eastAsia="zh-CN"/>
                    </w:rPr>
                  </w:pPr>
                  <w:r>
                    <w:rPr>
                      <w:rFonts w:hint="eastAsia"/>
                      <w:sz w:val="18"/>
                      <w:szCs w:val="18"/>
                      <w:lang w:val="en-US" w:eastAsia="zh-CN"/>
                    </w:rPr>
                    <w:t>5</w:t>
                  </w:r>
                </w:p>
              </w:tc>
              <w:tc>
                <w:tcPr>
                  <w:tcW w:w="2022" w:type="dxa"/>
                  <w:vAlign w:val="center"/>
                </w:tcPr>
                <w:p w14:paraId="0678954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广西壮族自治区梧州生态环境监测中心</w:t>
                  </w:r>
                </w:p>
              </w:tc>
              <w:tc>
                <w:tcPr>
                  <w:tcW w:w="1942" w:type="dxa"/>
                  <w:vAlign w:val="center"/>
                </w:tcPr>
                <w:p w14:paraId="4B81AE9F">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财务收支审计</w:t>
                  </w:r>
                </w:p>
              </w:tc>
              <w:tc>
                <w:tcPr>
                  <w:tcW w:w="1691" w:type="dxa"/>
                  <w:shd w:val="clear" w:color="auto" w:fill="auto"/>
                  <w:vAlign w:val="center"/>
                </w:tcPr>
                <w:p w14:paraId="2FA882C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2023.07-2025.07</w:t>
                  </w:r>
                </w:p>
              </w:tc>
            </w:tr>
            <w:tr w14:paraId="2231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99" w:type="dxa"/>
                  <w:shd w:val="clear" w:color="auto" w:fill="auto"/>
                  <w:vAlign w:val="center"/>
                </w:tcPr>
                <w:p w14:paraId="0B3E32EC">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jc w:val="center"/>
                    <w:textAlignment w:val="auto"/>
                    <w:rPr>
                      <w:rFonts w:hint="default"/>
                      <w:sz w:val="18"/>
                      <w:szCs w:val="18"/>
                      <w:lang w:val="en-US" w:eastAsia="zh-CN"/>
                    </w:rPr>
                  </w:pPr>
                  <w:r>
                    <w:rPr>
                      <w:rFonts w:hint="eastAsia"/>
                      <w:sz w:val="18"/>
                      <w:szCs w:val="18"/>
                      <w:lang w:val="en-US" w:eastAsia="zh-CN"/>
                    </w:rPr>
                    <w:t>6</w:t>
                  </w:r>
                </w:p>
              </w:tc>
              <w:tc>
                <w:tcPr>
                  <w:tcW w:w="2022" w:type="dxa"/>
                  <w:shd w:val="clear" w:color="auto" w:fill="auto"/>
                  <w:vAlign w:val="center"/>
                </w:tcPr>
                <w:p w14:paraId="52108FD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广西壮族自治区北海生态环境监测中心</w:t>
                  </w:r>
                </w:p>
              </w:tc>
              <w:tc>
                <w:tcPr>
                  <w:tcW w:w="1942" w:type="dxa"/>
                  <w:vAlign w:val="center"/>
                </w:tcPr>
                <w:p w14:paraId="78EAF614">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离任经责审计</w:t>
                  </w:r>
                </w:p>
              </w:tc>
              <w:tc>
                <w:tcPr>
                  <w:tcW w:w="1691" w:type="dxa"/>
                  <w:shd w:val="clear" w:color="auto" w:fill="auto"/>
                  <w:vAlign w:val="center"/>
                </w:tcPr>
                <w:p w14:paraId="77DDAA5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2017.10-2024.10</w:t>
                  </w:r>
                </w:p>
              </w:tc>
            </w:tr>
            <w:tr w14:paraId="5C1F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99" w:type="dxa"/>
                  <w:vAlign w:val="center"/>
                </w:tcPr>
                <w:p w14:paraId="55A5238D">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ind w:firstLine="180" w:firstLineChars="100"/>
                    <w:jc w:val="both"/>
                    <w:textAlignment w:val="auto"/>
                    <w:rPr>
                      <w:rFonts w:hint="default"/>
                      <w:sz w:val="18"/>
                      <w:szCs w:val="18"/>
                      <w:lang w:val="en-US" w:eastAsia="zh-CN"/>
                    </w:rPr>
                  </w:pPr>
                  <w:r>
                    <w:rPr>
                      <w:rFonts w:hint="eastAsia"/>
                      <w:sz w:val="18"/>
                      <w:szCs w:val="18"/>
                      <w:lang w:val="en-US" w:eastAsia="zh-CN"/>
                    </w:rPr>
                    <w:t>7</w:t>
                  </w:r>
                </w:p>
              </w:tc>
              <w:tc>
                <w:tcPr>
                  <w:tcW w:w="2022" w:type="dxa"/>
                  <w:vAlign w:val="center"/>
                </w:tcPr>
                <w:p w14:paraId="0015AA7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广西壮族自治区防城港生态环境监测中心</w:t>
                  </w:r>
                </w:p>
              </w:tc>
              <w:tc>
                <w:tcPr>
                  <w:tcW w:w="1942" w:type="dxa"/>
                  <w:vAlign w:val="center"/>
                </w:tcPr>
                <w:p w14:paraId="66F6F5B4">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财务收支审计</w:t>
                  </w:r>
                </w:p>
              </w:tc>
              <w:tc>
                <w:tcPr>
                  <w:tcW w:w="1691" w:type="dxa"/>
                  <w:shd w:val="clear" w:color="auto" w:fill="auto"/>
                  <w:vAlign w:val="center"/>
                </w:tcPr>
                <w:p w14:paraId="4F50717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2023.07-2025.07</w:t>
                  </w:r>
                </w:p>
              </w:tc>
            </w:tr>
            <w:tr w14:paraId="26CD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99" w:type="dxa"/>
                  <w:shd w:val="clear" w:color="auto" w:fill="auto"/>
                  <w:vAlign w:val="center"/>
                </w:tcPr>
                <w:p w14:paraId="1E6CC523">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jc w:val="center"/>
                    <w:textAlignment w:val="auto"/>
                    <w:rPr>
                      <w:rFonts w:hint="default"/>
                      <w:sz w:val="18"/>
                      <w:szCs w:val="18"/>
                      <w:lang w:val="en-US" w:eastAsia="zh-CN"/>
                    </w:rPr>
                  </w:pPr>
                  <w:r>
                    <w:rPr>
                      <w:rFonts w:hint="eastAsia"/>
                      <w:sz w:val="18"/>
                      <w:szCs w:val="18"/>
                      <w:lang w:val="en-US" w:eastAsia="zh-CN"/>
                    </w:rPr>
                    <w:t>8</w:t>
                  </w:r>
                </w:p>
              </w:tc>
              <w:tc>
                <w:tcPr>
                  <w:tcW w:w="2022" w:type="dxa"/>
                  <w:shd w:val="clear" w:color="auto" w:fill="auto"/>
                  <w:vAlign w:val="center"/>
                </w:tcPr>
                <w:p w14:paraId="4A641AF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广西壮族自治区贵港生态环境监测中心</w:t>
                  </w:r>
                </w:p>
              </w:tc>
              <w:tc>
                <w:tcPr>
                  <w:tcW w:w="1942" w:type="dxa"/>
                  <w:vAlign w:val="center"/>
                </w:tcPr>
                <w:p w14:paraId="00988BD3">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离任经责审计</w:t>
                  </w:r>
                </w:p>
              </w:tc>
              <w:tc>
                <w:tcPr>
                  <w:tcW w:w="1691" w:type="dxa"/>
                  <w:shd w:val="clear" w:color="auto" w:fill="auto"/>
                  <w:vAlign w:val="center"/>
                </w:tcPr>
                <w:p w14:paraId="261D603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2022.01-2025.06</w:t>
                  </w:r>
                </w:p>
              </w:tc>
            </w:tr>
            <w:tr w14:paraId="7A54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99" w:type="dxa"/>
                  <w:shd w:val="clear" w:color="auto" w:fill="auto"/>
                  <w:vAlign w:val="center"/>
                </w:tcPr>
                <w:p w14:paraId="40946DEB">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jc w:val="center"/>
                    <w:textAlignment w:val="auto"/>
                    <w:rPr>
                      <w:rFonts w:hint="default"/>
                      <w:sz w:val="18"/>
                      <w:szCs w:val="18"/>
                      <w:lang w:val="en-US" w:eastAsia="zh-CN"/>
                    </w:rPr>
                  </w:pPr>
                  <w:r>
                    <w:rPr>
                      <w:rFonts w:hint="eastAsia"/>
                      <w:sz w:val="18"/>
                      <w:szCs w:val="18"/>
                      <w:lang w:val="en-US" w:eastAsia="zh-CN"/>
                    </w:rPr>
                    <w:t>9</w:t>
                  </w:r>
                </w:p>
              </w:tc>
              <w:tc>
                <w:tcPr>
                  <w:tcW w:w="2022" w:type="dxa"/>
                  <w:shd w:val="clear" w:color="auto" w:fill="auto"/>
                  <w:vAlign w:val="center"/>
                </w:tcPr>
                <w:p w14:paraId="6AEDF5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广西壮族自治区百色生态环境监测中心</w:t>
                  </w:r>
                </w:p>
              </w:tc>
              <w:tc>
                <w:tcPr>
                  <w:tcW w:w="1942" w:type="dxa"/>
                  <w:vAlign w:val="center"/>
                </w:tcPr>
                <w:p w14:paraId="3A6495D1">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离任经责审计</w:t>
                  </w:r>
                </w:p>
              </w:tc>
              <w:tc>
                <w:tcPr>
                  <w:tcW w:w="1691" w:type="dxa"/>
                  <w:shd w:val="clear" w:color="auto" w:fill="auto"/>
                  <w:vAlign w:val="center"/>
                </w:tcPr>
                <w:p w14:paraId="00BDA49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2022.01-2024.10</w:t>
                  </w:r>
                </w:p>
              </w:tc>
            </w:tr>
            <w:tr w14:paraId="6EF3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99" w:type="dxa"/>
                  <w:shd w:val="clear" w:color="auto" w:fill="auto"/>
                  <w:vAlign w:val="center"/>
                </w:tcPr>
                <w:p w14:paraId="3CB46DFB">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jc w:val="center"/>
                    <w:textAlignment w:val="auto"/>
                    <w:rPr>
                      <w:rFonts w:hint="default"/>
                      <w:sz w:val="18"/>
                      <w:szCs w:val="18"/>
                      <w:lang w:val="en-US" w:eastAsia="zh-CN"/>
                    </w:rPr>
                  </w:pPr>
                  <w:r>
                    <w:rPr>
                      <w:rFonts w:hint="eastAsia"/>
                      <w:sz w:val="18"/>
                      <w:szCs w:val="18"/>
                      <w:lang w:val="en-US" w:eastAsia="zh-CN"/>
                    </w:rPr>
                    <w:t>10</w:t>
                  </w:r>
                </w:p>
              </w:tc>
              <w:tc>
                <w:tcPr>
                  <w:tcW w:w="2022" w:type="dxa"/>
                  <w:shd w:val="clear" w:color="auto" w:fill="auto"/>
                  <w:vAlign w:val="center"/>
                </w:tcPr>
                <w:p w14:paraId="5E57FE4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广西壮族自治区河池生态环境监测中心</w:t>
                  </w:r>
                </w:p>
              </w:tc>
              <w:tc>
                <w:tcPr>
                  <w:tcW w:w="1942" w:type="dxa"/>
                  <w:vAlign w:val="center"/>
                </w:tcPr>
                <w:p w14:paraId="7D0EDF9D">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离任经责审计</w:t>
                  </w:r>
                </w:p>
              </w:tc>
              <w:tc>
                <w:tcPr>
                  <w:tcW w:w="1691" w:type="dxa"/>
                  <w:shd w:val="clear" w:color="auto" w:fill="auto"/>
                  <w:vAlign w:val="center"/>
                </w:tcPr>
                <w:p w14:paraId="1914866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2019.10-2025.02</w:t>
                  </w:r>
                </w:p>
              </w:tc>
            </w:tr>
            <w:tr w14:paraId="66C7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99" w:type="dxa"/>
                  <w:vAlign w:val="center"/>
                </w:tcPr>
                <w:p w14:paraId="3E2F54F7">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jc w:val="center"/>
                    <w:textAlignment w:val="auto"/>
                    <w:rPr>
                      <w:rFonts w:hint="default"/>
                      <w:sz w:val="18"/>
                      <w:szCs w:val="18"/>
                      <w:lang w:val="en-US" w:eastAsia="zh-CN"/>
                    </w:rPr>
                  </w:pPr>
                  <w:r>
                    <w:rPr>
                      <w:rFonts w:hint="eastAsia"/>
                      <w:sz w:val="18"/>
                      <w:szCs w:val="18"/>
                      <w:lang w:val="en-US" w:eastAsia="zh-CN"/>
                    </w:rPr>
                    <w:t>11</w:t>
                  </w:r>
                </w:p>
              </w:tc>
              <w:tc>
                <w:tcPr>
                  <w:tcW w:w="2022" w:type="dxa"/>
                  <w:vAlign w:val="center"/>
                </w:tcPr>
                <w:p w14:paraId="4F62A53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广西壮族自治区来宾生态环境监测中心</w:t>
                  </w:r>
                </w:p>
              </w:tc>
              <w:tc>
                <w:tcPr>
                  <w:tcW w:w="1942" w:type="dxa"/>
                  <w:vAlign w:val="center"/>
                </w:tcPr>
                <w:p w14:paraId="7D801CAB">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财务收支审计</w:t>
                  </w:r>
                </w:p>
              </w:tc>
              <w:tc>
                <w:tcPr>
                  <w:tcW w:w="1691" w:type="dxa"/>
                  <w:shd w:val="clear" w:color="auto" w:fill="auto"/>
                  <w:vAlign w:val="center"/>
                </w:tcPr>
                <w:p w14:paraId="0538559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2023.07-2025.07</w:t>
                  </w:r>
                </w:p>
              </w:tc>
            </w:tr>
            <w:tr w14:paraId="5849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99" w:type="dxa"/>
                  <w:vAlign w:val="center"/>
                </w:tcPr>
                <w:p w14:paraId="0FD04B05">
                  <w:pPr>
                    <w:keepNext w:val="0"/>
                    <w:keepLines w:val="0"/>
                    <w:pageBreakBefore w:val="0"/>
                    <w:widowControl w:val="0"/>
                    <w:tabs>
                      <w:tab w:val="left" w:pos="0"/>
                      <w:tab w:val="left" w:pos="210"/>
                    </w:tabs>
                    <w:kinsoku/>
                    <w:wordWrap/>
                    <w:overflowPunct/>
                    <w:topLinePunct w:val="0"/>
                    <w:autoSpaceDE/>
                    <w:autoSpaceDN/>
                    <w:bidi w:val="0"/>
                    <w:adjustRightInd/>
                    <w:snapToGrid/>
                    <w:spacing w:line="320" w:lineRule="exact"/>
                    <w:jc w:val="center"/>
                    <w:textAlignment w:val="auto"/>
                    <w:rPr>
                      <w:rFonts w:hint="default"/>
                      <w:sz w:val="18"/>
                      <w:szCs w:val="18"/>
                      <w:lang w:val="en-US" w:eastAsia="zh-CN"/>
                    </w:rPr>
                  </w:pPr>
                  <w:r>
                    <w:rPr>
                      <w:rFonts w:hint="eastAsia"/>
                      <w:sz w:val="18"/>
                      <w:szCs w:val="18"/>
                      <w:lang w:val="en-US" w:eastAsia="zh-CN"/>
                    </w:rPr>
                    <w:t>12</w:t>
                  </w:r>
                </w:p>
              </w:tc>
              <w:tc>
                <w:tcPr>
                  <w:tcW w:w="2022" w:type="dxa"/>
                  <w:vAlign w:val="center"/>
                </w:tcPr>
                <w:p w14:paraId="78D2D3C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广西壮族自治区崇左生态环境监测中心</w:t>
                  </w:r>
                </w:p>
              </w:tc>
              <w:tc>
                <w:tcPr>
                  <w:tcW w:w="1942" w:type="dxa"/>
                  <w:vAlign w:val="center"/>
                </w:tcPr>
                <w:p w14:paraId="53DE7124">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eastAsia"/>
                      <w:sz w:val="18"/>
                      <w:szCs w:val="18"/>
                      <w:lang w:val="en-US" w:eastAsia="zh-CN"/>
                    </w:rPr>
                  </w:pPr>
                  <w:r>
                    <w:rPr>
                      <w:rFonts w:hint="eastAsia"/>
                      <w:sz w:val="18"/>
                      <w:szCs w:val="18"/>
                      <w:lang w:val="en-US" w:eastAsia="zh-CN"/>
                    </w:rPr>
                    <w:t>离任经责审计</w:t>
                  </w:r>
                </w:p>
              </w:tc>
              <w:tc>
                <w:tcPr>
                  <w:tcW w:w="1691" w:type="dxa"/>
                  <w:shd w:val="clear" w:color="auto" w:fill="auto"/>
                  <w:vAlign w:val="center"/>
                </w:tcPr>
                <w:p w14:paraId="053387D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18"/>
                      <w:szCs w:val="18"/>
                      <w:lang w:val="en-US" w:eastAsia="zh-CN"/>
                    </w:rPr>
                  </w:pPr>
                  <w:r>
                    <w:rPr>
                      <w:rFonts w:hint="eastAsia"/>
                      <w:sz w:val="18"/>
                      <w:szCs w:val="18"/>
                      <w:lang w:val="en-US" w:eastAsia="zh-CN"/>
                    </w:rPr>
                    <w:t>2020.06-2024.12</w:t>
                  </w:r>
                </w:p>
              </w:tc>
            </w:tr>
          </w:tbl>
          <w:p w14:paraId="7CE128B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eastAsia"/>
                <w:lang w:val="en-US" w:eastAsia="zh-CN"/>
              </w:rPr>
              <w:t>二、技术要求：</w:t>
            </w:r>
          </w:p>
          <w:p w14:paraId="72D539C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eastAsia"/>
                <w:lang w:val="en-US" w:eastAsia="zh-CN"/>
              </w:rPr>
              <w:t>（一）我厅</w:t>
            </w:r>
            <w:r>
              <w:rPr>
                <w:rFonts w:hint="eastAsia"/>
              </w:rPr>
              <w:t>直属单位</w:t>
            </w:r>
            <w:r>
              <w:rPr>
                <w:rFonts w:hint="default"/>
                <w:lang w:val="en-US" w:eastAsia="zh-CN"/>
              </w:rPr>
              <w:t>2025年度财务收支审计服务</w:t>
            </w:r>
            <w:r>
              <w:rPr>
                <w:rFonts w:hint="eastAsia"/>
                <w:lang w:val="en-US" w:eastAsia="zh-CN"/>
              </w:rPr>
              <w:t>。</w:t>
            </w:r>
          </w:p>
          <w:p w14:paraId="3D58C23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1.预算执行审计</w:t>
            </w:r>
            <w:r>
              <w:rPr>
                <w:rFonts w:hint="eastAsia"/>
                <w:lang w:val="en-US" w:eastAsia="zh-CN"/>
              </w:rPr>
              <w:t>。</w:t>
            </w:r>
          </w:p>
          <w:p w14:paraId="34DA670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评估预算管理内部控制和经济责任制的健全性和有效性。确保预算编制遵循“量入为出，收支平衡”原则，收入稳妥，支出统筹兼顾、重点突出、勤俭节约；预算编制方法合规；预算方案需真实、合法、有效，无超财力赤字，按规定程序审批，经费及时足额下达；预算调整需理由充分，项目和数额明确，措施可行，附说明；追加和调整方案审定后执行；预算下达后</w:t>
            </w:r>
            <w:r>
              <w:rPr>
                <w:rFonts w:hint="eastAsia"/>
                <w:lang w:val="en-US" w:eastAsia="zh-CN"/>
              </w:rPr>
              <w:t>是否随意</w:t>
            </w:r>
            <w:r>
              <w:rPr>
                <w:rFonts w:hint="default"/>
                <w:lang w:val="en-US" w:eastAsia="zh-CN"/>
              </w:rPr>
              <w:t>调整，支出项目无随意增减或调剂。</w:t>
            </w:r>
          </w:p>
          <w:p w14:paraId="69FA692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2.收入审计</w:t>
            </w:r>
            <w:r>
              <w:rPr>
                <w:rFonts w:hint="eastAsia"/>
                <w:lang w:val="en-US" w:eastAsia="zh-CN"/>
              </w:rPr>
              <w:t>。</w:t>
            </w:r>
          </w:p>
          <w:p w14:paraId="55ED1A3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所有收入须纳入预算并统一管理核算。核实收入真实、合法、完整，防止隐瞒或不当确认；确保收入及时全额到账，完成收入目标，无截留、挪用或私设“小金库”；准确分类各项收入，包括财政补助、上级补助、事业、经营、上缴及其他收入；收费项目、标准和范围须上级批准，执行“收支两条线”原则；收入会计处理合法合规，无不当列账；</w:t>
            </w:r>
            <w:r>
              <w:rPr>
                <w:rFonts w:hint="eastAsia"/>
                <w:lang w:val="en-US" w:eastAsia="zh-CN"/>
              </w:rPr>
              <w:t>我厅</w:t>
            </w:r>
            <w:r>
              <w:rPr>
                <w:rFonts w:hint="default"/>
                <w:lang w:val="en-US" w:eastAsia="zh-CN"/>
              </w:rPr>
              <w:t>是否有措施确保收入预算目标实现；分析收入预算执行情况及差异原因。</w:t>
            </w:r>
          </w:p>
          <w:p w14:paraId="2E51006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3.支出审计</w:t>
            </w:r>
            <w:r>
              <w:rPr>
                <w:rFonts w:hint="eastAsia"/>
                <w:lang w:val="en-US" w:eastAsia="zh-CN"/>
              </w:rPr>
              <w:t>。</w:t>
            </w:r>
          </w:p>
          <w:p w14:paraId="6696F19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审查支出预算是否符合项目、标准和用途，遵守财务规定，无违规或超支行为。确保支出真实、合法，无虚列支出。检查支出分类和预算执行情况，监督专项资金专款专用，会计核算合规。分析预算执行效益，评价效果，查找差异原因，避免损失浪费。</w:t>
            </w:r>
          </w:p>
          <w:p w14:paraId="77CED26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4.决算情况审计</w:t>
            </w:r>
            <w:r>
              <w:rPr>
                <w:rFonts w:hint="eastAsia"/>
                <w:lang w:val="en-US" w:eastAsia="zh-CN"/>
              </w:rPr>
              <w:t>。</w:t>
            </w:r>
          </w:p>
          <w:p w14:paraId="71F9AC5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核实财务报表的完整性、正确性及数据一致性，确保所有内容符合规定。核对报表与会计账簿数据一致性，保证二者相符。验证报表内容的真实性，分析预算执行情况，核对资产和报表数据，审查净资产形成。检查会计核算合规性，包括法规遵循、账务一致性、会计方法连续性、变更说明及内控制度有效性。审查财务分析指标的真实性，确保准确反映</w:t>
            </w:r>
            <w:r>
              <w:rPr>
                <w:rFonts w:hint="eastAsia"/>
                <w:lang w:val="en-US" w:eastAsia="zh-CN"/>
              </w:rPr>
              <w:t>我厅</w:t>
            </w:r>
            <w:r>
              <w:rPr>
                <w:rFonts w:hint="default"/>
                <w:lang w:val="en-US" w:eastAsia="zh-CN"/>
              </w:rPr>
              <w:t>财务状况。</w:t>
            </w:r>
          </w:p>
          <w:p w14:paraId="25E388A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5.资产审计</w:t>
            </w:r>
            <w:r>
              <w:rPr>
                <w:rFonts w:hint="eastAsia"/>
                <w:lang w:val="en-US" w:eastAsia="zh-CN"/>
              </w:rPr>
              <w:t>。</w:t>
            </w:r>
          </w:p>
          <w:p w14:paraId="65F03B6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核实资产真实性和完整性，确保合法管理与计价正确。审查货币资金和有价证券合规使用，内部控制有效性。确认银行开户合规，防止违规行为，保障资金安全。审查应收款项合法性，及时结算，处理呆坏账。</w:t>
            </w:r>
          </w:p>
          <w:p w14:paraId="37A21ED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6.负债情况审计</w:t>
            </w:r>
            <w:r>
              <w:rPr>
                <w:rFonts w:hint="eastAsia"/>
                <w:lang w:val="en-US" w:eastAsia="zh-CN"/>
              </w:rPr>
              <w:t>。</w:t>
            </w:r>
          </w:p>
          <w:p w14:paraId="5F48389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检查负债的形成是否真实、合法、完整，以及负债确认标准和计价方法是否被随意改变。审查虚列、多列、不列或少列负债的行为。评估各项负债，包括借入款、应付及暂存款、应缴款项、代管款项等的分类和会计核算是否合理合规，并且是否按照规定权限处理。确保各项负债及时清理，按规定结算，并在期限内归还或上缴应缴款项，避免长期挂账。控制债务规模，识别潜在财务风险。确认是否存在未决诉讼案、相关事项或或有负债。</w:t>
            </w:r>
          </w:p>
          <w:p w14:paraId="1FA8054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7.净资产情况审计</w:t>
            </w:r>
            <w:r>
              <w:rPr>
                <w:rFonts w:hint="eastAsia"/>
                <w:lang w:val="en-US" w:eastAsia="zh-CN"/>
              </w:rPr>
              <w:t>。</w:t>
            </w:r>
          </w:p>
          <w:p w14:paraId="6C5AE21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确保净资产真实、合法、完整，收支配比余额未被随意调节。核实基金余额及变动，财务结果和收支差额计算正确；事业基金和专用基金设置、分类、结余、增减变化准确合规，会计核算规范，资金用途合规，使用效果良好，无不当行为；专用基金计入、提取及比例符合国家规定，及时足额到位。</w:t>
            </w:r>
          </w:p>
          <w:p w14:paraId="27E3BCC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8.财务内部控制审计</w:t>
            </w:r>
            <w:r>
              <w:rPr>
                <w:rFonts w:hint="eastAsia"/>
                <w:lang w:val="en-US" w:eastAsia="zh-CN"/>
              </w:rPr>
              <w:t>。</w:t>
            </w:r>
          </w:p>
          <w:p w14:paraId="699DABC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预算管理：评估内部沟通、预算与资产配置及工作对应情况，执行预算的合理性，以及决算的真实性和及时性。收支管理：检查收入归口管理、凭据提供及时性、印章和票据的保管使用，以及支出凭据的审核和虚假票据问题。政府采购管理：审查政府采购业务的预算和计划执行、活动组织和验收程序，以及相关档案的保存。资产管理：评估资产归口管理、责任明确性、定期清查盘点、账实不符处理和资产处置。建设项目管理：检查概算投资执行、审核审批程序、招投标控制机制、资金管理问题，以及档案保存和移交。合同管理：审查合同归口管理、签订范围和条件、履行监控和纠纷协调机制。</w:t>
            </w:r>
          </w:p>
          <w:p w14:paraId="1E13AF0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9.其他财务管理情况等。</w:t>
            </w:r>
          </w:p>
          <w:p w14:paraId="4EC9645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eastAsia"/>
                <w:lang w:val="en-US" w:eastAsia="zh-CN"/>
              </w:rPr>
              <w:t>（二）我厅</w:t>
            </w:r>
            <w:r>
              <w:rPr>
                <w:rFonts w:hint="eastAsia"/>
              </w:rPr>
              <w:t>直属单位</w:t>
            </w:r>
            <w:r>
              <w:rPr>
                <w:rFonts w:hint="default"/>
                <w:lang w:val="en-US" w:eastAsia="zh-CN"/>
              </w:rPr>
              <w:t>202</w:t>
            </w:r>
            <w:r>
              <w:rPr>
                <w:rFonts w:hint="eastAsia"/>
                <w:lang w:val="en-US" w:eastAsia="zh-CN"/>
              </w:rPr>
              <w:t>5</w:t>
            </w:r>
            <w:r>
              <w:rPr>
                <w:rFonts w:hint="default"/>
                <w:lang w:val="en-US" w:eastAsia="zh-CN"/>
              </w:rPr>
              <w:t>年度经济责任审计服务</w:t>
            </w:r>
            <w:r>
              <w:rPr>
                <w:rFonts w:hint="eastAsia"/>
                <w:lang w:val="en-US" w:eastAsia="zh-CN"/>
              </w:rPr>
              <w:t>。</w:t>
            </w:r>
          </w:p>
          <w:p w14:paraId="0952AB0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eastAsia"/>
                <w:lang w:val="en-US" w:eastAsia="zh-CN"/>
              </w:rPr>
              <w:t>经济责任审计以领导干部任职期间公共资金、国有资产、国有资源的管理、分配和使用为基础，以领导干部权力运行和责任落实情况为重点，充分考虑领导干部管理监督需要、履职特点和审计资源等因素：</w:t>
            </w:r>
          </w:p>
          <w:p w14:paraId="170A517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lang w:val="en-US" w:eastAsia="zh-CN"/>
              </w:rPr>
            </w:pPr>
            <w:r>
              <w:rPr>
                <w:rFonts w:hint="eastAsia"/>
                <w:lang w:val="en-US" w:eastAsia="zh-CN"/>
              </w:rPr>
              <w:t>1.贯彻执行党和国家经济方针政策、决策部署情况；</w:t>
            </w:r>
          </w:p>
          <w:p w14:paraId="280E4DD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lang w:val="en-US" w:eastAsia="zh-CN"/>
              </w:rPr>
            </w:pPr>
            <w:r>
              <w:rPr>
                <w:rFonts w:hint="eastAsia"/>
                <w:lang w:val="en-US" w:eastAsia="zh-CN"/>
              </w:rPr>
              <w:t>2.本部门本单位重要发展规划和政策措施的制定、执行和效果情况；</w:t>
            </w:r>
          </w:p>
          <w:p w14:paraId="61259F8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lang w:val="en-US" w:eastAsia="zh-CN"/>
              </w:rPr>
            </w:pPr>
            <w:r>
              <w:rPr>
                <w:rFonts w:hint="eastAsia"/>
                <w:lang w:val="en-US" w:eastAsia="zh-CN"/>
              </w:rPr>
              <w:t>3.重大经济事项的决策、执行和效果情况；</w:t>
            </w:r>
          </w:p>
          <w:p w14:paraId="6EDC5B8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lang w:val="en-US" w:eastAsia="zh-CN"/>
              </w:rPr>
            </w:pPr>
            <w:r>
              <w:rPr>
                <w:rFonts w:hint="eastAsia"/>
                <w:lang w:val="en-US" w:eastAsia="zh-CN"/>
              </w:rPr>
              <w:t>4.财政财务管理和经济风险防范情况，生态文明建设项目、资金等管理使用和效益情况，以及在预算管理中执行机构编制管理规定情况；</w:t>
            </w:r>
          </w:p>
          <w:p w14:paraId="34D626E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lang w:val="en-US" w:eastAsia="zh-CN"/>
              </w:rPr>
            </w:pPr>
            <w:r>
              <w:rPr>
                <w:rFonts w:hint="eastAsia"/>
                <w:lang w:val="en-US" w:eastAsia="zh-CN"/>
              </w:rPr>
              <w:t>5.在经济活动中落实有关党风廉政建设责任和遵守廉洁从政规定情况；</w:t>
            </w:r>
          </w:p>
          <w:p w14:paraId="1775F46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lang w:val="en-US" w:eastAsia="zh-CN"/>
              </w:rPr>
            </w:pPr>
            <w:r>
              <w:rPr>
                <w:rFonts w:hint="eastAsia"/>
                <w:lang w:val="en-US" w:eastAsia="zh-CN"/>
              </w:rPr>
              <w:t>6.以往审计发现问题的整改情况；</w:t>
            </w:r>
          </w:p>
          <w:p w14:paraId="2AF88A5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eastAsia"/>
                <w:lang w:val="en-US" w:eastAsia="zh-CN"/>
              </w:rPr>
              <w:t>7.其他需要审计的内容。</w:t>
            </w:r>
          </w:p>
          <w:p w14:paraId="423C90E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（三）采购标的数量：采购技术服务1项。</w:t>
            </w:r>
          </w:p>
          <w:p w14:paraId="0FD3D05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（四）工作质量控制要求：①严格按照《行政事业单位内部控制规范（试行）》（财会〔2012〕21号）、《广西壮族自治区内部审计工作规定》（广西壮族自治区人民政府令第138号）、</w:t>
            </w:r>
            <w:r>
              <w:rPr>
                <w:rFonts w:hint="eastAsia"/>
                <w:lang w:val="en-US" w:eastAsia="zh-CN"/>
              </w:rPr>
              <w:t>中央审计委员会审计署关于《进一步规范经济责任审计工作有关事项》的通知、《党政主要领导干部和国有企事业单位主要领导人员经济责任审计规定》（中办发〔2019〕45号）</w:t>
            </w:r>
            <w:r>
              <w:rPr>
                <w:rFonts w:hint="default"/>
                <w:lang w:val="en-US" w:eastAsia="zh-CN"/>
              </w:rPr>
              <w:t>等相关法律法规及技术规范开展工作，提交成果经采购人验收备案；②供应商所提供的服务、服务质量及服务内容必须与合同、招标文件（采购文件）、响应文件及承诺相一致。需无条件配合采购方完成所有外部质量控制工作及满足外部质量控制要求。</w:t>
            </w:r>
          </w:p>
          <w:p w14:paraId="536BF7E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（五）数据资料归属及保管</w:t>
            </w:r>
            <w:r>
              <w:rPr>
                <w:rFonts w:hint="eastAsia"/>
                <w:lang w:val="en-US" w:eastAsia="zh-CN"/>
              </w:rPr>
              <w:t>。</w:t>
            </w:r>
          </w:p>
          <w:p w14:paraId="225BBEE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本项目所形成的数据和报告归</w:t>
            </w:r>
            <w:r>
              <w:rPr>
                <w:rFonts w:hint="eastAsia"/>
                <w:lang w:val="en-US" w:eastAsia="zh-CN"/>
              </w:rPr>
              <w:t>我厅</w:t>
            </w:r>
            <w:r>
              <w:rPr>
                <w:rFonts w:hint="default"/>
                <w:lang w:val="en-US" w:eastAsia="zh-CN"/>
              </w:rPr>
              <w:t>所有。未经</w:t>
            </w:r>
            <w:r>
              <w:rPr>
                <w:rFonts w:hint="eastAsia"/>
                <w:lang w:val="en-US" w:eastAsia="zh-CN"/>
              </w:rPr>
              <w:t>我厅</w:t>
            </w:r>
            <w:r>
              <w:rPr>
                <w:rFonts w:hint="default"/>
                <w:lang w:val="en-US" w:eastAsia="zh-CN"/>
              </w:rPr>
              <w:t>授权，不得将数据和报告等发送给任何第三方，严格执行项目实施过程中产生的数据和报告等资料保密管理。</w:t>
            </w:r>
          </w:p>
          <w:p w14:paraId="3D039C4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lang w:val="en-US" w:eastAsia="zh-CN"/>
              </w:rPr>
            </w:pPr>
            <w:r>
              <w:rPr>
                <w:rFonts w:hint="default"/>
                <w:lang w:val="en-US" w:eastAsia="zh-CN"/>
              </w:rPr>
              <w:t>（六）成果提交内容</w:t>
            </w:r>
            <w:r>
              <w:rPr>
                <w:rFonts w:hint="eastAsia"/>
                <w:lang w:val="en-US" w:eastAsia="zh-CN"/>
              </w:rPr>
              <w:t>。</w:t>
            </w:r>
          </w:p>
          <w:p w14:paraId="67DF6DC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lang w:val="en-US" w:eastAsia="zh-CN"/>
              </w:rPr>
            </w:pPr>
            <w:r>
              <w:rPr>
                <w:rFonts w:hint="eastAsia"/>
                <w:lang w:val="en-US" w:eastAsia="zh-CN"/>
              </w:rPr>
              <w:t>1.财务收支审计：（1）审计报告：包括审计范围、依据、情况、发现的问题及整改建议。（2）报表及说明：经审计的报表、说明、分析报告等。（3）问题清单：逐项列示财务收支中的违规、不合规或风险点（如虚列支出、收入不入账等）。（4）审计证据：支持审计结论的凭证、合同、银行对账单等复印件。（5）管理建议书：针对内控缺陷提出的改进建议（如审批流程优化、账务处理规范等）。（6）被审计单位反馈意见：对问题的说明及整改承诺。</w:t>
            </w:r>
          </w:p>
          <w:p w14:paraId="451C03B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lang w:val="en-US" w:eastAsia="zh-CN"/>
              </w:rPr>
            </w:pPr>
            <w:r>
              <w:rPr>
                <w:rFonts w:hint="eastAsia"/>
                <w:lang w:val="en-US" w:eastAsia="zh-CN"/>
              </w:rPr>
              <w:t>2.经济责任审计：（1）审计报告：被审计人职责范围及任职期间、履职情况；重大经济决策执行情况（如投资、大额资金使用、其他重大事项等）；财务收支、资产负债的真实性；预算执行情况、内控执行情况及廉政问题等；责任界定（直接责任或领导责任）；建议。（2）问题证据：如违规决策会议记录、超权限审批文件等。（3）整改建议：针对问题提出追责、制度完善等建议。（4）被审计人述职报告及反馈意见：其本人对审计结果的申辩说明及相关材料。</w:t>
            </w:r>
          </w:p>
          <w:p w14:paraId="2B4FCBB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pPr>
            <w:r>
              <w:rPr>
                <w:rFonts w:hint="eastAsia"/>
                <w:lang w:val="en-US" w:eastAsia="zh-CN"/>
              </w:rPr>
              <w:t>3.</w:t>
            </w:r>
            <w:r>
              <w:rPr>
                <w:rFonts w:hint="default"/>
                <w:lang w:val="en-US" w:eastAsia="zh-CN"/>
              </w:rPr>
              <w:t>完成协议期间服务成果</w:t>
            </w:r>
            <w:r>
              <w:rPr>
                <w:rFonts w:hint="eastAsia"/>
                <w:lang w:val="en-US" w:eastAsia="zh-CN"/>
              </w:rPr>
              <w:t>相关审计</w:t>
            </w:r>
            <w:r>
              <w:rPr>
                <w:rFonts w:hint="default"/>
                <w:lang w:val="en-US" w:eastAsia="zh-CN"/>
              </w:rPr>
              <w:t>报告。</w:t>
            </w:r>
          </w:p>
        </w:tc>
      </w:tr>
      <w:tr w14:paraId="37CA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81" w:type="dxa"/>
            <w:vAlign w:val="center"/>
          </w:tcPr>
          <w:p w14:paraId="22D521F6">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ascii="宋体" w:hAnsi="宋体"/>
                <w:color w:val="auto"/>
                <w:szCs w:val="21"/>
              </w:rPr>
            </w:pPr>
            <w:r>
              <w:rPr>
                <w:rFonts w:hint="eastAsia" w:ascii="宋体" w:hAnsi="宋体"/>
                <w:color w:val="auto"/>
                <w:szCs w:val="21"/>
              </w:rPr>
              <w:t>商商务条款</w:t>
            </w:r>
          </w:p>
          <w:p w14:paraId="3EE81BF6">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ascii="宋体" w:hAnsi="宋体" w:cs="宋体"/>
                <w:color w:val="auto"/>
                <w:kern w:val="0"/>
                <w:szCs w:val="21"/>
              </w:rPr>
            </w:pPr>
            <w:r>
              <w:rPr>
                <w:rFonts w:hint="eastAsia" w:ascii="宋体" w:hAnsi="宋体"/>
                <w:color w:val="auto"/>
                <w:szCs w:val="21"/>
              </w:rPr>
              <w:t>款</w:t>
            </w:r>
          </w:p>
        </w:tc>
        <w:tc>
          <w:tcPr>
            <w:tcW w:w="9166" w:type="dxa"/>
            <w:gridSpan w:val="3"/>
            <w:vAlign w:val="center"/>
          </w:tcPr>
          <w:p w14:paraId="058AB31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color w:val="auto"/>
                <w:kern w:val="0"/>
                <w:szCs w:val="21"/>
                <w:highlight w:val="none"/>
                <w:u w:val="none"/>
              </w:rPr>
            </w:pPr>
            <w:r>
              <w:rPr>
                <w:rFonts w:hint="eastAsia" w:ascii="宋体" w:hAnsi="宋体"/>
                <w:color w:val="auto"/>
                <w:kern w:val="0"/>
                <w:szCs w:val="21"/>
                <w:highlight w:val="none"/>
              </w:rPr>
              <w:t>一、合同签订期：</w:t>
            </w:r>
            <w:r>
              <w:rPr>
                <w:rFonts w:hint="eastAsia" w:ascii="宋体" w:hAnsi="宋体"/>
                <w:color w:val="auto"/>
                <w:kern w:val="0"/>
                <w:szCs w:val="21"/>
                <w:highlight w:val="none"/>
                <w:u w:val="none"/>
                <w:lang w:eastAsia="zh-CN"/>
              </w:rPr>
              <w:t>自</w:t>
            </w:r>
            <w:r>
              <w:rPr>
                <w:rFonts w:hint="eastAsia" w:ascii="宋体" w:hAnsi="宋体" w:eastAsia="宋体" w:cs="宋体"/>
                <w:b w:val="0"/>
                <w:color w:val="auto"/>
                <w:kern w:val="0"/>
                <w:sz w:val="21"/>
                <w:szCs w:val="21"/>
                <w:highlight w:val="none"/>
                <w:u w:val="none"/>
              </w:rPr>
              <w:t>成交通知书发出之日</w:t>
            </w:r>
            <w:r>
              <w:rPr>
                <w:rFonts w:hint="eastAsia" w:ascii="宋体" w:hAnsi="宋体" w:cs="宋体"/>
                <w:b w:val="0"/>
                <w:color w:val="auto"/>
                <w:kern w:val="0"/>
                <w:sz w:val="21"/>
                <w:szCs w:val="21"/>
                <w:highlight w:val="none"/>
                <w:u w:val="none"/>
                <w:lang w:val="en-US" w:eastAsia="zh-CN"/>
              </w:rPr>
              <w:t>25</w:t>
            </w:r>
            <w:r>
              <w:rPr>
                <w:rFonts w:hint="eastAsia" w:ascii="宋体" w:hAnsi="宋体" w:eastAsia="宋体" w:cs="宋体"/>
                <w:b w:val="0"/>
                <w:color w:val="auto"/>
                <w:kern w:val="0"/>
                <w:sz w:val="21"/>
                <w:szCs w:val="21"/>
                <w:highlight w:val="none"/>
                <w:u w:val="none"/>
              </w:rPr>
              <w:t>日内</w:t>
            </w:r>
            <w:r>
              <w:rPr>
                <w:rFonts w:ascii="宋体" w:hAnsi="宋体"/>
                <w:color w:val="auto"/>
                <w:kern w:val="0"/>
                <w:szCs w:val="21"/>
                <w:highlight w:val="none"/>
                <w:u w:val="none"/>
              </w:rPr>
              <w:t>。</w:t>
            </w:r>
          </w:p>
          <w:p w14:paraId="283B08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b w:val="0"/>
                <w:color w:val="auto"/>
                <w:sz w:val="21"/>
                <w:szCs w:val="21"/>
                <w:highlight w:val="none"/>
                <w:lang w:eastAsia="zh-CN"/>
              </w:rPr>
              <w:t>服务期限</w:t>
            </w:r>
            <w:r>
              <w:rPr>
                <w:rFonts w:hint="eastAsia" w:ascii="宋体" w:hAnsi="宋体"/>
                <w:color w:val="auto"/>
                <w:kern w:val="0"/>
                <w:szCs w:val="21"/>
                <w:highlight w:val="none"/>
              </w:rPr>
              <w:t>：项目计划于</w:t>
            </w:r>
            <w:r>
              <w:rPr>
                <w:rFonts w:hint="eastAsia" w:ascii="宋体" w:hAnsi="宋体"/>
                <w:color w:val="auto"/>
                <w:kern w:val="0"/>
                <w:szCs w:val="21"/>
                <w:highlight w:val="none"/>
                <w:lang w:eastAsia="zh-CN"/>
              </w:rPr>
              <w:t>签合同之日起</w:t>
            </w:r>
            <w:r>
              <w:rPr>
                <w:rFonts w:hint="eastAsia" w:ascii="宋体" w:hAnsi="宋体"/>
                <w:color w:val="auto"/>
                <w:kern w:val="0"/>
                <w:szCs w:val="21"/>
                <w:highlight w:val="none"/>
              </w:rPr>
              <w:t>开始工作，至2025年12月</w:t>
            </w:r>
            <w:r>
              <w:rPr>
                <w:rFonts w:hint="eastAsia" w:ascii="宋体" w:hAnsi="宋体"/>
                <w:color w:val="auto"/>
                <w:kern w:val="0"/>
                <w:szCs w:val="21"/>
                <w:highlight w:val="none"/>
                <w:lang w:val="en-US" w:eastAsia="zh-CN"/>
              </w:rPr>
              <w:t>1日前</w:t>
            </w:r>
            <w:r>
              <w:rPr>
                <w:rFonts w:hint="eastAsia" w:ascii="宋体" w:hAnsi="宋体"/>
                <w:color w:val="auto"/>
                <w:kern w:val="0"/>
                <w:szCs w:val="21"/>
                <w:highlight w:val="none"/>
              </w:rPr>
              <w:t>完成项目的全部工作任务</w:t>
            </w:r>
            <w:r>
              <w:rPr>
                <w:rFonts w:hint="eastAsia" w:ascii="宋体" w:hAnsi="宋体"/>
                <w:color w:val="auto"/>
                <w:kern w:val="0"/>
                <w:szCs w:val="21"/>
                <w:highlight w:val="none"/>
                <w:lang w:val="en-US" w:eastAsia="zh-CN"/>
              </w:rPr>
              <w:t>，组织项目验收</w:t>
            </w:r>
            <w:r>
              <w:rPr>
                <w:rFonts w:hint="eastAsia" w:ascii="宋体" w:hAnsi="宋体"/>
                <w:color w:val="auto"/>
                <w:kern w:val="0"/>
                <w:szCs w:val="21"/>
                <w:highlight w:val="none"/>
              </w:rPr>
              <w:t>并验收合格。</w:t>
            </w:r>
          </w:p>
          <w:p w14:paraId="3D94A4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olor w:val="auto"/>
                <w:kern w:val="0"/>
                <w:szCs w:val="21"/>
                <w:highlight w:val="none"/>
                <w:u w:val="none"/>
                <w:lang w:eastAsia="zh-CN"/>
              </w:rPr>
            </w:pPr>
            <w:r>
              <w:rPr>
                <w:rFonts w:hint="eastAsia" w:ascii="宋体" w:hAnsi="宋体"/>
                <w:color w:val="auto"/>
                <w:kern w:val="0"/>
                <w:szCs w:val="21"/>
                <w:highlight w:val="none"/>
              </w:rPr>
              <w:t>★三、提交服务成果地点：</w:t>
            </w:r>
            <w:r>
              <w:rPr>
                <w:rFonts w:hint="eastAsia" w:ascii="宋体" w:hAnsi="宋体"/>
                <w:color w:val="auto"/>
                <w:kern w:val="0"/>
                <w:szCs w:val="21"/>
                <w:highlight w:val="none"/>
                <w:u w:val="none"/>
              </w:rPr>
              <w:t>广西区内指定地点</w:t>
            </w:r>
            <w:r>
              <w:rPr>
                <w:rFonts w:hint="eastAsia" w:ascii="宋体" w:hAnsi="宋体"/>
                <w:color w:val="auto"/>
                <w:kern w:val="0"/>
                <w:szCs w:val="21"/>
                <w:highlight w:val="none"/>
                <w:u w:val="none"/>
                <w:lang w:eastAsia="zh-CN"/>
              </w:rPr>
              <w:t>。</w:t>
            </w:r>
          </w:p>
          <w:p w14:paraId="3EDC97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olor w:val="auto"/>
                <w:kern w:val="0"/>
                <w:szCs w:val="21"/>
                <w:highlight w:val="none"/>
                <w:u w:val="none"/>
                <w:lang w:eastAsia="zh-CN"/>
              </w:rPr>
            </w:pPr>
            <w:r>
              <w:rPr>
                <w:rFonts w:hint="eastAsia" w:ascii="宋体" w:hAnsi="宋体"/>
                <w:color w:val="auto"/>
                <w:kern w:val="0"/>
                <w:szCs w:val="21"/>
                <w:highlight w:val="none"/>
                <w:u w:val="none"/>
                <w:lang w:eastAsia="zh-CN"/>
              </w:rPr>
              <w:t>四、成交供应商须切实按竞争性磋商采购文件要求，履行各项服务承诺，保证服务的质量。</w:t>
            </w:r>
          </w:p>
          <w:p w14:paraId="7AAE42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Times New Roman"/>
                <w:b w:val="0"/>
                <w:color w:val="auto"/>
                <w:kern w:val="0"/>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eastAsia="zh-CN"/>
              </w:rPr>
              <w:t>五</w:t>
            </w:r>
            <w:r>
              <w:rPr>
                <w:rFonts w:hint="eastAsia" w:ascii="宋体" w:hAnsi="宋体"/>
                <w:color w:val="auto"/>
                <w:szCs w:val="21"/>
                <w:highlight w:val="none"/>
              </w:rPr>
              <w:t>、报</w:t>
            </w:r>
            <w:r>
              <w:rPr>
                <w:rFonts w:hint="eastAsia" w:ascii="宋体" w:hAnsi="宋体" w:eastAsia="宋体" w:cs="Times New Roman"/>
                <w:b w:val="0"/>
                <w:color w:val="auto"/>
                <w:kern w:val="0"/>
                <w:szCs w:val="21"/>
                <w:highlight w:val="none"/>
                <w:lang w:val="en-US" w:eastAsia="zh-CN"/>
              </w:rPr>
              <w:t>价必须含以下部分，包括：</w:t>
            </w:r>
          </w:p>
          <w:p w14:paraId="455651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eastAsia="宋体" w:cs="Times New Roman"/>
                <w:b w:val="0"/>
                <w:color w:val="auto"/>
                <w:kern w:val="0"/>
                <w:szCs w:val="21"/>
                <w:highlight w:val="none"/>
                <w:lang w:val="en-US" w:eastAsia="zh-CN"/>
              </w:rPr>
              <w:t>本项目实行总价包干，报价必须含以下部分，包括：</w:t>
            </w:r>
          </w:p>
          <w:p w14:paraId="0F20E6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eastAsia="宋体" w:cs="Times New Roman"/>
                <w:b w:val="0"/>
                <w:color w:val="auto"/>
                <w:kern w:val="0"/>
                <w:szCs w:val="21"/>
                <w:highlight w:val="none"/>
                <w:lang w:val="en-US" w:eastAsia="zh-CN"/>
              </w:rPr>
              <w:t>1.服务的价格，包括项目数据整理、技术报告编写、报表填报、审核以及数据库建设等工作。</w:t>
            </w:r>
          </w:p>
          <w:p w14:paraId="4F83C8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eastAsia="宋体" w:cs="Times New Roman"/>
                <w:b w:val="0"/>
                <w:color w:val="auto"/>
                <w:kern w:val="0"/>
                <w:szCs w:val="21"/>
                <w:highlight w:val="none"/>
                <w:lang w:val="en-US" w:eastAsia="zh-CN"/>
              </w:rPr>
              <w:t>2.绩效评价报告需根据采购人要求进行排版、印刷、装订，并送货上门；</w:t>
            </w:r>
          </w:p>
          <w:p w14:paraId="68ABC2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eastAsia="宋体" w:cs="Times New Roman"/>
                <w:b w:val="0"/>
                <w:color w:val="auto"/>
                <w:kern w:val="0"/>
                <w:szCs w:val="21"/>
                <w:highlight w:val="none"/>
                <w:lang w:val="en-US" w:eastAsia="zh-CN"/>
              </w:rPr>
              <w:t>3.采购人如果发现绩效评价报告的内容、质量、相关要求与合同不符，成交供应商应负责免费修改，直至采购人验收合格止；</w:t>
            </w:r>
          </w:p>
          <w:p w14:paraId="6318EB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eastAsia="宋体" w:cs="Times New Roman"/>
                <w:b w:val="0"/>
                <w:color w:val="auto"/>
                <w:kern w:val="0"/>
                <w:szCs w:val="21"/>
                <w:highlight w:val="none"/>
                <w:lang w:val="en-US" w:eastAsia="zh-CN"/>
              </w:rPr>
              <w:t>4.成交供应商在接到采购人通知后24小时内予以答复。</w:t>
            </w:r>
          </w:p>
          <w:p w14:paraId="3D100D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eastAsia="宋体" w:cs="Times New Roman"/>
                <w:b w:val="0"/>
                <w:color w:val="auto"/>
                <w:kern w:val="0"/>
                <w:szCs w:val="21"/>
                <w:highlight w:val="none"/>
                <w:lang w:val="en-US" w:eastAsia="zh-CN"/>
              </w:rPr>
              <w:t>5.其他：包括技术支持、售后服务、差旅费、劳务费、检测费、交通差旅费、通讯费、资料印刷费、咨询费、编制业务等所有为完成本项目所发生的相关费用和各项税金及由于市场价格波动增加的费用，以及不可预见费等全部费用，采购人不再支付任何费用。</w:t>
            </w:r>
          </w:p>
          <w:p w14:paraId="59AA36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eastAsia="宋体" w:cs="Times New Roman"/>
                <w:b w:val="0"/>
                <w:color w:val="auto"/>
                <w:kern w:val="0"/>
                <w:szCs w:val="21"/>
                <w:highlight w:val="none"/>
                <w:lang w:val="en-US" w:eastAsia="zh-CN"/>
              </w:rPr>
              <w:t>采购人不能接受投标人的恶意低价的竞争。投标人报价明显低于其他通过符合性审查投标人报价，有可能影响产品质量或者不能诚信履约的，评标委员会应当要求其在评标现场合理的时间内提供书面说明；投标人不能证明其报价合理性的，评标委员会应当将其作为无效投标处理。</w:t>
            </w:r>
          </w:p>
          <w:p w14:paraId="10A61AE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Times New Roman"/>
                <w:b w:val="0"/>
                <w:color w:val="auto"/>
                <w:kern w:val="0"/>
                <w:szCs w:val="21"/>
                <w:highlight w:val="none"/>
                <w:lang w:val="en-US" w:eastAsia="zh-CN"/>
              </w:rPr>
            </w:pPr>
            <w:r>
              <w:rPr>
                <w:rFonts w:hint="eastAsia" w:ascii="宋体" w:hAnsi="宋体" w:eastAsia="宋体" w:cs="Times New Roman"/>
                <w:b w:val="0"/>
                <w:color w:val="auto"/>
                <w:kern w:val="0"/>
                <w:szCs w:val="21"/>
                <w:highlight w:val="none"/>
                <w:lang w:val="en-US" w:eastAsia="zh-CN"/>
              </w:rPr>
              <w:t>★</w:t>
            </w:r>
            <w:r>
              <w:rPr>
                <w:rFonts w:hint="eastAsia" w:ascii="宋体" w:hAnsi="宋体" w:cs="Times New Roman"/>
                <w:b w:val="0"/>
                <w:color w:val="auto"/>
                <w:kern w:val="0"/>
                <w:szCs w:val="21"/>
                <w:highlight w:val="none"/>
                <w:lang w:val="en-US" w:eastAsia="zh-CN"/>
              </w:rPr>
              <w:t>六</w:t>
            </w:r>
            <w:r>
              <w:rPr>
                <w:rFonts w:hint="default" w:ascii="宋体" w:hAnsi="宋体" w:eastAsia="宋体" w:cs="Times New Roman"/>
                <w:b w:val="0"/>
                <w:color w:val="auto"/>
                <w:kern w:val="0"/>
                <w:szCs w:val="21"/>
                <w:highlight w:val="none"/>
                <w:lang w:val="en-US" w:eastAsia="zh-CN"/>
              </w:rPr>
              <w:t>、付款方式：</w:t>
            </w:r>
          </w:p>
          <w:p w14:paraId="55B947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eastAsia="宋体" w:cs="Times New Roman"/>
                <w:b w:val="0"/>
                <w:color w:val="auto"/>
                <w:kern w:val="0"/>
                <w:szCs w:val="21"/>
                <w:highlight w:val="none"/>
                <w:lang w:val="en-US" w:eastAsia="zh-CN"/>
              </w:rPr>
              <w:t>第一期：签订合同后10个工作日内，采购人向成交供应商支付合同金额的50%作为开展项目经费；</w:t>
            </w:r>
          </w:p>
          <w:p w14:paraId="5B2E75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eastAsia="宋体" w:cs="Times New Roman"/>
                <w:b w:val="0"/>
                <w:color w:val="auto"/>
                <w:kern w:val="0"/>
                <w:szCs w:val="21"/>
                <w:highlight w:val="none"/>
                <w:lang w:val="en-US" w:eastAsia="zh-CN"/>
              </w:rPr>
              <w:t>第二期：成交供应商按要求完成全部项目且验收合格后，采购人在10个工作日内一次性向成交供应商付清剩余应付合同款项（即合同金额的50%）。</w:t>
            </w:r>
          </w:p>
          <w:p w14:paraId="64C13B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eastAsia="宋体" w:cs="Times New Roman"/>
                <w:b w:val="0"/>
                <w:color w:val="auto"/>
                <w:kern w:val="0"/>
                <w:szCs w:val="21"/>
                <w:highlight w:val="none"/>
                <w:lang w:val="en-US" w:eastAsia="zh-CN"/>
              </w:rPr>
              <w:t>注：采购人支付每笔合同款前，成交供应商必须提供相应数额的有效发票。</w:t>
            </w:r>
          </w:p>
          <w:p w14:paraId="0AAC72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s="Times New Roman"/>
                <w:b w:val="0"/>
                <w:color w:val="auto"/>
                <w:kern w:val="0"/>
                <w:szCs w:val="21"/>
                <w:highlight w:val="none"/>
                <w:lang w:val="en-US" w:eastAsia="zh-CN"/>
              </w:rPr>
            </w:pPr>
            <w:r>
              <w:rPr>
                <w:rFonts w:hint="eastAsia" w:ascii="宋体" w:hAnsi="宋体" w:cs="Times New Roman"/>
                <w:b w:val="0"/>
                <w:color w:val="auto"/>
                <w:kern w:val="0"/>
                <w:szCs w:val="21"/>
                <w:highlight w:val="none"/>
                <w:lang w:val="en-US" w:eastAsia="zh-CN"/>
              </w:rPr>
              <w:t>七、售后服务</w:t>
            </w:r>
          </w:p>
          <w:p w14:paraId="0B39C5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s="Times New Roman"/>
                <w:b w:val="0"/>
                <w:color w:val="auto"/>
                <w:kern w:val="0"/>
                <w:szCs w:val="21"/>
                <w:highlight w:val="none"/>
                <w:lang w:val="en-US" w:eastAsia="zh-CN"/>
              </w:rPr>
            </w:pPr>
            <w:r>
              <w:rPr>
                <w:rFonts w:hint="eastAsia" w:ascii="宋体" w:hAnsi="宋体" w:cs="Times New Roman"/>
                <w:b w:val="0"/>
                <w:color w:val="auto"/>
                <w:kern w:val="0"/>
                <w:szCs w:val="21"/>
                <w:highlight w:val="none"/>
                <w:lang w:val="en-US" w:eastAsia="zh-CN"/>
              </w:rPr>
              <w:t>1.处理问题响应时间：成交供应商确保提供7×24小时的电话支持服务，需在接到采购人通知30分钟内响应，通过电话、短信、即时通讯工具、电子邮件等远程方式实时解决各种问题。如远程方式无法实时解决问题，成交供应商需在2小时内到达指定地点进行处理；紧急情况须30分钟内到达指定地点进行处理。</w:t>
            </w:r>
          </w:p>
          <w:p w14:paraId="3C4F80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cs="Times New Roman"/>
                <w:b w:val="0"/>
                <w:color w:val="auto"/>
                <w:kern w:val="0"/>
                <w:szCs w:val="21"/>
                <w:highlight w:val="none"/>
                <w:lang w:val="en-US" w:eastAsia="zh-CN"/>
              </w:rPr>
              <w:t>2.成交供应商在无不可抗力因素下不能按期完成合同约定内容，采购人有权追究成交供应商的经济责任，有权终止合同。</w:t>
            </w:r>
          </w:p>
          <w:p w14:paraId="492714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 w:val="0"/>
                <w:color w:val="auto"/>
                <w:kern w:val="0"/>
                <w:szCs w:val="21"/>
                <w:highlight w:val="none"/>
                <w:lang w:val="en-US" w:eastAsia="zh-CN"/>
              </w:rPr>
            </w:pPr>
            <w:r>
              <w:rPr>
                <w:rFonts w:hint="eastAsia" w:ascii="宋体" w:hAnsi="宋体" w:cs="Times New Roman"/>
                <w:b w:val="0"/>
                <w:color w:val="auto"/>
                <w:kern w:val="0"/>
                <w:szCs w:val="21"/>
                <w:highlight w:val="none"/>
                <w:lang w:val="en-US" w:eastAsia="zh-CN"/>
              </w:rPr>
              <w:t>八</w:t>
            </w:r>
            <w:r>
              <w:rPr>
                <w:rFonts w:hint="eastAsia" w:ascii="宋体" w:hAnsi="宋体" w:eastAsia="宋体" w:cs="Times New Roman"/>
                <w:b w:val="0"/>
                <w:color w:val="auto"/>
                <w:kern w:val="0"/>
                <w:szCs w:val="21"/>
                <w:highlight w:val="none"/>
                <w:lang w:val="en-US" w:eastAsia="zh-CN"/>
              </w:rPr>
              <w:t>、其他要求</w:t>
            </w:r>
          </w:p>
          <w:p w14:paraId="56BCDEF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highlight w:val="none"/>
                <w:lang w:val="en-US" w:eastAsia="zh-CN"/>
              </w:rPr>
            </w:pPr>
            <w:r>
              <w:rPr>
                <w:rFonts w:hint="eastAsia"/>
                <w:highlight w:val="none"/>
                <w:lang w:val="en-US" w:eastAsia="zh-CN"/>
              </w:rPr>
              <w:t>1.供应商可在响应文件中提供详细的项目实施方案、售后服务承诺、拟投入人员及业绩等相关材料。成交供应商须切实按竞争性磋商文件要求，履行各项服务承诺，保证服务的质量。</w:t>
            </w:r>
          </w:p>
          <w:p w14:paraId="2969C66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highlight w:val="none"/>
                <w:lang w:val="en-US" w:eastAsia="zh-CN"/>
              </w:rPr>
            </w:pPr>
            <w:r>
              <w:rPr>
                <w:rFonts w:hint="eastAsia"/>
                <w:highlight w:val="none"/>
                <w:lang w:val="en-US" w:eastAsia="zh-CN"/>
              </w:rPr>
              <w:t>2.若投标人队伍发生重大变更导致无法按要求开展项目任务或者发生重大责任事故的，采购人有权终止委托。</w:t>
            </w:r>
          </w:p>
        </w:tc>
      </w:tr>
    </w:tbl>
    <w:p w14:paraId="74D29678">
      <w:pPr>
        <w:pStyle w:val="44"/>
        <w:keepNext w:val="0"/>
        <w:keepLines w:val="0"/>
        <w:pageBreakBefore w:val="0"/>
        <w:kinsoku/>
        <w:wordWrap/>
        <w:overflowPunct/>
        <w:topLinePunct w:val="0"/>
        <w:autoSpaceDE/>
        <w:autoSpaceDN/>
        <w:bidi w:val="0"/>
        <w:adjustRightInd/>
        <w:snapToGrid/>
        <w:spacing w:line="300" w:lineRule="exact"/>
        <w:textAlignment w:val="auto"/>
      </w:pPr>
    </w:p>
    <w:p w14:paraId="707D2B0D">
      <w:pPr>
        <w:spacing w:line="360" w:lineRule="auto"/>
        <w:ind w:firstLine="600" w:firstLineChars="250"/>
        <w:rPr>
          <w:rFonts w:ascii="宋体" w:hAnsi="宋体" w:cs="宋体"/>
          <w:sz w:val="24"/>
        </w:rPr>
      </w:pPr>
    </w:p>
    <w:bookmarkEnd w:id="9"/>
    <w:bookmarkEnd w:id="10"/>
    <w:bookmarkEnd w:id="11"/>
    <w:bookmarkEnd w:id="12"/>
    <w:bookmarkEnd w:id="13"/>
    <w:p w14:paraId="6577C2B4">
      <w:pPr>
        <w:pStyle w:val="26"/>
        <w:spacing w:line="360" w:lineRule="auto"/>
        <w:rPr>
          <w:rFonts w:ascii="宋体" w:hAnsi="宋体" w:cs="宋体"/>
        </w:rPr>
      </w:pPr>
      <w:bookmarkStart w:id="102" w:name="_Toc6548"/>
      <w:bookmarkStart w:id="103" w:name="_Toc32375"/>
      <w:bookmarkStart w:id="104" w:name="_Toc485920211"/>
      <w:bookmarkStart w:id="105" w:name="_Toc213326413"/>
      <w:bookmarkStart w:id="106" w:name="_Toc139966432"/>
      <w:bookmarkStart w:id="107" w:name="_Toc460253700"/>
      <w:bookmarkStart w:id="108" w:name="_Toc213206173"/>
      <w:bookmarkStart w:id="109" w:name="_Toc139967216"/>
      <w:bookmarkStart w:id="110" w:name="_Toc213325922"/>
      <w:r>
        <w:rPr>
          <w:rFonts w:hint="eastAsia" w:ascii="宋体" w:hAnsi="宋体" w:cs="宋体"/>
        </w:rPr>
        <w:t>第四章  响应文件格式</w:t>
      </w:r>
      <w:bookmarkEnd w:id="102"/>
      <w:bookmarkEnd w:id="103"/>
    </w:p>
    <w:p w14:paraId="5E2EE94D">
      <w:pPr>
        <w:pStyle w:val="13"/>
        <w:spacing w:line="360" w:lineRule="auto"/>
        <w:rPr>
          <w:rFonts w:hAnsi="宋体" w:cs="宋体"/>
          <w:b/>
        </w:rPr>
      </w:pPr>
      <w:r>
        <w:rPr>
          <w:rFonts w:hint="eastAsia" w:hAnsi="宋体" w:cs="宋体"/>
          <w:b/>
        </w:rPr>
        <w:t>格式1：</w:t>
      </w:r>
    </w:p>
    <w:p w14:paraId="7087ABE7">
      <w:pPr>
        <w:pStyle w:val="13"/>
        <w:spacing w:line="360" w:lineRule="auto"/>
        <w:jc w:val="center"/>
        <w:rPr>
          <w:rFonts w:hAnsi="宋体" w:cs="宋体"/>
          <w:b/>
          <w:bCs/>
          <w:sz w:val="30"/>
          <w:szCs w:val="30"/>
        </w:rPr>
      </w:pPr>
      <w:r>
        <w:rPr>
          <w:rFonts w:hint="eastAsia" w:hAnsi="宋体" w:cs="宋体"/>
          <w:b/>
          <w:bCs/>
          <w:sz w:val="30"/>
          <w:szCs w:val="30"/>
        </w:rPr>
        <w:t>响应函（格式）</w:t>
      </w:r>
    </w:p>
    <w:p w14:paraId="25C81CB6">
      <w:pPr>
        <w:pStyle w:val="13"/>
        <w:spacing w:line="360" w:lineRule="auto"/>
        <w:rPr>
          <w:rFonts w:hAnsi="宋体" w:cs="宋体"/>
          <w:sz w:val="32"/>
        </w:rPr>
      </w:pPr>
    </w:p>
    <w:p w14:paraId="1F137EAC">
      <w:pPr>
        <w:pStyle w:val="13"/>
        <w:spacing w:line="360" w:lineRule="auto"/>
        <w:ind w:firstLine="420" w:firstLineChars="200"/>
        <w:rPr>
          <w:rFonts w:hAnsi="宋体" w:cs="宋体"/>
          <w:szCs w:val="21"/>
        </w:rPr>
      </w:pPr>
      <w:r>
        <w:rPr>
          <w:rFonts w:hint="eastAsia" w:hAnsi="宋体" w:cs="宋体"/>
          <w:szCs w:val="21"/>
        </w:rPr>
        <w:t>致：</w:t>
      </w:r>
      <w:r>
        <w:rPr>
          <w:rFonts w:hint="eastAsia" w:hAnsi="宋体" w:cs="宋体"/>
          <w:szCs w:val="21"/>
          <w:u w:val="single"/>
        </w:rPr>
        <w:t xml:space="preserve">                      </w:t>
      </w:r>
      <w:r>
        <w:rPr>
          <w:rFonts w:hint="eastAsia" w:hAnsi="宋体" w:cs="宋体"/>
          <w:szCs w:val="21"/>
        </w:rPr>
        <w:t>（采购代理机构名称）</w:t>
      </w:r>
    </w:p>
    <w:p w14:paraId="760170F6">
      <w:pPr>
        <w:pStyle w:val="13"/>
        <w:spacing w:line="360" w:lineRule="auto"/>
        <w:ind w:firstLine="420" w:firstLineChars="200"/>
        <w:rPr>
          <w:rFonts w:hAnsi="宋体" w:cs="宋体"/>
          <w:szCs w:val="21"/>
        </w:rPr>
      </w:pPr>
    </w:p>
    <w:p w14:paraId="2F1E11C0">
      <w:pPr>
        <w:pStyle w:val="13"/>
        <w:spacing w:line="360" w:lineRule="auto"/>
        <w:ind w:firstLine="420" w:firstLineChars="200"/>
        <w:rPr>
          <w:rFonts w:hAnsi="宋体" w:cs="宋体"/>
          <w:szCs w:val="21"/>
        </w:rPr>
      </w:pPr>
      <w:r>
        <w:rPr>
          <w:rFonts w:hint="eastAsia" w:hAnsi="宋体" w:cs="宋体"/>
          <w:szCs w:val="21"/>
        </w:rPr>
        <w:t>我方已仔细阅读了贵方组织的项目</w:t>
      </w:r>
      <w:r>
        <w:rPr>
          <w:rFonts w:hint="eastAsia" w:hAnsi="宋体" w:cs="宋体"/>
          <w:szCs w:val="21"/>
          <w:u w:val="single"/>
        </w:rPr>
        <w:t xml:space="preserve">                </w:t>
      </w:r>
      <w:r>
        <w:rPr>
          <w:rFonts w:hint="eastAsia" w:hAnsi="宋体" w:cs="宋体"/>
          <w:szCs w:val="21"/>
        </w:rPr>
        <w:t>（项目编号：</w:t>
      </w:r>
      <w:r>
        <w:rPr>
          <w:rFonts w:hint="eastAsia" w:hAnsi="宋体" w:cs="宋体"/>
          <w:szCs w:val="21"/>
          <w:u w:val="single"/>
        </w:rPr>
        <w:t xml:space="preserve">         </w:t>
      </w:r>
      <w:r>
        <w:rPr>
          <w:rFonts w:hint="eastAsia" w:hAnsi="宋体" w:cs="宋体"/>
          <w:szCs w:val="21"/>
        </w:rPr>
        <w:t xml:space="preserve">）的竞争性磋商文件的全部内容，现正式提交下述响应文件参加贵方组织的本次活动： </w:t>
      </w:r>
    </w:p>
    <w:p w14:paraId="5F658D22">
      <w:pPr>
        <w:pStyle w:val="13"/>
        <w:spacing w:line="360" w:lineRule="auto"/>
        <w:ind w:firstLine="420" w:firstLineChars="200"/>
        <w:rPr>
          <w:rFonts w:hAnsi="宋体" w:cs="宋体"/>
          <w:szCs w:val="21"/>
        </w:rPr>
      </w:pPr>
      <w:r>
        <w:rPr>
          <w:rFonts w:hint="eastAsia" w:hAnsi="宋体" w:cs="宋体"/>
          <w:szCs w:val="21"/>
        </w:rPr>
        <w:t>一、首次报价文件正本一份，副本</w:t>
      </w:r>
      <w:r>
        <w:rPr>
          <w:rFonts w:hint="eastAsia" w:hAnsi="宋体" w:cs="宋体"/>
          <w:szCs w:val="21"/>
          <w:u w:val="single"/>
        </w:rPr>
        <w:t xml:space="preserve">   </w:t>
      </w:r>
      <w:r>
        <w:rPr>
          <w:rFonts w:hint="eastAsia" w:hAnsi="宋体" w:cs="宋体"/>
          <w:szCs w:val="21"/>
        </w:rPr>
        <w:t>份（包含按磋商供应商须知第10.1.1项要求提交的全部文件）；</w:t>
      </w:r>
    </w:p>
    <w:p w14:paraId="673AD26D">
      <w:pPr>
        <w:pStyle w:val="13"/>
        <w:spacing w:line="360" w:lineRule="auto"/>
        <w:ind w:firstLine="420" w:firstLineChars="200"/>
        <w:rPr>
          <w:rFonts w:hAnsi="宋体" w:cs="宋体"/>
          <w:szCs w:val="21"/>
        </w:rPr>
      </w:pPr>
      <w:r>
        <w:rPr>
          <w:rFonts w:hint="eastAsia" w:hAnsi="宋体" w:cs="宋体"/>
          <w:szCs w:val="21"/>
        </w:rPr>
        <w:t>二、技术文件正本一份，副本</w:t>
      </w:r>
      <w:r>
        <w:rPr>
          <w:rFonts w:hint="eastAsia" w:hAnsi="宋体" w:cs="宋体"/>
          <w:szCs w:val="21"/>
          <w:u w:val="single"/>
        </w:rPr>
        <w:t xml:space="preserve">   </w:t>
      </w:r>
      <w:r>
        <w:rPr>
          <w:rFonts w:hint="eastAsia" w:hAnsi="宋体" w:cs="宋体"/>
          <w:szCs w:val="21"/>
        </w:rPr>
        <w:t>份（包含按磋商供应商须知第10.1.2项要求提交的全部文件）；</w:t>
      </w:r>
    </w:p>
    <w:p w14:paraId="6AB3B25B">
      <w:pPr>
        <w:pStyle w:val="13"/>
        <w:spacing w:line="360" w:lineRule="auto"/>
        <w:ind w:firstLine="420" w:firstLineChars="200"/>
        <w:rPr>
          <w:rFonts w:hAnsi="宋体" w:cs="宋体"/>
          <w:szCs w:val="21"/>
        </w:rPr>
      </w:pPr>
      <w:r>
        <w:rPr>
          <w:rFonts w:hint="eastAsia" w:hAnsi="宋体" w:cs="宋体"/>
          <w:szCs w:val="21"/>
        </w:rPr>
        <w:t>三、商务文件正本一份，副本</w:t>
      </w:r>
      <w:r>
        <w:rPr>
          <w:rFonts w:hint="eastAsia" w:hAnsi="宋体" w:cs="宋体"/>
          <w:szCs w:val="21"/>
          <w:u w:val="single"/>
        </w:rPr>
        <w:t xml:space="preserve">   </w:t>
      </w:r>
      <w:r>
        <w:rPr>
          <w:rFonts w:hint="eastAsia" w:hAnsi="宋体" w:cs="宋体"/>
          <w:szCs w:val="21"/>
        </w:rPr>
        <w:t>份（包含按磋商供应商须知第10.1.3项要求提交的全部文件）。</w:t>
      </w:r>
    </w:p>
    <w:p w14:paraId="79C97CA6">
      <w:pPr>
        <w:pStyle w:val="13"/>
        <w:spacing w:line="360" w:lineRule="auto"/>
        <w:ind w:firstLine="482"/>
        <w:rPr>
          <w:rFonts w:hAnsi="宋体" w:cs="宋体"/>
          <w:szCs w:val="21"/>
        </w:rPr>
      </w:pPr>
      <w:r>
        <w:rPr>
          <w:rFonts w:hint="eastAsia" w:hAnsi="宋体" w:cs="宋体"/>
          <w:szCs w:val="21"/>
        </w:rPr>
        <w:t>据此函，签字人兹宣布：</w:t>
      </w:r>
    </w:p>
    <w:p w14:paraId="11DC98EB">
      <w:pPr>
        <w:pStyle w:val="13"/>
        <w:spacing w:line="360" w:lineRule="auto"/>
        <w:ind w:firstLine="482"/>
        <w:rPr>
          <w:rFonts w:hAnsi="宋体" w:cs="宋体"/>
          <w:szCs w:val="21"/>
        </w:rPr>
      </w:pPr>
      <w:r>
        <w:rPr>
          <w:rFonts w:hint="eastAsia" w:hAnsi="宋体" w:cs="宋体"/>
          <w:szCs w:val="21"/>
        </w:rPr>
        <w:t>1、我方愿意以</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元)的竞标总报价，服务</w:t>
      </w:r>
      <w:r>
        <w:rPr>
          <w:rFonts w:hint="eastAsia" w:ascii="宋体" w:hAnsi="宋体" w:eastAsia="宋体" w:cs="宋体"/>
          <w:color w:val="auto"/>
          <w:sz w:val="21"/>
          <w:szCs w:val="21"/>
          <w:highlight w:val="none"/>
          <w:lang w:eastAsia="zh-CN"/>
        </w:rPr>
        <w:t>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hAnsi="宋体" w:cs="宋体"/>
          <w:szCs w:val="21"/>
        </w:rPr>
        <w:t>提供本项目竞争性磋商文件第三章 “服务需求一览表”中相应的采购内容。</w:t>
      </w:r>
    </w:p>
    <w:p w14:paraId="3D29B9AE">
      <w:pPr>
        <w:pStyle w:val="13"/>
        <w:spacing w:line="360" w:lineRule="auto"/>
        <w:ind w:firstLine="482"/>
        <w:rPr>
          <w:rFonts w:hAnsi="宋体" w:cs="宋体"/>
          <w:szCs w:val="21"/>
        </w:rPr>
      </w:pPr>
      <w:r>
        <w:rPr>
          <w:rFonts w:hint="eastAsia" w:hAnsi="宋体" w:cs="宋体"/>
          <w:szCs w:val="21"/>
        </w:rPr>
        <w:t>2、我方同意自本项目竞争性磋商文件“磋商供应商须知”第15.1项规定的提交响应文件截止时间起遵循本响应函，并承诺在“磋商供应商须知”第12.1项规定的响应有效期内不修改、撤销响应文件。</w:t>
      </w:r>
    </w:p>
    <w:p w14:paraId="2A4FB9FB">
      <w:pPr>
        <w:pStyle w:val="13"/>
        <w:spacing w:line="360" w:lineRule="auto"/>
        <w:ind w:firstLine="482"/>
        <w:rPr>
          <w:rFonts w:hAnsi="宋体" w:cs="宋体"/>
          <w:szCs w:val="21"/>
        </w:rPr>
      </w:pPr>
      <w:r>
        <w:rPr>
          <w:rFonts w:hint="eastAsia" w:hAnsi="宋体" w:cs="宋体"/>
          <w:szCs w:val="21"/>
        </w:rPr>
        <w:t>3、我方在此声明，所提交的响应文件及有关资料内容完整、真实和准确。</w:t>
      </w:r>
    </w:p>
    <w:p w14:paraId="30B4DEEF">
      <w:pPr>
        <w:pStyle w:val="13"/>
        <w:spacing w:line="360" w:lineRule="auto"/>
        <w:ind w:firstLine="482"/>
        <w:rPr>
          <w:rFonts w:hAnsi="宋体" w:cs="宋体"/>
          <w:szCs w:val="21"/>
        </w:rPr>
      </w:pPr>
      <w:r>
        <w:rPr>
          <w:rFonts w:hint="eastAsia" w:hAnsi="宋体" w:cs="宋体"/>
          <w:szCs w:val="21"/>
        </w:rPr>
        <w:t>4、我方承诺已经具备《中华人民共和国政府采购法》中规定的参加采购活动的供应商应当具备的条件：</w:t>
      </w:r>
    </w:p>
    <w:p w14:paraId="422DB78B">
      <w:pPr>
        <w:pStyle w:val="13"/>
        <w:numPr>
          <w:ilvl w:val="0"/>
          <w:numId w:val="4"/>
        </w:numPr>
        <w:spacing w:line="360" w:lineRule="auto"/>
        <w:rPr>
          <w:rFonts w:hAnsi="宋体" w:cs="宋体"/>
          <w:szCs w:val="21"/>
        </w:rPr>
      </w:pPr>
      <w:r>
        <w:rPr>
          <w:rFonts w:hint="eastAsia" w:hAnsi="宋体" w:cs="宋体"/>
          <w:szCs w:val="21"/>
        </w:rPr>
        <w:t>具有独立承担民事责任的能力；</w:t>
      </w:r>
    </w:p>
    <w:p w14:paraId="0E79DCDA">
      <w:pPr>
        <w:pStyle w:val="13"/>
        <w:numPr>
          <w:ilvl w:val="0"/>
          <w:numId w:val="4"/>
        </w:numPr>
        <w:spacing w:line="360" w:lineRule="auto"/>
        <w:rPr>
          <w:rFonts w:hAnsi="宋体" w:cs="宋体"/>
          <w:szCs w:val="21"/>
        </w:rPr>
      </w:pPr>
      <w:r>
        <w:rPr>
          <w:rFonts w:hint="eastAsia" w:hAnsi="宋体" w:cs="宋体"/>
          <w:szCs w:val="21"/>
        </w:rPr>
        <w:t>具有良好的商业信誉和健全的财务会计制度；</w:t>
      </w:r>
    </w:p>
    <w:p w14:paraId="4D5E82A8">
      <w:pPr>
        <w:pStyle w:val="13"/>
        <w:numPr>
          <w:ilvl w:val="0"/>
          <w:numId w:val="4"/>
        </w:numPr>
        <w:spacing w:line="360" w:lineRule="auto"/>
        <w:rPr>
          <w:rFonts w:hAnsi="宋体" w:cs="宋体"/>
          <w:szCs w:val="21"/>
        </w:rPr>
      </w:pPr>
      <w:r>
        <w:rPr>
          <w:rFonts w:hint="eastAsia" w:hAnsi="宋体" w:cs="宋体"/>
          <w:szCs w:val="21"/>
        </w:rPr>
        <w:t>具有履行合同所必需的设备和专业技术能力；</w:t>
      </w:r>
    </w:p>
    <w:p w14:paraId="6864923F">
      <w:pPr>
        <w:pStyle w:val="13"/>
        <w:numPr>
          <w:ilvl w:val="0"/>
          <w:numId w:val="4"/>
        </w:numPr>
        <w:spacing w:line="360" w:lineRule="auto"/>
        <w:rPr>
          <w:rFonts w:hAnsi="宋体" w:cs="宋体"/>
          <w:szCs w:val="21"/>
        </w:rPr>
      </w:pPr>
      <w:r>
        <w:rPr>
          <w:rFonts w:hint="eastAsia" w:hAnsi="宋体" w:cs="宋体"/>
          <w:szCs w:val="21"/>
        </w:rPr>
        <w:t>有依法缴纳税收和社会保障资金的良好记录；</w:t>
      </w:r>
    </w:p>
    <w:p w14:paraId="2C8299E2">
      <w:pPr>
        <w:pStyle w:val="13"/>
        <w:numPr>
          <w:ilvl w:val="0"/>
          <w:numId w:val="4"/>
        </w:numPr>
        <w:spacing w:line="360" w:lineRule="auto"/>
        <w:rPr>
          <w:rFonts w:hAnsi="宋体" w:cs="宋体"/>
          <w:szCs w:val="21"/>
        </w:rPr>
      </w:pPr>
      <w:r>
        <w:rPr>
          <w:rFonts w:hint="eastAsia" w:hAnsi="宋体" w:cs="宋体"/>
          <w:szCs w:val="21"/>
        </w:rPr>
        <w:t>参加活动前三年内，在经营活动中没有重大违法记录；</w:t>
      </w:r>
    </w:p>
    <w:p w14:paraId="408FF23C">
      <w:pPr>
        <w:pStyle w:val="13"/>
        <w:numPr>
          <w:ilvl w:val="0"/>
          <w:numId w:val="4"/>
        </w:numPr>
        <w:spacing w:line="360" w:lineRule="auto"/>
        <w:rPr>
          <w:rFonts w:hAnsi="宋体" w:cs="宋体"/>
          <w:szCs w:val="21"/>
        </w:rPr>
      </w:pPr>
      <w:r>
        <w:rPr>
          <w:rFonts w:hint="eastAsia" w:hAnsi="宋体" w:cs="宋体"/>
          <w:szCs w:val="21"/>
        </w:rPr>
        <w:t>法律、行政法规规定的其他条件。</w:t>
      </w:r>
    </w:p>
    <w:p w14:paraId="7039BBDC">
      <w:pPr>
        <w:pStyle w:val="13"/>
        <w:spacing w:line="360" w:lineRule="auto"/>
        <w:ind w:firstLine="482"/>
        <w:rPr>
          <w:rFonts w:hAnsi="宋体" w:cs="宋体"/>
          <w:szCs w:val="21"/>
        </w:rPr>
      </w:pPr>
      <w:r>
        <w:rPr>
          <w:rFonts w:hint="eastAsia" w:hAnsi="宋体" w:cs="宋体"/>
          <w:szCs w:val="21"/>
        </w:rPr>
        <w:t>5、如我方成交，我方承诺在收到成交通知书后，在成交通知书规定的期限内，根据竞争性磋商采购文件、我方的响应文件及有关澄清承诺书的要求按第五章“合同条款及格式”与采购人订立书面合同，并按照合同约定承担完成合同的责任和义务。</w:t>
      </w:r>
    </w:p>
    <w:p w14:paraId="568C53C6">
      <w:pPr>
        <w:pStyle w:val="13"/>
        <w:spacing w:line="360" w:lineRule="auto"/>
        <w:ind w:firstLine="482"/>
        <w:rPr>
          <w:rFonts w:hAnsi="宋体" w:cs="宋体"/>
          <w:szCs w:val="21"/>
        </w:rPr>
      </w:pPr>
      <w:r>
        <w:rPr>
          <w:rFonts w:hint="eastAsia" w:hAnsi="宋体" w:cs="宋体"/>
          <w:szCs w:val="21"/>
        </w:rPr>
        <w:t>6、我方已详细审核竞争性磋商文件，我方知道必须放弃提出含糊不清或误解问题的权利。</w:t>
      </w:r>
    </w:p>
    <w:p w14:paraId="3720D469">
      <w:pPr>
        <w:pStyle w:val="13"/>
        <w:spacing w:line="360" w:lineRule="auto"/>
        <w:ind w:firstLine="482"/>
        <w:rPr>
          <w:rFonts w:hAnsi="宋体" w:cs="宋体"/>
          <w:szCs w:val="21"/>
        </w:rPr>
      </w:pPr>
      <w:r>
        <w:rPr>
          <w:rFonts w:hint="eastAsia" w:hAnsi="宋体" w:cs="宋体"/>
          <w:szCs w:val="21"/>
        </w:rPr>
        <w:t>7、我方承诺满足竞争性磋商文件第</w:t>
      </w:r>
      <w:r>
        <w:rPr>
          <w:rFonts w:hint="eastAsia" w:hAnsi="宋体" w:cs="宋体"/>
          <w:szCs w:val="21"/>
          <w:lang w:eastAsia="zh-CN"/>
        </w:rPr>
        <w:t>五</w:t>
      </w:r>
      <w:r>
        <w:rPr>
          <w:rFonts w:hint="eastAsia" w:hAnsi="宋体" w:cs="宋体"/>
          <w:szCs w:val="21"/>
        </w:rPr>
        <w:t>章《合同格式》中的条款，承担完成合同的责任和义务。</w:t>
      </w:r>
    </w:p>
    <w:p w14:paraId="309DDD9C">
      <w:pPr>
        <w:pStyle w:val="13"/>
        <w:spacing w:line="360" w:lineRule="auto"/>
        <w:ind w:firstLine="482"/>
        <w:rPr>
          <w:rFonts w:hAnsi="宋体" w:cs="宋体"/>
          <w:szCs w:val="21"/>
        </w:rPr>
      </w:pPr>
      <w:r>
        <w:rPr>
          <w:rFonts w:hint="eastAsia" w:hAnsi="宋体" w:cs="宋体"/>
          <w:szCs w:val="21"/>
        </w:rPr>
        <w:t>8、我方同意应贵方要求提供与本磋商有关的任何数据或资料。若贵方需要，我方愿意提供我方作出的一切承诺的证明材料。</w:t>
      </w:r>
    </w:p>
    <w:p w14:paraId="51D9DA53">
      <w:pPr>
        <w:pStyle w:val="13"/>
        <w:spacing w:line="360" w:lineRule="auto"/>
        <w:ind w:firstLine="482"/>
        <w:rPr>
          <w:rFonts w:hAnsi="宋体" w:cs="宋体"/>
          <w:szCs w:val="21"/>
        </w:rPr>
      </w:pPr>
      <w:r>
        <w:rPr>
          <w:rFonts w:hint="eastAsia" w:hAnsi="宋体" w:cs="宋体"/>
          <w:szCs w:val="21"/>
        </w:rPr>
        <w:t>9、我方完全理解贵方不一定接受响应报价最低的磋商供应商为成交供应商的行为。</w:t>
      </w:r>
    </w:p>
    <w:p w14:paraId="03B69D7C">
      <w:pPr>
        <w:pStyle w:val="13"/>
        <w:spacing w:line="360" w:lineRule="auto"/>
        <w:ind w:firstLine="482"/>
        <w:rPr>
          <w:rFonts w:hAnsi="宋体" w:cs="宋体"/>
          <w:szCs w:val="21"/>
        </w:rPr>
      </w:pPr>
      <w:r>
        <w:rPr>
          <w:rFonts w:hint="eastAsia" w:hAnsi="宋体" w:cs="宋体"/>
          <w:szCs w:val="21"/>
        </w:rPr>
        <w:t>10、我方将严格遵守《中华人民共和国政府采购法》第七十七条的规定，即供应商有下列情形之一的，处以采购金额千分之五以上千分之十以下的罚款，列入不良行为记录名单，在一至三年内禁止参加采购活动，有违法所得的，并处没收违法所得，情节严重的，由工商行政管理机关吊销营业执照；构成犯罪的，依法追究刑事责任：</w:t>
      </w:r>
    </w:p>
    <w:p w14:paraId="42CEB5D4">
      <w:pPr>
        <w:pStyle w:val="13"/>
        <w:numPr>
          <w:ilvl w:val="0"/>
          <w:numId w:val="5"/>
        </w:numPr>
        <w:spacing w:line="360" w:lineRule="auto"/>
        <w:rPr>
          <w:rFonts w:hAnsi="宋体" w:cs="宋体"/>
          <w:szCs w:val="21"/>
        </w:rPr>
      </w:pPr>
      <w:r>
        <w:rPr>
          <w:rFonts w:hint="eastAsia" w:hAnsi="宋体" w:cs="宋体"/>
          <w:szCs w:val="21"/>
        </w:rPr>
        <w:t>提供虚假材料谋取成交、成交的；</w:t>
      </w:r>
    </w:p>
    <w:p w14:paraId="496D0B61">
      <w:pPr>
        <w:pStyle w:val="13"/>
        <w:numPr>
          <w:ilvl w:val="0"/>
          <w:numId w:val="5"/>
        </w:numPr>
        <w:spacing w:line="360" w:lineRule="auto"/>
        <w:rPr>
          <w:rFonts w:hAnsi="宋体" w:cs="宋体"/>
          <w:szCs w:val="21"/>
        </w:rPr>
      </w:pPr>
      <w:r>
        <w:rPr>
          <w:rFonts w:hint="eastAsia" w:hAnsi="宋体" w:cs="宋体"/>
          <w:szCs w:val="21"/>
        </w:rPr>
        <w:t>采取不正当手段诋毁、排挤其他供应商的；</w:t>
      </w:r>
    </w:p>
    <w:p w14:paraId="4B438B56">
      <w:pPr>
        <w:pStyle w:val="13"/>
        <w:numPr>
          <w:ilvl w:val="0"/>
          <w:numId w:val="5"/>
        </w:numPr>
        <w:spacing w:line="360" w:lineRule="auto"/>
        <w:rPr>
          <w:rFonts w:hAnsi="宋体" w:cs="宋体"/>
          <w:szCs w:val="21"/>
        </w:rPr>
      </w:pPr>
      <w:r>
        <w:rPr>
          <w:rFonts w:hint="eastAsia" w:hAnsi="宋体" w:cs="宋体"/>
          <w:szCs w:val="21"/>
        </w:rPr>
        <w:t>与采购人、其他供应商或者采购代理机构恶意串通的；</w:t>
      </w:r>
    </w:p>
    <w:p w14:paraId="0E80A7A9">
      <w:pPr>
        <w:pStyle w:val="13"/>
        <w:numPr>
          <w:ilvl w:val="0"/>
          <w:numId w:val="5"/>
        </w:numPr>
        <w:spacing w:line="360" w:lineRule="auto"/>
        <w:rPr>
          <w:rFonts w:hAnsi="宋体" w:cs="宋体"/>
          <w:szCs w:val="21"/>
        </w:rPr>
      </w:pPr>
      <w:r>
        <w:rPr>
          <w:rFonts w:hint="eastAsia" w:hAnsi="宋体" w:cs="宋体"/>
          <w:szCs w:val="21"/>
        </w:rPr>
        <w:t>向采购人、采购代理机构行贿或者提供其他不正当利益的；</w:t>
      </w:r>
    </w:p>
    <w:p w14:paraId="1BCC43BF">
      <w:pPr>
        <w:pStyle w:val="13"/>
        <w:numPr>
          <w:ilvl w:val="0"/>
          <w:numId w:val="5"/>
        </w:numPr>
        <w:spacing w:line="360" w:lineRule="auto"/>
        <w:rPr>
          <w:rFonts w:hAnsi="宋体" w:cs="宋体"/>
          <w:szCs w:val="21"/>
        </w:rPr>
      </w:pPr>
      <w:r>
        <w:rPr>
          <w:rFonts w:hint="eastAsia" w:hAnsi="宋体" w:cs="宋体"/>
          <w:szCs w:val="21"/>
        </w:rPr>
        <w:t>在采购过程中与采购人进行协商磋商的；</w:t>
      </w:r>
    </w:p>
    <w:p w14:paraId="433F2410">
      <w:pPr>
        <w:pStyle w:val="13"/>
        <w:numPr>
          <w:ilvl w:val="0"/>
          <w:numId w:val="5"/>
        </w:numPr>
        <w:spacing w:line="360" w:lineRule="auto"/>
        <w:rPr>
          <w:rFonts w:hAnsi="宋体" w:cs="宋体"/>
          <w:szCs w:val="21"/>
        </w:rPr>
      </w:pPr>
      <w:r>
        <w:rPr>
          <w:rFonts w:hint="eastAsia" w:hAnsi="宋体" w:cs="宋体"/>
          <w:szCs w:val="21"/>
        </w:rPr>
        <w:t>拒绝有关部门监督检查或提供虚假情况的。</w:t>
      </w:r>
    </w:p>
    <w:p w14:paraId="4CDFA6DF">
      <w:pPr>
        <w:pStyle w:val="13"/>
        <w:spacing w:line="360" w:lineRule="auto"/>
        <w:ind w:firstLine="420"/>
        <w:rPr>
          <w:rFonts w:hAnsi="宋体" w:cs="宋体"/>
          <w:szCs w:val="21"/>
          <w:u w:val="single"/>
        </w:rPr>
      </w:pPr>
      <w:r>
        <w:rPr>
          <w:rFonts w:hint="eastAsia" w:hAnsi="宋体" w:cs="宋体"/>
          <w:szCs w:val="21"/>
        </w:rPr>
        <w:t>磋商供应商：（盖单位公章）</w:t>
      </w:r>
      <w:r>
        <w:rPr>
          <w:rFonts w:hint="eastAsia" w:hAnsi="宋体" w:cs="宋体"/>
          <w:szCs w:val="21"/>
          <w:u w:val="single"/>
        </w:rPr>
        <w:t xml:space="preserve">                                    </w:t>
      </w:r>
    </w:p>
    <w:p w14:paraId="7F7900E6">
      <w:pPr>
        <w:pStyle w:val="13"/>
        <w:spacing w:line="360" w:lineRule="auto"/>
        <w:ind w:firstLine="420"/>
        <w:rPr>
          <w:rFonts w:hAnsi="宋体" w:cs="宋体"/>
          <w:szCs w:val="21"/>
          <w:u w:val="single"/>
        </w:rPr>
      </w:pPr>
      <w:r>
        <w:rPr>
          <w:rFonts w:hint="eastAsia" w:hAnsi="宋体" w:cs="宋体"/>
          <w:szCs w:val="21"/>
        </w:rPr>
        <w:t>法定代表人或其委托代理人：（签字或盖章）</w:t>
      </w:r>
      <w:r>
        <w:rPr>
          <w:rFonts w:hint="eastAsia" w:hAnsi="宋体" w:cs="宋体"/>
          <w:szCs w:val="21"/>
          <w:u w:val="single"/>
        </w:rPr>
        <w:t xml:space="preserve">                      </w:t>
      </w:r>
    </w:p>
    <w:p w14:paraId="3D6C11F0">
      <w:pPr>
        <w:pStyle w:val="13"/>
        <w:spacing w:line="360" w:lineRule="auto"/>
        <w:ind w:firstLine="420"/>
        <w:rPr>
          <w:rFonts w:hAnsi="宋体" w:cs="宋体"/>
          <w:szCs w:val="21"/>
          <w:u w:val="single"/>
        </w:rPr>
      </w:pPr>
      <w:r>
        <w:rPr>
          <w:rFonts w:hint="eastAsia" w:hAnsi="宋体" w:cs="宋体"/>
          <w:szCs w:val="21"/>
        </w:rPr>
        <w:t>地址：</w:t>
      </w:r>
      <w:r>
        <w:rPr>
          <w:rFonts w:hint="eastAsia" w:hAnsi="宋体" w:cs="宋体"/>
          <w:szCs w:val="21"/>
          <w:u w:val="single"/>
        </w:rPr>
        <w:t xml:space="preserve">                                                         </w:t>
      </w:r>
    </w:p>
    <w:p w14:paraId="1F5B9E09">
      <w:pPr>
        <w:pStyle w:val="13"/>
        <w:spacing w:line="360" w:lineRule="auto"/>
        <w:ind w:firstLine="420"/>
        <w:rPr>
          <w:rFonts w:hAnsi="宋体" w:cs="宋体"/>
          <w:szCs w:val="21"/>
          <w:u w:val="single"/>
        </w:rPr>
      </w:pPr>
      <w:r>
        <w:rPr>
          <w:rFonts w:hint="eastAsia" w:hAnsi="宋体" w:cs="宋体"/>
          <w:szCs w:val="21"/>
        </w:rPr>
        <w:t>电话：</w:t>
      </w:r>
      <w:r>
        <w:rPr>
          <w:rFonts w:hint="eastAsia" w:hAnsi="宋体" w:cs="宋体"/>
          <w:szCs w:val="21"/>
          <w:u w:val="single"/>
        </w:rPr>
        <w:t xml:space="preserve">   （座机、手机号码）                         　　　　　　</w:t>
      </w:r>
    </w:p>
    <w:p w14:paraId="0844D7EA">
      <w:pPr>
        <w:pStyle w:val="13"/>
        <w:spacing w:line="360" w:lineRule="auto"/>
        <w:ind w:firstLine="420"/>
        <w:rPr>
          <w:rFonts w:hAnsi="宋体" w:cs="宋体"/>
          <w:szCs w:val="21"/>
        </w:rPr>
      </w:pPr>
      <w:r>
        <w:rPr>
          <w:rFonts w:hint="eastAsia" w:hAnsi="宋体" w:cs="宋体"/>
          <w:szCs w:val="21"/>
        </w:rPr>
        <w:t>传真：</w:t>
      </w:r>
      <w:r>
        <w:rPr>
          <w:rFonts w:hint="eastAsia" w:hAnsi="宋体" w:cs="宋体"/>
          <w:szCs w:val="21"/>
          <w:u w:val="single"/>
        </w:rPr>
        <w:t>　　　　　　　　　　　　　　　　　　　　　　　　　　　　</w:t>
      </w:r>
    </w:p>
    <w:p w14:paraId="544CF605">
      <w:pPr>
        <w:pStyle w:val="13"/>
        <w:spacing w:line="360" w:lineRule="auto"/>
        <w:ind w:firstLine="420"/>
        <w:rPr>
          <w:rFonts w:hAnsi="宋体" w:cs="宋体"/>
          <w:szCs w:val="21"/>
          <w:u w:val="single"/>
        </w:rPr>
      </w:pPr>
      <w:r>
        <w:rPr>
          <w:rFonts w:hint="eastAsia" w:hAnsi="宋体" w:cs="宋体"/>
          <w:szCs w:val="21"/>
        </w:rPr>
        <w:t xml:space="preserve">邮政编码： </w:t>
      </w:r>
      <w:r>
        <w:rPr>
          <w:rFonts w:hint="eastAsia" w:hAnsi="宋体" w:cs="宋体"/>
          <w:szCs w:val="21"/>
          <w:u w:val="single"/>
        </w:rPr>
        <w:t xml:space="preserve">                                                    </w:t>
      </w:r>
    </w:p>
    <w:p w14:paraId="0A1C6AD6">
      <w:pPr>
        <w:pStyle w:val="13"/>
        <w:spacing w:line="360" w:lineRule="auto"/>
        <w:ind w:firstLine="420"/>
        <w:rPr>
          <w:rFonts w:hAnsi="宋体" w:cs="宋体"/>
          <w:szCs w:val="21"/>
          <w:u w:val="single"/>
        </w:rPr>
      </w:pPr>
      <w:r>
        <w:rPr>
          <w:rFonts w:hint="eastAsia" w:hAnsi="宋体" w:cs="宋体"/>
          <w:szCs w:val="21"/>
        </w:rPr>
        <w:t>开户名称：</w:t>
      </w:r>
      <w:r>
        <w:rPr>
          <w:rFonts w:hint="eastAsia" w:hAnsi="宋体" w:cs="宋体"/>
          <w:szCs w:val="21"/>
          <w:u w:val="single"/>
        </w:rPr>
        <w:t xml:space="preserve">                                                     </w:t>
      </w:r>
    </w:p>
    <w:p w14:paraId="19838850">
      <w:pPr>
        <w:pStyle w:val="13"/>
        <w:spacing w:line="360" w:lineRule="auto"/>
        <w:ind w:firstLine="420"/>
        <w:rPr>
          <w:rFonts w:hAnsi="宋体" w:cs="宋体"/>
          <w:szCs w:val="21"/>
          <w:u w:val="single"/>
        </w:rPr>
      </w:pPr>
      <w:r>
        <w:rPr>
          <w:rFonts w:hint="eastAsia" w:hAnsi="宋体" w:cs="宋体"/>
          <w:szCs w:val="21"/>
        </w:rPr>
        <w:t>开户银行：</w:t>
      </w:r>
      <w:r>
        <w:rPr>
          <w:rFonts w:hint="eastAsia" w:hAnsi="宋体" w:cs="宋体"/>
          <w:szCs w:val="21"/>
          <w:u w:val="single"/>
        </w:rPr>
        <w:t xml:space="preserve">                                                      </w:t>
      </w:r>
    </w:p>
    <w:p w14:paraId="75B6060C">
      <w:pPr>
        <w:pStyle w:val="13"/>
        <w:spacing w:line="360" w:lineRule="auto"/>
        <w:ind w:firstLine="420"/>
        <w:rPr>
          <w:rFonts w:hAnsi="宋体" w:cs="宋体"/>
          <w:szCs w:val="21"/>
          <w:u w:val="single"/>
        </w:rPr>
      </w:pPr>
      <w:r>
        <w:rPr>
          <w:rFonts w:hint="eastAsia" w:hAnsi="宋体" w:cs="宋体"/>
          <w:szCs w:val="21"/>
        </w:rPr>
        <w:t>银行账号：</w:t>
      </w:r>
      <w:r>
        <w:rPr>
          <w:rFonts w:hint="eastAsia" w:hAnsi="宋体" w:cs="宋体"/>
          <w:szCs w:val="21"/>
          <w:u w:val="single"/>
        </w:rPr>
        <w:t xml:space="preserve">                                                     </w:t>
      </w:r>
    </w:p>
    <w:p w14:paraId="63C14847">
      <w:pPr>
        <w:pStyle w:val="13"/>
        <w:spacing w:line="360" w:lineRule="auto"/>
        <w:ind w:firstLine="5670" w:firstLineChars="2700"/>
        <w:rPr>
          <w:rFonts w:hAnsi="宋体" w:cs="宋体"/>
          <w:bCs/>
          <w:szCs w:val="21"/>
        </w:rPr>
      </w:pPr>
      <w:r>
        <w:rPr>
          <w:rFonts w:hint="eastAsia" w:hAnsi="宋体" w:cs="宋体"/>
          <w:bCs/>
          <w:szCs w:val="21"/>
        </w:rPr>
        <w:t xml:space="preserve">  年  月    日</w:t>
      </w:r>
    </w:p>
    <w:p w14:paraId="33B4558B">
      <w:pPr>
        <w:pStyle w:val="13"/>
        <w:spacing w:line="360" w:lineRule="auto"/>
        <w:rPr>
          <w:rFonts w:hAnsi="宋体" w:cs="宋体"/>
          <w:u w:val="single"/>
        </w:rPr>
      </w:pPr>
      <w:r>
        <w:rPr>
          <w:rFonts w:hint="eastAsia" w:hAnsi="宋体" w:cs="宋体"/>
          <w:b/>
        </w:rPr>
        <w:br w:type="page"/>
      </w:r>
      <w:bookmarkStart w:id="111" w:name="_Toc28795"/>
      <w:bookmarkStart w:id="112" w:name="_Toc30023"/>
      <w:bookmarkStart w:id="113" w:name="_Toc460253712"/>
      <w:bookmarkStart w:id="114" w:name="_Toc30657"/>
      <w:r>
        <w:rPr>
          <w:rFonts w:hint="eastAsia" w:hAnsi="宋体" w:cs="宋体"/>
          <w:b/>
        </w:rPr>
        <w:t>格式2：</w:t>
      </w:r>
      <w:bookmarkEnd w:id="111"/>
      <w:bookmarkEnd w:id="112"/>
      <w:bookmarkEnd w:id="113"/>
      <w:bookmarkEnd w:id="114"/>
    </w:p>
    <w:p w14:paraId="41568268">
      <w:pPr>
        <w:pStyle w:val="13"/>
        <w:spacing w:line="360" w:lineRule="auto"/>
        <w:jc w:val="center"/>
        <w:rPr>
          <w:rFonts w:hAnsi="宋体" w:cs="宋体"/>
          <w:b/>
          <w:sz w:val="32"/>
        </w:rPr>
      </w:pPr>
      <w:r>
        <w:rPr>
          <w:rFonts w:hint="eastAsia" w:hAnsi="宋体" w:cs="宋体"/>
          <w:b/>
          <w:sz w:val="32"/>
        </w:rPr>
        <w:t>响应报价表（格式）</w:t>
      </w:r>
    </w:p>
    <w:p w14:paraId="25C5287E">
      <w:pPr>
        <w:pStyle w:val="13"/>
        <w:spacing w:line="360" w:lineRule="auto"/>
        <w:rPr>
          <w:rFonts w:hAnsi="宋体" w:cs="宋体"/>
          <w:b/>
          <w:sz w:val="24"/>
          <w:szCs w:val="24"/>
        </w:rPr>
      </w:pPr>
    </w:p>
    <w:tbl>
      <w:tblPr>
        <w:tblStyle w:val="28"/>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101"/>
        <w:gridCol w:w="2491"/>
        <w:gridCol w:w="990"/>
        <w:gridCol w:w="1245"/>
        <w:gridCol w:w="1602"/>
        <w:gridCol w:w="723"/>
      </w:tblGrid>
      <w:tr w14:paraId="72E4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543" w:type="dxa"/>
            <w:vAlign w:val="center"/>
          </w:tcPr>
          <w:p w14:paraId="6BA6FBB9">
            <w:pPr>
              <w:pStyle w:val="13"/>
              <w:spacing w:line="480" w:lineRule="auto"/>
              <w:jc w:val="center"/>
              <w:rPr>
                <w:rFonts w:hAnsi="宋体" w:cs="宋体"/>
                <w:b/>
                <w:bCs/>
                <w:spacing w:val="-20"/>
                <w:szCs w:val="21"/>
              </w:rPr>
            </w:pPr>
            <w:r>
              <w:rPr>
                <w:rFonts w:hint="eastAsia" w:hAnsi="宋体" w:cs="宋体"/>
                <w:b/>
                <w:bCs/>
                <w:spacing w:val="-20"/>
                <w:szCs w:val="21"/>
              </w:rPr>
              <w:t>项号</w:t>
            </w:r>
          </w:p>
        </w:tc>
        <w:tc>
          <w:tcPr>
            <w:tcW w:w="2101" w:type="dxa"/>
            <w:vAlign w:val="center"/>
          </w:tcPr>
          <w:p w14:paraId="3419DE91">
            <w:pPr>
              <w:pStyle w:val="13"/>
              <w:spacing w:line="480" w:lineRule="auto"/>
              <w:jc w:val="center"/>
              <w:rPr>
                <w:rFonts w:hAnsi="宋体" w:cs="宋体"/>
                <w:b/>
                <w:bCs/>
                <w:spacing w:val="-20"/>
                <w:szCs w:val="21"/>
              </w:rPr>
            </w:pPr>
            <w:r>
              <w:rPr>
                <w:rFonts w:hint="eastAsia" w:hAnsi="宋体" w:cs="宋体"/>
                <w:b/>
                <w:bCs/>
                <w:spacing w:val="-20"/>
                <w:szCs w:val="21"/>
              </w:rPr>
              <w:t>服务名称</w:t>
            </w:r>
          </w:p>
        </w:tc>
        <w:tc>
          <w:tcPr>
            <w:tcW w:w="2491" w:type="dxa"/>
            <w:vAlign w:val="center"/>
          </w:tcPr>
          <w:p w14:paraId="111A75FD">
            <w:pPr>
              <w:jc w:val="center"/>
              <w:rPr>
                <w:rFonts w:hAnsi="宋体" w:cs="宋体"/>
                <w:b/>
                <w:bCs/>
                <w:spacing w:val="-20"/>
                <w:szCs w:val="21"/>
              </w:rPr>
            </w:pPr>
            <w:r>
              <w:rPr>
                <w:rFonts w:hint="eastAsia" w:ascii="宋体" w:hAnsi="Times New Roman" w:eastAsia="宋体" w:cs="Times New Roman"/>
                <w:b/>
                <w:bCs/>
                <w:color w:val="auto"/>
                <w:kern w:val="0"/>
                <w:sz w:val="21"/>
                <w:szCs w:val="20"/>
                <w:highlight w:val="none"/>
                <w:lang w:val="en-US" w:eastAsia="zh-CN" w:bidi="ar-SA"/>
              </w:rPr>
              <w:t>具体服务内容（含具体服务范围、服务标准等内容）</w:t>
            </w:r>
          </w:p>
        </w:tc>
        <w:tc>
          <w:tcPr>
            <w:tcW w:w="990" w:type="dxa"/>
            <w:vAlign w:val="center"/>
          </w:tcPr>
          <w:p w14:paraId="65A2478D">
            <w:pPr>
              <w:jc w:val="center"/>
              <w:rPr>
                <w:rFonts w:hAnsi="宋体" w:cs="宋体"/>
                <w:b/>
                <w:bCs/>
                <w:spacing w:val="-20"/>
                <w:szCs w:val="21"/>
              </w:rPr>
            </w:pPr>
            <w:r>
              <w:rPr>
                <w:rFonts w:hint="eastAsia" w:ascii="宋体" w:hAnsi="宋体" w:eastAsia="宋体" w:cs="宋体"/>
                <w:b/>
                <w:bCs/>
                <w:color w:val="auto"/>
                <w:szCs w:val="22"/>
                <w:highlight w:val="none"/>
              </w:rPr>
              <w:t>数量①</w:t>
            </w:r>
          </w:p>
        </w:tc>
        <w:tc>
          <w:tcPr>
            <w:tcW w:w="1245" w:type="dxa"/>
            <w:vAlign w:val="center"/>
          </w:tcPr>
          <w:p w14:paraId="47A48204">
            <w:pPr>
              <w:rPr>
                <w:rFonts w:hAnsi="宋体" w:cs="宋体"/>
                <w:b/>
                <w:bCs/>
                <w:szCs w:val="21"/>
              </w:rPr>
            </w:pPr>
            <w:r>
              <w:rPr>
                <w:rFonts w:hint="eastAsia" w:ascii="宋体" w:hAnsi="宋体" w:eastAsia="宋体" w:cs="宋体"/>
                <w:b/>
                <w:bCs/>
                <w:color w:val="auto"/>
                <w:szCs w:val="22"/>
                <w:highlight w:val="none"/>
              </w:rPr>
              <w:t>单价(元)②</w:t>
            </w:r>
          </w:p>
        </w:tc>
        <w:tc>
          <w:tcPr>
            <w:tcW w:w="1602" w:type="dxa"/>
            <w:vAlign w:val="center"/>
          </w:tcPr>
          <w:p w14:paraId="0211EBB5">
            <w:pP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单项合价（元）</w:t>
            </w:r>
          </w:p>
          <w:p w14:paraId="22BE3402">
            <w:pPr>
              <w:rPr>
                <w:rFonts w:hAnsi="宋体" w:cs="宋体"/>
                <w:b/>
                <w:bCs/>
                <w:szCs w:val="21"/>
              </w:rPr>
            </w:pPr>
            <w:r>
              <w:rPr>
                <w:rFonts w:hint="eastAsia" w:ascii="宋体" w:hAnsi="宋体" w:eastAsia="宋体" w:cs="宋体"/>
                <w:b/>
                <w:bCs/>
                <w:color w:val="auto"/>
                <w:szCs w:val="22"/>
                <w:highlight w:val="none"/>
              </w:rPr>
              <w:t>③＝①×②</w:t>
            </w:r>
          </w:p>
        </w:tc>
        <w:tc>
          <w:tcPr>
            <w:tcW w:w="723" w:type="dxa"/>
            <w:vAlign w:val="center"/>
          </w:tcPr>
          <w:p w14:paraId="301400D0">
            <w:pPr>
              <w:pStyle w:val="13"/>
              <w:spacing w:line="480" w:lineRule="auto"/>
              <w:jc w:val="center"/>
              <w:rPr>
                <w:rFonts w:hAnsi="宋体" w:cs="宋体"/>
                <w:b/>
                <w:bCs/>
                <w:szCs w:val="21"/>
              </w:rPr>
            </w:pPr>
            <w:r>
              <w:rPr>
                <w:rFonts w:hint="eastAsia" w:hAnsi="宋体" w:cs="宋体"/>
                <w:b/>
                <w:bCs/>
                <w:szCs w:val="21"/>
              </w:rPr>
              <w:t>备注</w:t>
            </w:r>
          </w:p>
        </w:tc>
      </w:tr>
      <w:tr w14:paraId="27E9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43" w:type="dxa"/>
            <w:vAlign w:val="center"/>
          </w:tcPr>
          <w:p w14:paraId="18BF7B92">
            <w:pPr>
              <w:spacing w:line="480" w:lineRule="auto"/>
              <w:jc w:val="center"/>
              <w:rPr>
                <w:rFonts w:ascii="宋体" w:hAnsi="宋体" w:cs="宋体"/>
                <w:szCs w:val="21"/>
              </w:rPr>
            </w:pPr>
            <w:r>
              <w:rPr>
                <w:rFonts w:hint="eastAsia" w:ascii="宋体" w:hAnsi="宋体" w:cs="宋体"/>
                <w:szCs w:val="21"/>
              </w:rPr>
              <w:t>1</w:t>
            </w:r>
          </w:p>
        </w:tc>
        <w:tc>
          <w:tcPr>
            <w:tcW w:w="2101" w:type="dxa"/>
            <w:vAlign w:val="center"/>
          </w:tcPr>
          <w:p w14:paraId="203EFC8D">
            <w:pPr>
              <w:spacing w:line="480" w:lineRule="auto"/>
              <w:jc w:val="center"/>
              <w:rPr>
                <w:rFonts w:ascii="宋体" w:hAnsi="宋体" w:cs="宋体"/>
                <w:szCs w:val="21"/>
              </w:rPr>
            </w:pPr>
          </w:p>
        </w:tc>
        <w:tc>
          <w:tcPr>
            <w:tcW w:w="2491" w:type="dxa"/>
            <w:vAlign w:val="center"/>
          </w:tcPr>
          <w:p w14:paraId="15F3F616">
            <w:pPr>
              <w:pStyle w:val="1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hAnsi="宋体" w:eastAsia="宋体" w:cs="宋体"/>
                <w:szCs w:val="21"/>
                <w:lang w:val="en-US" w:eastAsia="zh-CN"/>
              </w:rPr>
            </w:pPr>
          </w:p>
        </w:tc>
        <w:tc>
          <w:tcPr>
            <w:tcW w:w="990" w:type="dxa"/>
            <w:vAlign w:val="center"/>
          </w:tcPr>
          <w:p w14:paraId="6C86EB8F">
            <w:pPr>
              <w:jc w:val="center"/>
              <w:rPr>
                <w:rFonts w:hAnsi="宋体" w:cs="宋体"/>
                <w:szCs w:val="21"/>
              </w:rPr>
            </w:pPr>
          </w:p>
        </w:tc>
        <w:tc>
          <w:tcPr>
            <w:tcW w:w="1245" w:type="dxa"/>
            <w:vAlign w:val="center"/>
          </w:tcPr>
          <w:p w14:paraId="763AEFF5">
            <w:pPr>
              <w:pStyle w:val="13"/>
              <w:spacing w:line="480" w:lineRule="auto"/>
              <w:jc w:val="center"/>
              <w:rPr>
                <w:rFonts w:hAnsi="宋体" w:cs="宋体"/>
                <w:szCs w:val="21"/>
              </w:rPr>
            </w:pPr>
          </w:p>
        </w:tc>
        <w:tc>
          <w:tcPr>
            <w:tcW w:w="1602" w:type="dxa"/>
            <w:vAlign w:val="center"/>
          </w:tcPr>
          <w:p w14:paraId="61DD4F0F">
            <w:pPr>
              <w:pStyle w:val="13"/>
              <w:spacing w:line="480" w:lineRule="auto"/>
              <w:jc w:val="center"/>
              <w:rPr>
                <w:rFonts w:hAnsi="宋体" w:cs="宋体"/>
                <w:szCs w:val="21"/>
              </w:rPr>
            </w:pPr>
          </w:p>
        </w:tc>
        <w:tc>
          <w:tcPr>
            <w:tcW w:w="723" w:type="dxa"/>
            <w:vAlign w:val="center"/>
          </w:tcPr>
          <w:p w14:paraId="7F855623">
            <w:pPr>
              <w:pStyle w:val="13"/>
              <w:spacing w:line="480" w:lineRule="auto"/>
              <w:jc w:val="center"/>
              <w:rPr>
                <w:rFonts w:hAnsi="宋体" w:cs="宋体"/>
                <w:spacing w:val="-6"/>
                <w:szCs w:val="21"/>
              </w:rPr>
            </w:pPr>
          </w:p>
        </w:tc>
      </w:tr>
      <w:tr w14:paraId="4F36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43" w:type="dxa"/>
            <w:vAlign w:val="center"/>
          </w:tcPr>
          <w:p w14:paraId="54DA3FFF">
            <w:pPr>
              <w:spacing w:line="480" w:lineRule="auto"/>
              <w:jc w:val="center"/>
              <w:rPr>
                <w:rFonts w:ascii="宋体" w:hAnsi="宋体" w:cs="宋体"/>
                <w:szCs w:val="21"/>
              </w:rPr>
            </w:pPr>
            <w:r>
              <w:rPr>
                <w:rFonts w:hint="eastAsia" w:ascii="宋体" w:hAnsi="宋体" w:cs="宋体"/>
                <w:szCs w:val="21"/>
              </w:rPr>
              <w:t>2</w:t>
            </w:r>
          </w:p>
        </w:tc>
        <w:tc>
          <w:tcPr>
            <w:tcW w:w="2101" w:type="dxa"/>
            <w:vAlign w:val="center"/>
          </w:tcPr>
          <w:p w14:paraId="10134CB4">
            <w:pPr>
              <w:spacing w:line="480" w:lineRule="auto"/>
              <w:jc w:val="center"/>
              <w:rPr>
                <w:rFonts w:ascii="宋体" w:hAnsi="宋体" w:cs="宋体"/>
                <w:szCs w:val="21"/>
              </w:rPr>
            </w:pPr>
          </w:p>
        </w:tc>
        <w:tc>
          <w:tcPr>
            <w:tcW w:w="2491" w:type="dxa"/>
            <w:vAlign w:val="center"/>
          </w:tcPr>
          <w:p w14:paraId="72BA9A44">
            <w:pPr>
              <w:pStyle w:val="13"/>
              <w:spacing w:line="480" w:lineRule="auto"/>
              <w:jc w:val="center"/>
              <w:rPr>
                <w:rFonts w:hint="default" w:hAnsi="宋体" w:eastAsia="宋体" w:cs="宋体"/>
                <w:szCs w:val="21"/>
                <w:lang w:val="en-US" w:eastAsia="zh-CN"/>
              </w:rPr>
            </w:pPr>
          </w:p>
        </w:tc>
        <w:tc>
          <w:tcPr>
            <w:tcW w:w="990" w:type="dxa"/>
            <w:vAlign w:val="center"/>
          </w:tcPr>
          <w:p w14:paraId="69B4287F">
            <w:pPr>
              <w:jc w:val="center"/>
              <w:rPr>
                <w:rFonts w:hAnsi="宋体" w:cs="宋体"/>
                <w:szCs w:val="21"/>
              </w:rPr>
            </w:pPr>
          </w:p>
        </w:tc>
        <w:tc>
          <w:tcPr>
            <w:tcW w:w="1245" w:type="dxa"/>
            <w:vAlign w:val="center"/>
          </w:tcPr>
          <w:p w14:paraId="6EB69F2D">
            <w:pPr>
              <w:pStyle w:val="13"/>
              <w:spacing w:line="480" w:lineRule="auto"/>
              <w:jc w:val="center"/>
              <w:rPr>
                <w:rFonts w:hAnsi="宋体" w:cs="宋体"/>
                <w:szCs w:val="21"/>
              </w:rPr>
            </w:pPr>
          </w:p>
        </w:tc>
        <w:tc>
          <w:tcPr>
            <w:tcW w:w="1602" w:type="dxa"/>
            <w:vAlign w:val="center"/>
          </w:tcPr>
          <w:p w14:paraId="70CF6723">
            <w:pPr>
              <w:pStyle w:val="13"/>
              <w:spacing w:line="480" w:lineRule="auto"/>
              <w:jc w:val="center"/>
              <w:rPr>
                <w:rFonts w:hAnsi="宋体" w:cs="宋体"/>
                <w:szCs w:val="21"/>
              </w:rPr>
            </w:pPr>
          </w:p>
        </w:tc>
        <w:tc>
          <w:tcPr>
            <w:tcW w:w="723" w:type="dxa"/>
            <w:vAlign w:val="center"/>
          </w:tcPr>
          <w:p w14:paraId="22C52A56">
            <w:pPr>
              <w:pStyle w:val="13"/>
              <w:spacing w:line="480" w:lineRule="auto"/>
              <w:jc w:val="center"/>
              <w:rPr>
                <w:rFonts w:hAnsi="宋体" w:cs="宋体"/>
                <w:spacing w:val="-6"/>
                <w:szCs w:val="21"/>
              </w:rPr>
            </w:pPr>
          </w:p>
        </w:tc>
      </w:tr>
      <w:tr w14:paraId="7370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43" w:type="dxa"/>
            <w:vAlign w:val="center"/>
          </w:tcPr>
          <w:p w14:paraId="03A3BD40">
            <w:pPr>
              <w:spacing w:line="480" w:lineRule="auto"/>
              <w:jc w:val="center"/>
              <w:rPr>
                <w:rFonts w:hint="eastAsia" w:ascii="宋体" w:hAnsi="宋体" w:cs="宋体"/>
                <w:szCs w:val="21"/>
              </w:rPr>
            </w:pPr>
            <w:r>
              <w:rPr>
                <w:rFonts w:hint="eastAsia" w:ascii="宋体" w:hAnsi="宋体" w:eastAsia="宋体" w:cs="宋体"/>
                <w:color w:val="auto"/>
                <w:szCs w:val="22"/>
                <w:highlight w:val="none"/>
              </w:rPr>
              <w:t>...</w:t>
            </w:r>
          </w:p>
        </w:tc>
        <w:tc>
          <w:tcPr>
            <w:tcW w:w="2101" w:type="dxa"/>
            <w:vAlign w:val="center"/>
          </w:tcPr>
          <w:p w14:paraId="7B228F27">
            <w:pPr>
              <w:spacing w:line="480" w:lineRule="auto"/>
              <w:jc w:val="center"/>
              <w:rPr>
                <w:rFonts w:ascii="宋体" w:hAnsi="宋体" w:cs="宋体"/>
                <w:szCs w:val="21"/>
              </w:rPr>
            </w:pPr>
          </w:p>
        </w:tc>
        <w:tc>
          <w:tcPr>
            <w:tcW w:w="2491" w:type="dxa"/>
            <w:vAlign w:val="center"/>
          </w:tcPr>
          <w:p w14:paraId="690DED21">
            <w:pPr>
              <w:pStyle w:val="13"/>
              <w:spacing w:line="480" w:lineRule="auto"/>
              <w:jc w:val="center"/>
              <w:rPr>
                <w:rFonts w:hint="default" w:hAnsi="宋体" w:eastAsia="宋体" w:cs="宋体"/>
                <w:szCs w:val="21"/>
                <w:lang w:val="en-US" w:eastAsia="zh-CN"/>
              </w:rPr>
            </w:pPr>
          </w:p>
        </w:tc>
        <w:tc>
          <w:tcPr>
            <w:tcW w:w="990" w:type="dxa"/>
            <w:vAlign w:val="center"/>
          </w:tcPr>
          <w:p w14:paraId="128E6A69">
            <w:pPr>
              <w:jc w:val="center"/>
              <w:rPr>
                <w:rFonts w:hAnsi="宋体" w:cs="宋体"/>
                <w:szCs w:val="21"/>
              </w:rPr>
            </w:pPr>
          </w:p>
        </w:tc>
        <w:tc>
          <w:tcPr>
            <w:tcW w:w="1245" w:type="dxa"/>
            <w:vAlign w:val="center"/>
          </w:tcPr>
          <w:p w14:paraId="2D81230F">
            <w:pPr>
              <w:pStyle w:val="13"/>
              <w:spacing w:line="480" w:lineRule="auto"/>
              <w:jc w:val="center"/>
              <w:rPr>
                <w:rFonts w:hAnsi="宋体" w:cs="宋体"/>
                <w:szCs w:val="21"/>
              </w:rPr>
            </w:pPr>
          </w:p>
        </w:tc>
        <w:tc>
          <w:tcPr>
            <w:tcW w:w="1602" w:type="dxa"/>
            <w:vAlign w:val="center"/>
          </w:tcPr>
          <w:p w14:paraId="310CC426">
            <w:pPr>
              <w:pStyle w:val="13"/>
              <w:spacing w:line="480" w:lineRule="auto"/>
              <w:jc w:val="center"/>
              <w:rPr>
                <w:rFonts w:hAnsi="宋体" w:cs="宋体"/>
                <w:szCs w:val="21"/>
              </w:rPr>
            </w:pPr>
          </w:p>
        </w:tc>
        <w:tc>
          <w:tcPr>
            <w:tcW w:w="723" w:type="dxa"/>
            <w:vAlign w:val="center"/>
          </w:tcPr>
          <w:p w14:paraId="5030603F">
            <w:pPr>
              <w:pStyle w:val="13"/>
              <w:spacing w:line="480" w:lineRule="auto"/>
              <w:jc w:val="center"/>
              <w:rPr>
                <w:rFonts w:hAnsi="宋体" w:cs="宋体"/>
                <w:spacing w:val="-6"/>
                <w:szCs w:val="21"/>
              </w:rPr>
            </w:pPr>
          </w:p>
        </w:tc>
      </w:tr>
      <w:tr w14:paraId="3FAA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9695" w:type="dxa"/>
            <w:gridSpan w:val="7"/>
            <w:vAlign w:val="center"/>
          </w:tcPr>
          <w:p w14:paraId="0F6D3C52">
            <w:pPr>
              <w:pStyle w:val="13"/>
              <w:spacing w:line="480" w:lineRule="auto"/>
              <w:jc w:val="left"/>
              <w:rPr>
                <w:rFonts w:hint="eastAsia" w:ascii="宋体" w:hAnsi="宋体"/>
                <w:b w:val="0"/>
                <w:color w:val="auto"/>
                <w:sz w:val="21"/>
                <w:szCs w:val="21"/>
                <w:highlight w:val="none"/>
                <w:lang w:eastAsia="zh-CN"/>
              </w:rPr>
            </w:pPr>
            <w:r>
              <w:rPr>
                <w:rFonts w:hint="eastAsia" w:ascii="宋体" w:hAnsi="宋体"/>
                <w:b w:val="0"/>
                <w:color w:val="auto"/>
                <w:sz w:val="21"/>
                <w:szCs w:val="21"/>
                <w:highlight w:val="none"/>
                <w:lang w:eastAsia="zh-CN"/>
              </w:rPr>
              <w:t>服务期限：</w:t>
            </w:r>
          </w:p>
        </w:tc>
      </w:tr>
      <w:tr w14:paraId="13B4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9695" w:type="dxa"/>
            <w:gridSpan w:val="7"/>
            <w:vAlign w:val="center"/>
          </w:tcPr>
          <w:p w14:paraId="4024AE10">
            <w:pPr>
              <w:pStyle w:val="13"/>
              <w:spacing w:line="480" w:lineRule="auto"/>
              <w:rPr>
                <w:rFonts w:hint="eastAsia" w:hAnsi="宋体" w:cs="宋体"/>
                <w:szCs w:val="21"/>
              </w:rPr>
            </w:pPr>
            <w:r>
              <w:rPr>
                <w:rFonts w:hint="eastAsia" w:hAnsi="宋体" w:cs="宋体"/>
                <w:szCs w:val="21"/>
              </w:rPr>
              <w:t>磋商供应商（盖单位公章）：</w:t>
            </w:r>
          </w:p>
        </w:tc>
      </w:tr>
      <w:tr w14:paraId="6085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9695" w:type="dxa"/>
            <w:gridSpan w:val="7"/>
            <w:vAlign w:val="center"/>
          </w:tcPr>
          <w:p w14:paraId="0FE4D511">
            <w:pPr>
              <w:pStyle w:val="13"/>
              <w:spacing w:line="480" w:lineRule="auto"/>
              <w:rPr>
                <w:rFonts w:hint="eastAsia" w:hAnsi="宋体" w:cs="宋体"/>
                <w:szCs w:val="21"/>
              </w:rPr>
            </w:pPr>
            <w:r>
              <w:rPr>
                <w:rFonts w:hint="eastAsia" w:hAnsi="宋体" w:cs="宋体"/>
                <w:szCs w:val="21"/>
              </w:rPr>
              <w:t>法定代表人或其委托代理人（签字或盖章）：</w:t>
            </w:r>
          </w:p>
        </w:tc>
      </w:tr>
      <w:tr w14:paraId="6572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9695" w:type="dxa"/>
            <w:gridSpan w:val="7"/>
            <w:vAlign w:val="center"/>
          </w:tcPr>
          <w:p w14:paraId="1D44DE81">
            <w:pPr>
              <w:pStyle w:val="13"/>
              <w:spacing w:line="480" w:lineRule="auto"/>
              <w:rPr>
                <w:rFonts w:hint="eastAsia" w:hAnsi="宋体" w:cs="宋体"/>
                <w:szCs w:val="21"/>
                <w:lang w:eastAsia="zh-CN"/>
              </w:rPr>
            </w:pPr>
            <w:r>
              <w:rPr>
                <w:rFonts w:hint="eastAsia" w:hAnsi="宋体" w:cs="宋体"/>
                <w:szCs w:val="21"/>
                <w:lang w:eastAsia="zh-CN"/>
              </w:rPr>
              <w:t>日期：</w:t>
            </w:r>
            <w:r>
              <w:rPr>
                <w:rFonts w:hint="eastAsia" w:hAnsi="宋体" w:cs="宋体"/>
                <w:szCs w:val="21"/>
                <w:lang w:val="en-US" w:eastAsia="zh-CN"/>
              </w:rPr>
              <w:t xml:space="preserve">  年   月   日</w:t>
            </w:r>
          </w:p>
        </w:tc>
      </w:tr>
    </w:tbl>
    <w:p w14:paraId="11CCB3E4">
      <w:pPr>
        <w:pStyle w:val="13"/>
        <w:spacing w:line="360" w:lineRule="auto"/>
        <w:rPr>
          <w:rFonts w:hAnsi="宋体" w:cs="宋体"/>
          <w:sz w:val="24"/>
          <w:szCs w:val="24"/>
        </w:rPr>
      </w:pPr>
    </w:p>
    <w:p w14:paraId="0A37D84E">
      <w:pPr>
        <w:pStyle w:val="13"/>
        <w:spacing w:line="360" w:lineRule="auto"/>
        <w:rPr>
          <w:rFonts w:hAnsi="宋体" w:cs="宋体"/>
          <w:sz w:val="24"/>
          <w:szCs w:val="24"/>
        </w:rPr>
      </w:pPr>
    </w:p>
    <w:p w14:paraId="79C83712">
      <w:pPr>
        <w:pStyle w:val="13"/>
        <w:spacing w:line="360" w:lineRule="auto"/>
        <w:rPr>
          <w:rFonts w:hAnsi="宋体" w:cs="宋体"/>
          <w:sz w:val="24"/>
          <w:szCs w:val="24"/>
        </w:rPr>
      </w:pPr>
    </w:p>
    <w:p w14:paraId="2EA6D3EA">
      <w:pPr>
        <w:pStyle w:val="13"/>
        <w:spacing w:line="360" w:lineRule="auto"/>
        <w:rPr>
          <w:rFonts w:hAnsi="宋体" w:cs="宋体"/>
          <w:sz w:val="24"/>
          <w:szCs w:val="24"/>
        </w:rPr>
      </w:pPr>
    </w:p>
    <w:p w14:paraId="3194747C">
      <w:pPr>
        <w:pStyle w:val="13"/>
        <w:spacing w:line="360" w:lineRule="auto"/>
        <w:rPr>
          <w:rFonts w:hAnsi="宋体" w:cs="宋体"/>
          <w:sz w:val="24"/>
          <w:szCs w:val="24"/>
        </w:rPr>
      </w:pPr>
    </w:p>
    <w:p w14:paraId="1B7B41F4">
      <w:pPr>
        <w:pStyle w:val="13"/>
        <w:spacing w:line="360" w:lineRule="auto"/>
        <w:rPr>
          <w:rFonts w:hAnsi="宋体" w:cs="宋体"/>
          <w:sz w:val="24"/>
          <w:szCs w:val="24"/>
        </w:rPr>
      </w:pPr>
    </w:p>
    <w:p w14:paraId="2E281914">
      <w:pPr>
        <w:pStyle w:val="13"/>
        <w:spacing w:line="360" w:lineRule="auto"/>
        <w:rPr>
          <w:rFonts w:hAnsi="宋体" w:cs="宋体"/>
          <w:sz w:val="24"/>
          <w:szCs w:val="24"/>
        </w:rPr>
      </w:pPr>
    </w:p>
    <w:p w14:paraId="6F3C9AFA">
      <w:pPr>
        <w:pStyle w:val="13"/>
        <w:spacing w:line="360" w:lineRule="auto"/>
        <w:rPr>
          <w:rFonts w:hAnsi="宋体" w:cs="宋体"/>
          <w:sz w:val="24"/>
          <w:szCs w:val="24"/>
          <w:u w:val="single"/>
        </w:rPr>
      </w:pPr>
    </w:p>
    <w:p w14:paraId="359E135A">
      <w:pPr>
        <w:widowControl/>
        <w:spacing w:line="360" w:lineRule="auto"/>
        <w:jc w:val="left"/>
        <w:rPr>
          <w:rFonts w:ascii="宋体" w:hAnsi="宋体" w:cs="宋体"/>
          <w:b/>
        </w:rPr>
      </w:pPr>
      <w:r>
        <w:rPr>
          <w:rFonts w:hint="eastAsia" w:hAnsi="宋体" w:cs="宋体"/>
          <w:b/>
          <w:sz w:val="24"/>
          <w:szCs w:val="24"/>
        </w:rPr>
        <w:br w:type="page"/>
      </w:r>
    </w:p>
    <w:p w14:paraId="2EB7DB02">
      <w:pPr>
        <w:pStyle w:val="13"/>
        <w:spacing w:line="360" w:lineRule="auto"/>
        <w:rPr>
          <w:rFonts w:hAnsi="宋体" w:cs="宋体"/>
          <w:b/>
        </w:rPr>
      </w:pPr>
      <w:r>
        <w:rPr>
          <w:rFonts w:hint="eastAsia" w:hAnsi="宋体" w:cs="宋体"/>
          <w:b/>
        </w:rPr>
        <w:t>格式</w:t>
      </w:r>
      <w:r>
        <w:rPr>
          <w:rFonts w:hint="eastAsia" w:hAnsi="宋体" w:cs="宋体"/>
          <w:b/>
          <w:lang w:val="en-US" w:eastAsia="zh-CN"/>
        </w:rPr>
        <w:t>3</w:t>
      </w:r>
      <w:r>
        <w:rPr>
          <w:rFonts w:hint="eastAsia" w:hAnsi="宋体" w:cs="宋体"/>
          <w:b/>
        </w:rPr>
        <w:t>：</w:t>
      </w:r>
    </w:p>
    <w:p w14:paraId="4BC532C9">
      <w:pPr>
        <w:pStyle w:val="13"/>
        <w:spacing w:line="360" w:lineRule="auto"/>
        <w:jc w:val="center"/>
        <w:rPr>
          <w:rFonts w:hAnsi="宋体" w:cs="宋体"/>
          <w:b/>
          <w:bCs/>
          <w:sz w:val="30"/>
          <w:szCs w:val="30"/>
        </w:rPr>
      </w:pPr>
      <w:r>
        <w:rPr>
          <w:rFonts w:hint="eastAsia" w:hAnsi="宋体" w:cs="宋体"/>
          <w:b/>
          <w:bCs/>
          <w:sz w:val="30"/>
          <w:szCs w:val="30"/>
        </w:rPr>
        <w:t>响应服务技术</w:t>
      </w:r>
      <w:r>
        <w:rPr>
          <w:rFonts w:hint="eastAsia" w:hAnsi="宋体" w:cs="宋体"/>
          <w:b/>
          <w:bCs/>
          <w:sz w:val="30"/>
          <w:szCs w:val="30"/>
          <w:lang w:eastAsia="zh-CN"/>
        </w:rPr>
        <w:t>偏离</w:t>
      </w:r>
      <w:r>
        <w:rPr>
          <w:rFonts w:hint="eastAsia" w:hAnsi="宋体" w:cs="宋体"/>
          <w:b/>
          <w:bCs/>
          <w:sz w:val="30"/>
          <w:szCs w:val="30"/>
        </w:rPr>
        <w:t>表（格式）</w:t>
      </w:r>
    </w:p>
    <w:p w14:paraId="2A092BB8">
      <w:pPr>
        <w:spacing w:line="400" w:lineRule="exact"/>
        <w:ind w:firstLine="211" w:firstLineChars="100"/>
        <w:rPr>
          <w:rFonts w:ascii="宋体" w:hAnsi="宋体"/>
          <w:b/>
          <w:color w:val="auto"/>
          <w:szCs w:val="21"/>
          <w:highlight w:val="none"/>
          <w:u w:val="single"/>
        </w:rPr>
      </w:pPr>
      <w:r>
        <w:rPr>
          <w:rFonts w:hint="eastAsia" w:ascii="宋体" w:hAnsi="宋体"/>
          <w:b/>
          <w:color w:val="auto"/>
          <w:szCs w:val="21"/>
          <w:highlight w:val="none"/>
        </w:rPr>
        <w:t>项目编号：</w:t>
      </w:r>
      <w:r>
        <w:rPr>
          <w:rFonts w:hint="eastAsia" w:ascii="宋体" w:hAnsi="宋体"/>
          <w:b/>
          <w:color w:val="auto"/>
          <w:szCs w:val="21"/>
          <w:highlight w:val="none"/>
          <w:u w:val="single"/>
        </w:rPr>
        <w:t xml:space="preserve">                    </w:t>
      </w:r>
    </w:p>
    <w:p w14:paraId="655EC573">
      <w:pPr>
        <w:pStyle w:val="13"/>
        <w:spacing w:line="360" w:lineRule="auto"/>
        <w:ind w:firstLine="211" w:firstLineChars="100"/>
        <w:rPr>
          <w:rFonts w:hint="default" w:hAnsi="宋体" w:eastAsia="宋体" w:cs="宋体"/>
          <w:lang w:val="en-US" w:eastAsia="zh-CN"/>
        </w:rPr>
      </w:pPr>
      <w:r>
        <w:rPr>
          <w:rFonts w:hint="eastAsia" w:ascii="宋体" w:hAnsi="宋体"/>
          <w:b/>
          <w:color w:val="auto"/>
          <w:szCs w:val="21"/>
          <w:highlight w:val="none"/>
        </w:rPr>
        <w:t>项目名称：</w:t>
      </w:r>
      <w:r>
        <w:rPr>
          <w:rFonts w:hint="eastAsia" w:ascii="宋体" w:hAnsi="宋体"/>
          <w:b/>
          <w:color w:val="auto"/>
          <w:szCs w:val="21"/>
          <w:highlight w:val="none"/>
          <w:u w:val="single"/>
        </w:rPr>
        <w:t xml:space="preserve"> </w:t>
      </w:r>
      <w:r>
        <w:rPr>
          <w:rFonts w:hint="eastAsia" w:hAnsi="宋体"/>
          <w:b/>
          <w:color w:val="auto"/>
          <w:szCs w:val="21"/>
          <w:highlight w:val="none"/>
          <w:u w:val="single"/>
          <w:lang w:val="en-US" w:eastAsia="zh-CN"/>
        </w:rPr>
        <w:t xml:space="preserve">                   </w:t>
      </w:r>
    </w:p>
    <w:p w14:paraId="6DE3F4FD">
      <w:pPr>
        <w:pStyle w:val="13"/>
        <w:spacing w:line="480" w:lineRule="auto"/>
        <w:ind w:firstLine="420" w:firstLineChars="200"/>
        <w:rPr>
          <w:rFonts w:hAnsi="宋体" w:cs="宋体"/>
          <w:szCs w:val="21"/>
        </w:rPr>
      </w:pPr>
      <w:r>
        <w:rPr>
          <w:rFonts w:hint="eastAsia" w:hAnsi="宋体" w:cs="宋体"/>
          <w:szCs w:val="21"/>
        </w:rPr>
        <w:t>请根据所投服务的实际技术参数，逐条对应本项目竞争性磋商文件第三章 “服务需求一览表”中的服务内容及要求详细填写相应的具体内容。“偏离说明”一栏应当选择“正偏离”、“负偏离”或“无偏离”进行填写</w:t>
      </w:r>
    </w:p>
    <w:tbl>
      <w:tblPr>
        <w:tblStyle w:val="28"/>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320"/>
        <w:gridCol w:w="4225"/>
        <w:gridCol w:w="1881"/>
      </w:tblGrid>
      <w:tr w14:paraId="2AB5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3C74F213">
            <w:pPr>
              <w:pStyle w:val="13"/>
              <w:spacing w:line="360" w:lineRule="auto"/>
              <w:rPr>
                <w:rFonts w:hAnsi="宋体" w:cs="宋体"/>
                <w:szCs w:val="21"/>
              </w:rPr>
            </w:pPr>
            <w:r>
              <w:rPr>
                <w:rFonts w:hint="eastAsia" w:hAnsi="宋体" w:cs="宋体"/>
                <w:szCs w:val="21"/>
              </w:rPr>
              <w:t>项号</w:t>
            </w:r>
          </w:p>
        </w:tc>
        <w:tc>
          <w:tcPr>
            <w:tcW w:w="3320" w:type="dxa"/>
            <w:tcBorders>
              <w:top w:val="single" w:color="auto" w:sz="4" w:space="0"/>
              <w:left w:val="single" w:color="auto" w:sz="4" w:space="0"/>
              <w:right w:val="single" w:color="auto" w:sz="4" w:space="0"/>
            </w:tcBorders>
            <w:vAlign w:val="center"/>
          </w:tcPr>
          <w:p w14:paraId="03AC987D">
            <w:pPr>
              <w:pStyle w:val="13"/>
              <w:spacing w:line="360" w:lineRule="auto"/>
              <w:jc w:val="center"/>
              <w:rPr>
                <w:rFonts w:hAnsi="宋体" w:cs="宋体"/>
                <w:szCs w:val="21"/>
              </w:rPr>
            </w:pPr>
            <w:r>
              <w:rPr>
                <w:rFonts w:hint="eastAsia" w:hAnsi="宋体" w:cs="宋体"/>
                <w:szCs w:val="21"/>
              </w:rPr>
              <w:t>竞争性磋商采购文件</w:t>
            </w:r>
            <w:r>
              <w:rPr>
                <w:rFonts w:hint="eastAsia" w:hAnsi="宋体" w:cs="宋体"/>
                <w:szCs w:val="21"/>
                <w:lang w:eastAsia="zh-CN"/>
              </w:rPr>
              <w:t>要求</w:t>
            </w:r>
            <w:r>
              <w:rPr>
                <w:rFonts w:hint="eastAsia" w:hAnsi="宋体" w:cs="宋体"/>
                <w:szCs w:val="21"/>
              </w:rPr>
              <w:t>求</w:t>
            </w:r>
          </w:p>
        </w:tc>
        <w:tc>
          <w:tcPr>
            <w:tcW w:w="4225" w:type="dxa"/>
            <w:tcBorders>
              <w:top w:val="single" w:color="auto" w:sz="4" w:space="0"/>
              <w:left w:val="single" w:color="auto" w:sz="4" w:space="0"/>
              <w:bottom w:val="single" w:color="auto" w:sz="4" w:space="0"/>
              <w:right w:val="single" w:color="auto" w:sz="4" w:space="0"/>
            </w:tcBorders>
            <w:vAlign w:val="center"/>
          </w:tcPr>
          <w:p w14:paraId="0AA4C0D3">
            <w:pPr>
              <w:pStyle w:val="13"/>
              <w:spacing w:line="360" w:lineRule="auto"/>
              <w:jc w:val="center"/>
              <w:rPr>
                <w:rFonts w:hAnsi="宋体" w:cs="宋体"/>
                <w:szCs w:val="21"/>
              </w:rPr>
            </w:pPr>
            <w:r>
              <w:rPr>
                <w:rFonts w:hint="eastAsia" w:hAnsi="宋体" w:cs="宋体"/>
                <w:szCs w:val="21"/>
              </w:rPr>
              <w:t>响应文件承诺</w:t>
            </w:r>
          </w:p>
        </w:tc>
        <w:tc>
          <w:tcPr>
            <w:tcW w:w="1881" w:type="dxa"/>
            <w:tcBorders>
              <w:top w:val="single" w:color="auto" w:sz="4" w:space="0"/>
              <w:left w:val="single" w:color="auto" w:sz="4" w:space="0"/>
              <w:bottom w:val="single" w:color="auto" w:sz="4" w:space="0"/>
              <w:right w:val="single" w:color="auto" w:sz="4" w:space="0"/>
            </w:tcBorders>
            <w:vAlign w:val="center"/>
          </w:tcPr>
          <w:p w14:paraId="77EDE9FE">
            <w:pPr>
              <w:pStyle w:val="13"/>
              <w:spacing w:line="360" w:lineRule="auto"/>
              <w:jc w:val="center"/>
              <w:rPr>
                <w:rFonts w:hAnsi="宋体" w:cs="宋体"/>
                <w:szCs w:val="21"/>
              </w:rPr>
            </w:pPr>
            <w:r>
              <w:rPr>
                <w:rFonts w:hint="eastAsia" w:hAnsi="宋体" w:cs="宋体"/>
                <w:szCs w:val="21"/>
              </w:rPr>
              <w:t>偏离说明</w:t>
            </w:r>
          </w:p>
        </w:tc>
      </w:tr>
      <w:tr w14:paraId="7B94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vAlign w:val="center"/>
          </w:tcPr>
          <w:p w14:paraId="0DE81C90">
            <w:pPr>
              <w:pStyle w:val="13"/>
              <w:spacing w:line="360" w:lineRule="auto"/>
              <w:rPr>
                <w:rFonts w:hAnsi="宋体" w:cs="宋体"/>
                <w:szCs w:val="21"/>
              </w:rPr>
            </w:pPr>
            <w:r>
              <w:rPr>
                <w:rFonts w:hint="eastAsia" w:hAnsi="宋体" w:cs="宋体"/>
                <w:szCs w:val="21"/>
              </w:rPr>
              <w:t>1</w:t>
            </w:r>
          </w:p>
        </w:tc>
        <w:tc>
          <w:tcPr>
            <w:tcW w:w="3320" w:type="dxa"/>
            <w:tcBorders>
              <w:top w:val="single" w:color="auto" w:sz="4" w:space="0"/>
              <w:left w:val="single" w:color="auto" w:sz="4" w:space="0"/>
              <w:bottom w:val="single" w:color="auto" w:sz="4" w:space="0"/>
              <w:right w:val="single" w:color="auto" w:sz="4" w:space="0"/>
            </w:tcBorders>
            <w:vAlign w:val="center"/>
          </w:tcPr>
          <w:p w14:paraId="7A9007A4">
            <w:pPr>
              <w:pStyle w:val="13"/>
              <w:spacing w:line="360" w:lineRule="auto"/>
              <w:rPr>
                <w:rFonts w:hAnsi="宋体" w:cs="宋体"/>
                <w:szCs w:val="21"/>
              </w:rPr>
            </w:pPr>
            <w:r>
              <w:rPr>
                <w:rFonts w:hint="eastAsia" w:hAnsi="宋体" w:cs="宋体"/>
                <w:szCs w:val="21"/>
              </w:rPr>
              <w:t>……</w:t>
            </w:r>
          </w:p>
        </w:tc>
        <w:tc>
          <w:tcPr>
            <w:tcW w:w="4225" w:type="dxa"/>
            <w:tcBorders>
              <w:top w:val="single" w:color="auto" w:sz="4" w:space="0"/>
              <w:left w:val="single" w:color="auto" w:sz="4" w:space="0"/>
              <w:bottom w:val="single" w:color="auto" w:sz="4" w:space="0"/>
              <w:right w:val="single" w:color="auto" w:sz="4" w:space="0"/>
            </w:tcBorders>
            <w:vAlign w:val="center"/>
          </w:tcPr>
          <w:p w14:paraId="40FD6BCD">
            <w:pPr>
              <w:pStyle w:val="13"/>
              <w:spacing w:line="360" w:lineRule="auto"/>
              <w:rPr>
                <w:rFonts w:hAnsi="宋体" w:cs="宋体"/>
                <w:szCs w:val="21"/>
              </w:rPr>
            </w:pPr>
            <w:r>
              <w:rPr>
                <w:rFonts w:hint="eastAsia" w:hAnsi="宋体" w:cs="宋体"/>
                <w:szCs w:val="21"/>
              </w:rPr>
              <w:t>……</w:t>
            </w:r>
          </w:p>
        </w:tc>
        <w:tc>
          <w:tcPr>
            <w:tcW w:w="1881" w:type="dxa"/>
            <w:tcBorders>
              <w:top w:val="single" w:color="auto" w:sz="4" w:space="0"/>
              <w:left w:val="single" w:color="auto" w:sz="4" w:space="0"/>
              <w:bottom w:val="single" w:color="auto" w:sz="4" w:space="0"/>
              <w:right w:val="single" w:color="auto" w:sz="4" w:space="0"/>
            </w:tcBorders>
            <w:vAlign w:val="center"/>
          </w:tcPr>
          <w:p w14:paraId="5D449CA3">
            <w:pPr>
              <w:pStyle w:val="13"/>
              <w:spacing w:line="360" w:lineRule="auto"/>
              <w:jc w:val="center"/>
              <w:rPr>
                <w:rFonts w:hAnsi="宋体" w:cs="宋体"/>
                <w:szCs w:val="21"/>
              </w:rPr>
            </w:pPr>
            <w:r>
              <w:rPr>
                <w:rFonts w:hint="eastAsia" w:hAnsi="宋体" w:cs="宋体"/>
                <w:szCs w:val="21"/>
              </w:rPr>
              <w:t>正偏离（负偏离或无偏离）</w:t>
            </w:r>
          </w:p>
        </w:tc>
      </w:tr>
      <w:tr w14:paraId="2F9E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vAlign w:val="center"/>
          </w:tcPr>
          <w:p w14:paraId="08312624">
            <w:pPr>
              <w:pStyle w:val="13"/>
              <w:spacing w:line="360" w:lineRule="auto"/>
              <w:rPr>
                <w:rFonts w:hAnsi="宋体" w:cs="宋体"/>
                <w:szCs w:val="21"/>
              </w:rPr>
            </w:pPr>
            <w:r>
              <w:rPr>
                <w:rFonts w:hint="eastAsia" w:hAnsi="宋体" w:cs="宋体"/>
                <w:szCs w:val="21"/>
              </w:rPr>
              <w:t>2</w:t>
            </w:r>
          </w:p>
        </w:tc>
        <w:tc>
          <w:tcPr>
            <w:tcW w:w="3320" w:type="dxa"/>
            <w:tcBorders>
              <w:top w:val="single" w:color="auto" w:sz="4" w:space="0"/>
              <w:left w:val="single" w:color="auto" w:sz="4" w:space="0"/>
              <w:bottom w:val="single" w:color="auto" w:sz="4" w:space="0"/>
              <w:right w:val="single" w:color="auto" w:sz="4" w:space="0"/>
            </w:tcBorders>
            <w:vAlign w:val="center"/>
          </w:tcPr>
          <w:p w14:paraId="698007E4">
            <w:pPr>
              <w:pStyle w:val="13"/>
              <w:spacing w:line="360" w:lineRule="auto"/>
              <w:rPr>
                <w:rFonts w:hAnsi="宋体" w:cs="宋体"/>
                <w:szCs w:val="21"/>
              </w:rPr>
            </w:pPr>
            <w:r>
              <w:rPr>
                <w:rFonts w:hint="eastAsia" w:hAnsi="宋体" w:cs="宋体"/>
                <w:szCs w:val="21"/>
              </w:rPr>
              <w:t>……</w:t>
            </w:r>
          </w:p>
        </w:tc>
        <w:tc>
          <w:tcPr>
            <w:tcW w:w="4225" w:type="dxa"/>
            <w:tcBorders>
              <w:top w:val="single" w:color="auto" w:sz="4" w:space="0"/>
              <w:left w:val="single" w:color="auto" w:sz="4" w:space="0"/>
              <w:bottom w:val="single" w:color="auto" w:sz="4" w:space="0"/>
              <w:right w:val="single" w:color="auto" w:sz="4" w:space="0"/>
            </w:tcBorders>
            <w:vAlign w:val="center"/>
          </w:tcPr>
          <w:p w14:paraId="67EF6B81">
            <w:pPr>
              <w:pStyle w:val="13"/>
              <w:spacing w:line="360" w:lineRule="auto"/>
              <w:rPr>
                <w:rFonts w:hAnsi="宋体" w:cs="宋体"/>
                <w:szCs w:val="21"/>
              </w:rPr>
            </w:pPr>
            <w:r>
              <w:rPr>
                <w:rFonts w:hint="eastAsia" w:hAnsi="宋体" w:cs="宋体"/>
                <w:szCs w:val="21"/>
              </w:rPr>
              <w:t>……</w:t>
            </w:r>
          </w:p>
        </w:tc>
        <w:tc>
          <w:tcPr>
            <w:tcW w:w="1881" w:type="dxa"/>
            <w:tcBorders>
              <w:top w:val="single" w:color="auto" w:sz="4" w:space="0"/>
              <w:left w:val="single" w:color="auto" w:sz="4" w:space="0"/>
              <w:bottom w:val="single" w:color="auto" w:sz="4" w:space="0"/>
              <w:right w:val="single" w:color="auto" w:sz="4" w:space="0"/>
            </w:tcBorders>
            <w:vAlign w:val="center"/>
          </w:tcPr>
          <w:p w14:paraId="551AFBA8">
            <w:pPr>
              <w:pStyle w:val="13"/>
              <w:spacing w:line="360" w:lineRule="auto"/>
              <w:jc w:val="center"/>
              <w:rPr>
                <w:rFonts w:hAnsi="宋体" w:cs="宋体"/>
                <w:szCs w:val="21"/>
              </w:rPr>
            </w:pPr>
            <w:r>
              <w:rPr>
                <w:rFonts w:hint="eastAsia" w:hAnsi="宋体" w:cs="宋体"/>
                <w:szCs w:val="21"/>
              </w:rPr>
              <w:t>正偏离（负偏离或无偏离）</w:t>
            </w:r>
          </w:p>
        </w:tc>
      </w:tr>
      <w:tr w14:paraId="6DCC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vAlign w:val="center"/>
          </w:tcPr>
          <w:p w14:paraId="06BA6CB5">
            <w:pPr>
              <w:pStyle w:val="13"/>
              <w:spacing w:line="360" w:lineRule="auto"/>
              <w:rPr>
                <w:rFonts w:hAnsi="宋体" w:cs="宋体"/>
                <w:szCs w:val="21"/>
              </w:rPr>
            </w:pPr>
            <w:r>
              <w:rPr>
                <w:rFonts w:hint="eastAsia" w:hAnsi="宋体" w:cs="宋体"/>
                <w:szCs w:val="21"/>
              </w:rPr>
              <w:t>...</w:t>
            </w:r>
          </w:p>
        </w:tc>
        <w:tc>
          <w:tcPr>
            <w:tcW w:w="3320" w:type="dxa"/>
            <w:tcBorders>
              <w:top w:val="single" w:color="auto" w:sz="4" w:space="0"/>
              <w:left w:val="single" w:color="auto" w:sz="4" w:space="0"/>
              <w:bottom w:val="single" w:color="auto" w:sz="4" w:space="0"/>
              <w:right w:val="single" w:color="auto" w:sz="4" w:space="0"/>
            </w:tcBorders>
            <w:vAlign w:val="center"/>
          </w:tcPr>
          <w:p w14:paraId="6E55F086">
            <w:pPr>
              <w:pStyle w:val="13"/>
              <w:spacing w:line="360" w:lineRule="auto"/>
              <w:rPr>
                <w:rFonts w:hAnsi="宋体" w:cs="宋体"/>
                <w:szCs w:val="21"/>
              </w:rPr>
            </w:pPr>
          </w:p>
        </w:tc>
        <w:tc>
          <w:tcPr>
            <w:tcW w:w="4225" w:type="dxa"/>
            <w:tcBorders>
              <w:top w:val="single" w:color="auto" w:sz="4" w:space="0"/>
              <w:left w:val="single" w:color="auto" w:sz="4" w:space="0"/>
              <w:bottom w:val="single" w:color="auto" w:sz="4" w:space="0"/>
              <w:right w:val="single" w:color="auto" w:sz="4" w:space="0"/>
            </w:tcBorders>
            <w:vAlign w:val="center"/>
          </w:tcPr>
          <w:p w14:paraId="27037502">
            <w:pPr>
              <w:pStyle w:val="13"/>
              <w:spacing w:line="360" w:lineRule="auto"/>
              <w:rPr>
                <w:rFonts w:hAnsi="宋体" w:cs="宋体"/>
                <w:szCs w:val="21"/>
              </w:rPr>
            </w:pPr>
          </w:p>
        </w:tc>
        <w:tc>
          <w:tcPr>
            <w:tcW w:w="1881" w:type="dxa"/>
            <w:tcBorders>
              <w:top w:val="single" w:color="auto" w:sz="4" w:space="0"/>
              <w:left w:val="single" w:color="auto" w:sz="4" w:space="0"/>
              <w:bottom w:val="single" w:color="auto" w:sz="4" w:space="0"/>
              <w:right w:val="single" w:color="auto" w:sz="4" w:space="0"/>
            </w:tcBorders>
            <w:vAlign w:val="center"/>
          </w:tcPr>
          <w:p w14:paraId="3F2E753D">
            <w:pPr>
              <w:pStyle w:val="13"/>
              <w:spacing w:line="360" w:lineRule="auto"/>
              <w:jc w:val="center"/>
              <w:rPr>
                <w:rFonts w:hAnsi="宋体" w:cs="宋体"/>
                <w:szCs w:val="21"/>
              </w:rPr>
            </w:pPr>
          </w:p>
        </w:tc>
      </w:tr>
      <w:tr w14:paraId="1271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185" w:type="dxa"/>
            <w:gridSpan w:val="4"/>
            <w:tcBorders>
              <w:top w:val="single" w:color="auto" w:sz="4" w:space="0"/>
              <w:left w:val="single" w:color="auto" w:sz="4" w:space="0"/>
              <w:bottom w:val="single" w:color="auto" w:sz="4" w:space="0"/>
              <w:right w:val="single" w:color="auto" w:sz="4" w:space="0"/>
            </w:tcBorders>
            <w:vAlign w:val="center"/>
          </w:tcPr>
          <w:p w14:paraId="098FA80C">
            <w:pPr>
              <w:pStyle w:val="13"/>
              <w:spacing w:line="360" w:lineRule="auto"/>
              <w:rPr>
                <w:rFonts w:hAnsi="宋体" w:cs="宋体"/>
                <w:szCs w:val="21"/>
              </w:rPr>
            </w:pPr>
            <w:r>
              <w:rPr>
                <w:rFonts w:hint="eastAsia" w:hAnsi="宋体" w:cs="宋体"/>
                <w:szCs w:val="21"/>
              </w:rPr>
              <w:t>磋商供应商（盖单位公章）：</w:t>
            </w:r>
          </w:p>
        </w:tc>
      </w:tr>
      <w:tr w14:paraId="3081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185" w:type="dxa"/>
            <w:gridSpan w:val="4"/>
            <w:tcBorders>
              <w:top w:val="single" w:color="auto" w:sz="4" w:space="0"/>
              <w:left w:val="single" w:color="auto" w:sz="4" w:space="0"/>
              <w:bottom w:val="single" w:color="auto" w:sz="4" w:space="0"/>
              <w:right w:val="single" w:color="auto" w:sz="4" w:space="0"/>
            </w:tcBorders>
            <w:vAlign w:val="center"/>
          </w:tcPr>
          <w:p w14:paraId="4B7614C5">
            <w:pPr>
              <w:pStyle w:val="13"/>
              <w:spacing w:line="360" w:lineRule="auto"/>
              <w:rPr>
                <w:rFonts w:hAnsi="宋体" w:cs="宋体"/>
                <w:szCs w:val="21"/>
              </w:rPr>
            </w:pPr>
            <w:r>
              <w:rPr>
                <w:rFonts w:hint="eastAsia" w:hAnsi="宋体" w:cs="宋体"/>
                <w:szCs w:val="21"/>
              </w:rPr>
              <w:t>法定代表人或其委托代理人（签字或盖章）：</w:t>
            </w:r>
          </w:p>
        </w:tc>
      </w:tr>
      <w:tr w14:paraId="0953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185" w:type="dxa"/>
            <w:gridSpan w:val="4"/>
            <w:tcBorders>
              <w:top w:val="single" w:color="auto" w:sz="4" w:space="0"/>
              <w:left w:val="single" w:color="auto" w:sz="4" w:space="0"/>
              <w:bottom w:val="single" w:color="auto" w:sz="4" w:space="0"/>
              <w:right w:val="single" w:color="auto" w:sz="4" w:space="0"/>
            </w:tcBorders>
            <w:vAlign w:val="center"/>
          </w:tcPr>
          <w:p w14:paraId="45C7D885">
            <w:pPr>
              <w:pStyle w:val="13"/>
              <w:spacing w:line="520" w:lineRule="exact"/>
              <w:jc w:val="both"/>
              <w:rPr>
                <w:rFonts w:hint="eastAsia" w:hAnsi="宋体" w:cs="宋体"/>
                <w:szCs w:val="21"/>
              </w:rPr>
            </w:pPr>
            <w:r>
              <w:rPr>
                <w:bCs/>
                <w:color w:val="auto"/>
                <w:sz w:val="21"/>
                <w:highlight w:val="none"/>
                <w:u w:val="single"/>
              </w:rPr>
              <w:t xml:space="preserve">    </w:t>
            </w:r>
            <w:r>
              <w:rPr>
                <w:rFonts w:hint="eastAsia"/>
                <w:bCs/>
                <w:color w:val="auto"/>
                <w:sz w:val="21"/>
                <w:highlight w:val="none"/>
              </w:rPr>
              <w:t>年</w:t>
            </w:r>
            <w:r>
              <w:rPr>
                <w:bCs/>
                <w:color w:val="auto"/>
                <w:sz w:val="21"/>
                <w:highlight w:val="none"/>
                <w:u w:val="single"/>
              </w:rPr>
              <w:t xml:space="preserve">    </w:t>
            </w:r>
            <w:r>
              <w:rPr>
                <w:rFonts w:hint="eastAsia"/>
                <w:bCs/>
                <w:color w:val="auto"/>
                <w:sz w:val="21"/>
                <w:highlight w:val="none"/>
              </w:rPr>
              <w:t>月</w:t>
            </w:r>
            <w:r>
              <w:rPr>
                <w:bCs/>
                <w:color w:val="auto"/>
                <w:sz w:val="21"/>
                <w:highlight w:val="none"/>
                <w:u w:val="single"/>
              </w:rPr>
              <w:t xml:space="preserve">    </w:t>
            </w:r>
            <w:r>
              <w:rPr>
                <w:rFonts w:hint="eastAsia"/>
                <w:bCs/>
                <w:color w:val="auto"/>
                <w:sz w:val="21"/>
                <w:highlight w:val="none"/>
              </w:rPr>
              <w:t>日</w:t>
            </w:r>
          </w:p>
        </w:tc>
      </w:tr>
    </w:tbl>
    <w:p w14:paraId="7EEA317A">
      <w:pPr>
        <w:pStyle w:val="13"/>
        <w:spacing w:line="480" w:lineRule="auto"/>
        <w:rPr>
          <w:rFonts w:hAnsi="宋体" w:cs="宋体"/>
          <w:szCs w:val="21"/>
        </w:rPr>
      </w:pPr>
      <w:r>
        <w:rPr>
          <w:rFonts w:hint="eastAsia" w:hAnsi="宋体" w:cs="宋体"/>
          <w:szCs w:val="21"/>
        </w:rPr>
        <w:t>注：⑴表格内容均需按要求填写并盖章，不得留空，否则按无效响应处理。</w:t>
      </w:r>
    </w:p>
    <w:p w14:paraId="4D5A393E">
      <w:pPr>
        <w:pStyle w:val="13"/>
        <w:spacing w:line="480" w:lineRule="auto"/>
        <w:ind w:firstLine="420" w:firstLineChars="200"/>
        <w:rPr>
          <w:rFonts w:hAnsi="宋体" w:cs="宋体"/>
          <w:sz w:val="24"/>
          <w:szCs w:val="24"/>
        </w:rPr>
      </w:pPr>
      <w:r>
        <w:rPr>
          <w:rFonts w:hint="eastAsia" w:hAnsi="宋体" w:cs="宋体"/>
          <w:szCs w:val="21"/>
        </w:rPr>
        <w:t>⑵当响应文件的服务内容低于竞争性磋商采购文件要求时，磋商供应商应当如实写明“负偏离”，否则视为虚假应标。</w:t>
      </w:r>
    </w:p>
    <w:p w14:paraId="4BC49183">
      <w:pPr>
        <w:pStyle w:val="13"/>
        <w:spacing w:line="360" w:lineRule="auto"/>
        <w:rPr>
          <w:rFonts w:hAnsi="宋体" w:cs="宋体"/>
          <w:sz w:val="24"/>
          <w:szCs w:val="24"/>
        </w:rPr>
      </w:pPr>
    </w:p>
    <w:p w14:paraId="0BE43B9D">
      <w:pPr>
        <w:pStyle w:val="13"/>
        <w:spacing w:line="360" w:lineRule="auto"/>
        <w:rPr>
          <w:rFonts w:hAnsi="宋体" w:cs="宋体"/>
          <w:sz w:val="24"/>
          <w:szCs w:val="24"/>
        </w:rPr>
      </w:pPr>
    </w:p>
    <w:p w14:paraId="4090FA28">
      <w:pPr>
        <w:widowControl/>
        <w:spacing w:line="360" w:lineRule="auto"/>
        <w:jc w:val="left"/>
        <w:rPr>
          <w:rFonts w:ascii="宋体" w:hAnsi="宋体" w:cs="宋体"/>
          <w:b/>
          <w:szCs w:val="20"/>
        </w:rPr>
      </w:pPr>
      <w:bookmarkStart w:id="115" w:name="_Toc460253714"/>
      <w:bookmarkStart w:id="116" w:name="_Toc15464"/>
      <w:r>
        <w:rPr>
          <w:rFonts w:hint="eastAsia" w:ascii="宋体" w:hAnsi="宋体" w:cs="宋体"/>
          <w:b/>
        </w:rPr>
        <w:br w:type="page"/>
      </w:r>
    </w:p>
    <w:p w14:paraId="2F38EA02">
      <w:pPr>
        <w:pStyle w:val="13"/>
        <w:spacing w:line="360" w:lineRule="auto"/>
        <w:jc w:val="left"/>
        <w:rPr>
          <w:rFonts w:hAnsi="宋体" w:cs="宋体"/>
          <w:u w:val="single"/>
        </w:rPr>
      </w:pPr>
      <w:bookmarkStart w:id="117" w:name="_Toc20142"/>
      <w:bookmarkStart w:id="118" w:name="_Toc32057"/>
      <w:r>
        <w:rPr>
          <w:rFonts w:hint="eastAsia" w:hAnsi="宋体" w:cs="宋体"/>
          <w:b/>
        </w:rPr>
        <w:t>格式</w:t>
      </w:r>
      <w:r>
        <w:rPr>
          <w:rFonts w:hint="eastAsia" w:hAnsi="宋体" w:cs="宋体"/>
          <w:b/>
          <w:lang w:val="en-US" w:eastAsia="zh-CN"/>
        </w:rPr>
        <w:t>4</w:t>
      </w:r>
      <w:r>
        <w:rPr>
          <w:rFonts w:hint="eastAsia" w:hAnsi="宋体" w:cs="宋体"/>
          <w:b/>
        </w:rPr>
        <w:t>：</w:t>
      </w:r>
      <w:bookmarkEnd w:id="115"/>
      <w:bookmarkEnd w:id="116"/>
      <w:bookmarkEnd w:id="117"/>
      <w:bookmarkEnd w:id="118"/>
    </w:p>
    <w:p w14:paraId="4EC5C46A">
      <w:pPr>
        <w:pStyle w:val="13"/>
        <w:spacing w:line="360" w:lineRule="auto"/>
        <w:jc w:val="center"/>
        <w:rPr>
          <w:rFonts w:hAnsi="宋体" w:cs="宋体"/>
          <w:b/>
          <w:bCs/>
          <w:sz w:val="32"/>
          <w:szCs w:val="32"/>
        </w:rPr>
      </w:pPr>
      <w:r>
        <w:rPr>
          <w:rFonts w:hint="eastAsia" w:hAnsi="宋体" w:cs="宋体"/>
          <w:b/>
          <w:bCs/>
          <w:sz w:val="32"/>
          <w:szCs w:val="32"/>
        </w:rPr>
        <w:t>服务承诺（格式）</w:t>
      </w:r>
    </w:p>
    <w:p w14:paraId="4A512150">
      <w:pPr>
        <w:pStyle w:val="13"/>
        <w:spacing w:line="360" w:lineRule="auto"/>
        <w:ind w:firstLine="475" w:firstLineChars="198"/>
        <w:rPr>
          <w:rFonts w:hAnsi="宋体" w:cs="宋体"/>
          <w:sz w:val="24"/>
          <w:szCs w:val="24"/>
        </w:rPr>
      </w:pPr>
    </w:p>
    <w:p w14:paraId="194C6298">
      <w:pPr>
        <w:pStyle w:val="13"/>
        <w:spacing w:line="480" w:lineRule="auto"/>
        <w:ind w:firstLine="415" w:firstLineChars="198"/>
        <w:rPr>
          <w:rFonts w:hAnsi="宋体" w:cs="宋体"/>
          <w:szCs w:val="21"/>
        </w:rPr>
      </w:pPr>
      <w:r>
        <w:rPr>
          <w:rFonts w:hint="eastAsia" w:hAnsi="宋体" w:cs="宋体"/>
          <w:szCs w:val="21"/>
        </w:rPr>
        <w:t>由磋商供应商按本项目竞争性磋商文件第三章 “服务需求一览表”服务要求自行填写。</w:t>
      </w:r>
    </w:p>
    <w:p w14:paraId="26FAF2C0">
      <w:pPr>
        <w:pStyle w:val="13"/>
        <w:spacing w:line="480" w:lineRule="auto"/>
        <w:ind w:firstLine="420" w:firstLineChars="200"/>
        <w:rPr>
          <w:rFonts w:hAnsi="宋体" w:cs="宋体"/>
          <w:szCs w:val="21"/>
        </w:rPr>
      </w:pPr>
    </w:p>
    <w:p w14:paraId="6F9432A4">
      <w:pPr>
        <w:pStyle w:val="13"/>
        <w:spacing w:line="480" w:lineRule="auto"/>
        <w:rPr>
          <w:rFonts w:hAnsi="宋体" w:cs="宋体"/>
          <w:szCs w:val="21"/>
        </w:rPr>
      </w:pPr>
    </w:p>
    <w:p w14:paraId="17AB44C7">
      <w:pPr>
        <w:pStyle w:val="13"/>
        <w:spacing w:line="480" w:lineRule="auto"/>
        <w:rPr>
          <w:rFonts w:hAnsi="宋体" w:cs="宋体"/>
          <w:szCs w:val="21"/>
        </w:rPr>
      </w:pPr>
    </w:p>
    <w:p w14:paraId="5C54FF20">
      <w:pPr>
        <w:pStyle w:val="13"/>
        <w:spacing w:line="480" w:lineRule="auto"/>
        <w:rPr>
          <w:rFonts w:hAnsi="宋体" w:cs="宋体"/>
          <w:szCs w:val="21"/>
        </w:rPr>
      </w:pPr>
    </w:p>
    <w:p w14:paraId="1A19174F">
      <w:pPr>
        <w:pStyle w:val="13"/>
        <w:spacing w:line="480" w:lineRule="auto"/>
        <w:rPr>
          <w:rFonts w:hAnsi="宋体" w:cs="宋体"/>
          <w:szCs w:val="21"/>
        </w:rPr>
      </w:pPr>
    </w:p>
    <w:p w14:paraId="659BA55F">
      <w:pPr>
        <w:pStyle w:val="13"/>
        <w:spacing w:line="480" w:lineRule="auto"/>
        <w:rPr>
          <w:rFonts w:hAnsi="宋体" w:cs="宋体"/>
          <w:szCs w:val="21"/>
        </w:rPr>
      </w:pPr>
    </w:p>
    <w:p w14:paraId="0A0E3591">
      <w:pPr>
        <w:pStyle w:val="13"/>
        <w:spacing w:line="480" w:lineRule="auto"/>
        <w:rPr>
          <w:rFonts w:hAnsi="宋体" w:cs="宋体"/>
          <w:szCs w:val="21"/>
        </w:rPr>
      </w:pPr>
    </w:p>
    <w:p w14:paraId="34FA3A76">
      <w:pPr>
        <w:pStyle w:val="13"/>
        <w:spacing w:line="480" w:lineRule="auto"/>
        <w:rPr>
          <w:rFonts w:hAnsi="宋体" w:cs="宋体"/>
          <w:szCs w:val="21"/>
        </w:rPr>
      </w:pPr>
    </w:p>
    <w:p w14:paraId="52CA7397">
      <w:pPr>
        <w:pStyle w:val="13"/>
        <w:spacing w:line="480" w:lineRule="auto"/>
        <w:rPr>
          <w:rFonts w:hAnsi="宋体" w:cs="宋体"/>
          <w:szCs w:val="21"/>
          <w:u w:val="single"/>
        </w:rPr>
      </w:pPr>
      <w:r>
        <w:rPr>
          <w:rFonts w:hint="eastAsia" w:hAnsi="宋体" w:cs="宋体"/>
          <w:szCs w:val="21"/>
        </w:rPr>
        <w:t>磋商供应商（盖单位公章）：</w:t>
      </w:r>
      <w:r>
        <w:rPr>
          <w:rFonts w:hint="eastAsia" w:hAnsi="宋体" w:cs="宋体"/>
          <w:szCs w:val="21"/>
          <w:u w:val="single"/>
        </w:rPr>
        <w:t xml:space="preserve">                         </w:t>
      </w:r>
    </w:p>
    <w:p w14:paraId="172AADC9">
      <w:pPr>
        <w:pStyle w:val="13"/>
        <w:spacing w:line="480" w:lineRule="auto"/>
        <w:rPr>
          <w:rFonts w:hAnsi="宋体" w:cs="宋体"/>
          <w:szCs w:val="21"/>
          <w:u w:val="single"/>
        </w:rPr>
      </w:pPr>
    </w:p>
    <w:p w14:paraId="63F28ECF">
      <w:pPr>
        <w:pStyle w:val="13"/>
        <w:spacing w:line="480" w:lineRule="auto"/>
        <w:rPr>
          <w:rFonts w:hAnsi="宋体" w:cs="宋体"/>
          <w:szCs w:val="21"/>
          <w:u w:val="single"/>
        </w:rPr>
      </w:pPr>
      <w:r>
        <w:rPr>
          <w:rFonts w:hint="eastAsia" w:hAnsi="宋体" w:cs="宋体"/>
          <w:szCs w:val="21"/>
        </w:rPr>
        <w:t>法定代表人或其委托代理人（签字或盖章）：</w:t>
      </w:r>
      <w:r>
        <w:rPr>
          <w:rFonts w:hint="eastAsia" w:hAnsi="宋体" w:cs="宋体"/>
          <w:szCs w:val="21"/>
          <w:u w:val="single"/>
        </w:rPr>
        <w:t xml:space="preserve">                 </w:t>
      </w:r>
    </w:p>
    <w:p w14:paraId="05DBC86F">
      <w:pPr>
        <w:pStyle w:val="13"/>
        <w:spacing w:line="360" w:lineRule="auto"/>
        <w:rPr>
          <w:rFonts w:hint="eastAsia" w:hAnsi="宋体" w:cs="宋体"/>
          <w:sz w:val="24"/>
          <w:szCs w:val="24"/>
          <w:u w:val="single"/>
        </w:rPr>
      </w:pPr>
    </w:p>
    <w:p w14:paraId="2FBAB0E7">
      <w:pPr>
        <w:pStyle w:val="13"/>
        <w:spacing w:line="360" w:lineRule="auto"/>
        <w:ind w:firstLine="1920" w:firstLineChars="800"/>
        <w:rPr>
          <w:rFonts w:hAnsi="宋体" w:cs="宋体"/>
          <w:u w:val="single"/>
        </w:rPr>
      </w:pPr>
      <w:r>
        <w:rPr>
          <w:rFonts w:hint="eastAsia" w:hAnsi="宋体" w:cs="宋体"/>
          <w:sz w:val="24"/>
          <w:szCs w:val="24"/>
          <w:u w:val="single"/>
          <w:lang w:eastAsia="zh-CN"/>
        </w:rPr>
        <w:t>年</w:t>
      </w:r>
      <w:r>
        <w:rPr>
          <w:rFonts w:hint="eastAsia" w:hAnsi="宋体" w:cs="宋体"/>
          <w:sz w:val="24"/>
          <w:szCs w:val="24"/>
          <w:u w:val="single"/>
          <w:lang w:val="en-US" w:eastAsia="zh-CN"/>
        </w:rPr>
        <w:t xml:space="preserve">  月  日</w:t>
      </w:r>
      <w:r>
        <w:rPr>
          <w:rFonts w:hint="eastAsia" w:hAnsi="宋体" w:cs="宋体"/>
          <w:sz w:val="24"/>
          <w:szCs w:val="24"/>
          <w:u w:val="single"/>
        </w:rPr>
        <w:br w:type="page"/>
      </w:r>
      <w:r>
        <w:rPr>
          <w:rFonts w:hint="eastAsia" w:hAnsi="宋体" w:cs="宋体"/>
          <w:b/>
        </w:rPr>
        <w:t>格式</w:t>
      </w:r>
      <w:r>
        <w:rPr>
          <w:rFonts w:hint="eastAsia" w:hAnsi="宋体" w:cs="宋体"/>
          <w:b/>
          <w:lang w:val="en-US" w:eastAsia="zh-CN"/>
        </w:rPr>
        <w:t>5</w:t>
      </w:r>
      <w:r>
        <w:rPr>
          <w:rFonts w:hint="eastAsia" w:hAnsi="宋体" w:cs="宋体"/>
          <w:b/>
        </w:rPr>
        <w:t>：</w:t>
      </w:r>
    </w:p>
    <w:p w14:paraId="315423B2">
      <w:pPr>
        <w:pStyle w:val="13"/>
        <w:spacing w:line="360" w:lineRule="auto"/>
        <w:jc w:val="center"/>
        <w:rPr>
          <w:rFonts w:hAnsi="宋体" w:cs="宋体"/>
          <w:b/>
          <w:bCs/>
          <w:sz w:val="30"/>
          <w:szCs w:val="30"/>
        </w:rPr>
      </w:pPr>
      <w:r>
        <w:rPr>
          <w:rFonts w:hint="eastAsia" w:hAnsi="宋体" w:cs="宋体"/>
          <w:sz w:val="24"/>
          <w:szCs w:val="24"/>
        </w:rPr>
        <w:tab/>
      </w:r>
      <w:r>
        <w:rPr>
          <w:rFonts w:hint="eastAsia" w:hAnsi="宋体" w:cs="宋体"/>
          <w:b/>
          <w:bCs/>
          <w:sz w:val="30"/>
          <w:szCs w:val="30"/>
        </w:rPr>
        <w:t>商务条款偏离表（格式）</w:t>
      </w:r>
    </w:p>
    <w:p w14:paraId="1ADD8C66">
      <w:pPr>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项目编号：</w:t>
      </w:r>
      <w:r>
        <w:rPr>
          <w:rFonts w:hint="eastAsia" w:ascii="宋体" w:hAnsi="宋体"/>
          <w:b/>
          <w:color w:val="auto"/>
          <w:szCs w:val="21"/>
          <w:highlight w:val="none"/>
          <w:u w:val="single"/>
        </w:rPr>
        <w:t xml:space="preserve">                         </w:t>
      </w:r>
    </w:p>
    <w:p w14:paraId="33FB0316">
      <w:pPr>
        <w:spacing w:line="400" w:lineRule="exact"/>
        <w:ind w:firstLine="422" w:firstLineChars="200"/>
        <w:rPr>
          <w:rFonts w:hint="eastAsia" w:hAnsi="宋体" w:cs="宋体"/>
          <w:szCs w:val="21"/>
        </w:rPr>
      </w:pPr>
      <w:r>
        <w:rPr>
          <w:rFonts w:hint="eastAsia" w:ascii="宋体" w:hAnsi="宋体"/>
          <w:b/>
          <w:color w:val="auto"/>
          <w:szCs w:val="21"/>
          <w:highlight w:val="none"/>
        </w:rPr>
        <w:t>项目名称：</w:t>
      </w:r>
      <w:r>
        <w:rPr>
          <w:rFonts w:hint="eastAsia" w:ascii="宋体" w:hAnsi="宋体"/>
          <w:b/>
          <w:color w:val="auto"/>
          <w:szCs w:val="21"/>
          <w:highlight w:val="none"/>
          <w:u w:val="single"/>
        </w:rPr>
        <w:t xml:space="preserve"> </w:t>
      </w:r>
      <w:r>
        <w:rPr>
          <w:rFonts w:hint="eastAsia" w:ascii="宋体" w:hAnsi="宋体"/>
          <w:bCs/>
          <w:color w:val="auto"/>
          <w:szCs w:val="21"/>
          <w:highlight w:val="none"/>
          <w:u w:val="single"/>
        </w:rPr>
        <w:t xml:space="preserve">                        </w:t>
      </w:r>
    </w:p>
    <w:p w14:paraId="13A005C1">
      <w:pPr>
        <w:pStyle w:val="13"/>
        <w:spacing w:line="480" w:lineRule="auto"/>
        <w:ind w:firstLine="420" w:firstLineChars="200"/>
        <w:rPr>
          <w:rFonts w:hAnsi="宋体" w:cs="宋体"/>
          <w:szCs w:val="21"/>
        </w:rPr>
      </w:pPr>
      <w:r>
        <w:rPr>
          <w:rFonts w:hint="eastAsia" w:hAnsi="宋体" w:cs="宋体"/>
          <w:szCs w:val="21"/>
        </w:rPr>
        <w:t>请逐条对应本项目竞争性磋商文件第三章“服务需求一览表”中“商务条款”的要求，详细填写相应的具体内容。“偏离说明”一栏应当选择“正偏离”、“负偏离”或“无偏离”进行填写。</w:t>
      </w:r>
    </w:p>
    <w:tbl>
      <w:tblPr>
        <w:tblStyle w:val="28"/>
        <w:tblpPr w:leftFromText="180" w:rightFromText="180" w:vertAnchor="text" w:horzAnchor="margin" w:tblpXSpec="center" w:tblpY="94"/>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071"/>
        <w:gridCol w:w="3353"/>
        <w:gridCol w:w="1687"/>
      </w:tblGrid>
      <w:tr w14:paraId="382C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63C7311A">
            <w:pPr>
              <w:pStyle w:val="13"/>
              <w:spacing w:line="360" w:lineRule="auto"/>
              <w:jc w:val="center"/>
              <w:rPr>
                <w:rFonts w:hAnsi="宋体" w:cs="宋体"/>
                <w:szCs w:val="21"/>
              </w:rPr>
            </w:pPr>
            <w:r>
              <w:rPr>
                <w:rFonts w:hint="eastAsia" w:hAnsi="宋体" w:cs="宋体"/>
                <w:szCs w:val="21"/>
              </w:rPr>
              <w:t>项号</w:t>
            </w:r>
          </w:p>
        </w:tc>
        <w:tc>
          <w:tcPr>
            <w:tcW w:w="4071" w:type="dxa"/>
            <w:tcBorders>
              <w:top w:val="single" w:color="auto" w:sz="4" w:space="0"/>
              <w:left w:val="single" w:color="auto" w:sz="4" w:space="0"/>
              <w:bottom w:val="single" w:color="auto" w:sz="4" w:space="0"/>
              <w:right w:val="single" w:color="auto" w:sz="4" w:space="0"/>
            </w:tcBorders>
            <w:vAlign w:val="center"/>
          </w:tcPr>
          <w:p w14:paraId="59E43064">
            <w:pPr>
              <w:pStyle w:val="13"/>
              <w:spacing w:line="360" w:lineRule="auto"/>
              <w:jc w:val="center"/>
              <w:rPr>
                <w:rFonts w:hAnsi="宋体" w:cs="宋体"/>
                <w:szCs w:val="21"/>
              </w:rPr>
            </w:pPr>
            <w:r>
              <w:rPr>
                <w:rFonts w:hint="eastAsia" w:hAnsi="宋体" w:cs="宋体"/>
                <w:szCs w:val="21"/>
              </w:rPr>
              <w:t>竞争性磋商采购文件的商务需求</w:t>
            </w:r>
          </w:p>
        </w:tc>
        <w:tc>
          <w:tcPr>
            <w:tcW w:w="3353" w:type="dxa"/>
            <w:tcBorders>
              <w:top w:val="single" w:color="auto" w:sz="4" w:space="0"/>
              <w:left w:val="single" w:color="auto" w:sz="4" w:space="0"/>
              <w:bottom w:val="single" w:color="auto" w:sz="4" w:space="0"/>
              <w:right w:val="single" w:color="auto" w:sz="4" w:space="0"/>
            </w:tcBorders>
            <w:vAlign w:val="center"/>
          </w:tcPr>
          <w:p w14:paraId="2EAB2AE7">
            <w:pPr>
              <w:pStyle w:val="13"/>
              <w:spacing w:line="360" w:lineRule="auto"/>
              <w:jc w:val="center"/>
              <w:rPr>
                <w:rFonts w:hAnsi="宋体" w:cs="宋体"/>
                <w:szCs w:val="21"/>
              </w:rPr>
            </w:pPr>
            <w:r>
              <w:rPr>
                <w:rFonts w:hint="eastAsia" w:hAnsi="宋体" w:cs="宋体"/>
                <w:szCs w:val="21"/>
              </w:rPr>
              <w:t>响应文件承诺的商务条款</w:t>
            </w:r>
          </w:p>
        </w:tc>
        <w:tc>
          <w:tcPr>
            <w:tcW w:w="1687" w:type="dxa"/>
            <w:tcBorders>
              <w:top w:val="single" w:color="auto" w:sz="4" w:space="0"/>
              <w:left w:val="single" w:color="auto" w:sz="4" w:space="0"/>
              <w:bottom w:val="single" w:color="auto" w:sz="4" w:space="0"/>
              <w:right w:val="single" w:color="auto" w:sz="4" w:space="0"/>
            </w:tcBorders>
            <w:vAlign w:val="center"/>
          </w:tcPr>
          <w:p w14:paraId="6EAB191B">
            <w:pPr>
              <w:pStyle w:val="13"/>
              <w:spacing w:line="360" w:lineRule="auto"/>
              <w:jc w:val="center"/>
              <w:rPr>
                <w:rFonts w:hAnsi="宋体" w:cs="宋体"/>
                <w:szCs w:val="21"/>
              </w:rPr>
            </w:pPr>
            <w:r>
              <w:rPr>
                <w:rFonts w:hint="eastAsia" w:hAnsi="宋体" w:cs="宋体"/>
                <w:szCs w:val="21"/>
              </w:rPr>
              <w:t>偏离说明</w:t>
            </w:r>
          </w:p>
        </w:tc>
      </w:tr>
      <w:tr w14:paraId="10BE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717" w:type="dxa"/>
            <w:tcBorders>
              <w:top w:val="single" w:color="auto" w:sz="4" w:space="0"/>
              <w:left w:val="single" w:color="auto" w:sz="4" w:space="0"/>
              <w:bottom w:val="single" w:color="auto" w:sz="4" w:space="0"/>
              <w:right w:val="single" w:color="auto" w:sz="4" w:space="0"/>
            </w:tcBorders>
          </w:tcPr>
          <w:p w14:paraId="09C97E33">
            <w:pPr>
              <w:pStyle w:val="13"/>
              <w:spacing w:line="360" w:lineRule="auto"/>
              <w:rPr>
                <w:rFonts w:hAnsi="宋体" w:cs="宋体"/>
                <w:szCs w:val="21"/>
              </w:rPr>
            </w:pPr>
            <w:r>
              <w:rPr>
                <w:rFonts w:hint="eastAsia" w:hAnsi="宋体" w:cs="宋体"/>
                <w:szCs w:val="21"/>
              </w:rPr>
              <w:t>一</w:t>
            </w:r>
          </w:p>
        </w:tc>
        <w:tc>
          <w:tcPr>
            <w:tcW w:w="4071" w:type="dxa"/>
            <w:tcBorders>
              <w:top w:val="single" w:color="auto" w:sz="4" w:space="0"/>
              <w:left w:val="single" w:color="auto" w:sz="4" w:space="0"/>
              <w:bottom w:val="single" w:color="auto" w:sz="4" w:space="0"/>
              <w:right w:val="single" w:color="auto" w:sz="4" w:space="0"/>
            </w:tcBorders>
          </w:tcPr>
          <w:p w14:paraId="10E32C4C">
            <w:pPr>
              <w:spacing w:line="360" w:lineRule="auto"/>
              <w:rPr>
                <w:rFonts w:ascii="宋体" w:hAnsi="宋体" w:cs="宋体"/>
                <w:szCs w:val="21"/>
              </w:rPr>
            </w:pPr>
            <w:r>
              <w:rPr>
                <w:rFonts w:hint="eastAsia" w:ascii="宋体" w:hAnsi="宋体" w:cs="宋体"/>
                <w:szCs w:val="21"/>
              </w:rPr>
              <w:t>1  ……</w:t>
            </w:r>
          </w:p>
          <w:p w14:paraId="783A906C">
            <w:pPr>
              <w:spacing w:line="360" w:lineRule="auto"/>
              <w:rPr>
                <w:rFonts w:ascii="宋体" w:hAnsi="宋体" w:cs="宋体"/>
                <w:szCs w:val="21"/>
              </w:rPr>
            </w:pPr>
            <w:r>
              <w:rPr>
                <w:rFonts w:hint="eastAsia" w:ascii="宋体" w:hAnsi="宋体" w:cs="宋体"/>
                <w:szCs w:val="21"/>
              </w:rPr>
              <w:t>2  ……</w:t>
            </w:r>
          </w:p>
          <w:p w14:paraId="084E4DB4">
            <w:pPr>
              <w:spacing w:line="360" w:lineRule="auto"/>
              <w:rPr>
                <w:rFonts w:ascii="宋体" w:hAnsi="宋体" w:cs="宋体"/>
                <w:szCs w:val="21"/>
              </w:rPr>
            </w:pPr>
            <w:r>
              <w:rPr>
                <w:rFonts w:hint="eastAsia" w:ascii="宋体" w:hAnsi="宋体" w:cs="宋体"/>
                <w:szCs w:val="21"/>
              </w:rPr>
              <w:t>3  ……</w:t>
            </w:r>
          </w:p>
          <w:p w14:paraId="0180E903">
            <w:pPr>
              <w:pStyle w:val="13"/>
              <w:spacing w:line="360" w:lineRule="auto"/>
              <w:rPr>
                <w:rFonts w:hAnsi="宋体" w:cs="宋体"/>
                <w:szCs w:val="21"/>
              </w:rPr>
            </w:pPr>
            <w:r>
              <w:rPr>
                <w:rFonts w:hint="eastAsia" w:hAnsi="宋体" w:cs="宋体"/>
                <w:szCs w:val="21"/>
              </w:rPr>
              <w:t>……</w:t>
            </w:r>
          </w:p>
        </w:tc>
        <w:tc>
          <w:tcPr>
            <w:tcW w:w="3353" w:type="dxa"/>
            <w:tcBorders>
              <w:top w:val="single" w:color="auto" w:sz="4" w:space="0"/>
              <w:left w:val="single" w:color="auto" w:sz="4" w:space="0"/>
              <w:bottom w:val="single" w:color="auto" w:sz="4" w:space="0"/>
              <w:right w:val="single" w:color="auto" w:sz="4" w:space="0"/>
            </w:tcBorders>
          </w:tcPr>
          <w:p w14:paraId="342160BD">
            <w:pPr>
              <w:spacing w:line="360" w:lineRule="auto"/>
              <w:rPr>
                <w:rFonts w:ascii="宋体" w:hAnsi="宋体" w:cs="宋体"/>
                <w:szCs w:val="21"/>
              </w:rPr>
            </w:pPr>
            <w:r>
              <w:rPr>
                <w:rFonts w:hint="eastAsia" w:ascii="宋体" w:hAnsi="宋体" w:cs="宋体"/>
                <w:szCs w:val="21"/>
              </w:rPr>
              <w:t>1  ……</w:t>
            </w:r>
          </w:p>
          <w:p w14:paraId="4188BF83">
            <w:pPr>
              <w:spacing w:line="360" w:lineRule="auto"/>
              <w:rPr>
                <w:rFonts w:ascii="宋体" w:hAnsi="宋体" w:cs="宋体"/>
                <w:szCs w:val="21"/>
              </w:rPr>
            </w:pPr>
            <w:r>
              <w:rPr>
                <w:rFonts w:hint="eastAsia" w:ascii="宋体" w:hAnsi="宋体" w:cs="宋体"/>
                <w:szCs w:val="21"/>
              </w:rPr>
              <w:t>2  ……</w:t>
            </w:r>
          </w:p>
          <w:p w14:paraId="735B7439">
            <w:pPr>
              <w:spacing w:line="360" w:lineRule="auto"/>
              <w:rPr>
                <w:rFonts w:ascii="宋体" w:hAnsi="宋体" w:cs="宋体"/>
                <w:szCs w:val="21"/>
              </w:rPr>
            </w:pPr>
            <w:r>
              <w:rPr>
                <w:rFonts w:hint="eastAsia" w:ascii="宋体" w:hAnsi="宋体" w:cs="宋体"/>
                <w:szCs w:val="21"/>
              </w:rPr>
              <w:t>3  ……</w:t>
            </w:r>
          </w:p>
          <w:p w14:paraId="44E8B37E">
            <w:pPr>
              <w:pStyle w:val="13"/>
              <w:spacing w:line="360" w:lineRule="auto"/>
              <w:rPr>
                <w:rFonts w:hAnsi="宋体" w:cs="宋体"/>
                <w:szCs w:val="21"/>
              </w:rPr>
            </w:pPr>
            <w:r>
              <w:rPr>
                <w:rFonts w:hint="eastAsia" w:hAnsi="宋体" w:cs="宋体"/>
                <w:szCs w:val="21"/>
              </w:rPr>
              <w:t>……</w:t>
            </w:r>
          </w:p>
        </w:tc>
        <w:tc>
          <w:tcPr>
            <w:tcW w:w="1687" w:type="dxa"/>
            <w:tcBorders>
              <w:top w:val="single" w:color="auto" w:sz="4" w:space="0"/>
              <w:left w:val="single" w:color="auto" w:sz="4" w:space="0"/>
              <w:bottom w:val="single" w:color="auto" w:sz="4" w:space="0"/>
              <w:right w:val="single" w:color="auto" w:sz="4" w:space="0"/>
            </w:tcBorders>
          </w:tcPr>
          <w:p w14:paraId="2B6977F7">
            <w:pPr>
              <w:pStyle w:val="13"/>
              <w:spacing w:line="360" w:lineRule="auto"/>
              <w:rPr>
                <w:rFonts w:hAnsi="宋体" w:cs="宋体"/>
                <w:szCs w:val="21"/>
              </w:rPr>
            </w:pPr>
            <w:r>
              <w:rPr>
                <w:rFonts w:hint="eastAsia" w:hAnsi="宋体" w:cs="宋体"/>
                <w:szCs w:val="21"/>
              </w:rPr>
              <w:t>正偏离（负偏离或无偏离）</w:t>
            </w:r>
          </w:p>
        </w:tc>
      </w:tr>
      <w:tr w14:paraId="5ACE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17" w:type="dxa"/>
            <w:tcBorders>
              <w:top w:val="single" w:color="auto" w:sz="4" w:space="0"/>
              <w:left w:val="single" w:color="auto" w:sz="4" w:space="0"/>
              <w:bottom w:val="single" w:color="auto" w:sz="4" w:space="0"/>
              <w:right w:val="single" w:color="auto" w:sz="4" w:space="0"/>
            </w:tcBorders>
          </w:tcPr>
          <w:p w14:paraId="076A55E3">
            <w:pPr>
              <w:pStyle w:val="13"/>
              <w:spacing w:line="360" w:lineRule="auto"/>
              <w:rPr>
                <w:rFonts w:hAnsi="宋体" w:cs="宋体"/>
                <w:szCs w:val="21"/>
              </w:rPr>
            </w:pPr>
            <w:r>
              <w:rPr>
                <w:rFonts w:hint="eastAsia" w:hAnsi="宋体" w:cs="宋体"/>
                <w:szCs w:val="21"/>
              </w:rPr>
              <w:t>二</w:t>
            </w:r>
          </w:p>
        </w:tc>
        <w:tc>
          <w:tcPr>
            <w:tcW w:w="4071" w:type="dxa"/>
            <w:tcBorders>
              <w:top w:val="single" w:color="auto" w:sz="4" w:space="0"/>
              <w:left w:val="single" w:color="auto" w:sz="4" w:space="0"/>
              <w:bottom w:val="single" w:color="auto" w:sz="4" w:space="0"/>
              <w:right w:val="single" w:color="auto" w:sz="4" w:space="0"/>
            </w:tcBorders>
          </w:tcPr>
          <w:p w14:paraId="761C230F">
            <w:pPr>
              <w:spacing w:line="360" w:lineRule="auto"/>
              <w:rPr>
                <w:rFonts w:ascii="宋体" w:hAnsi="宋体" w:cs="宋体"/>
                <w:szCs w:val="21"/>
              </w:rPr>
            </w:pPr>
            <w:r>
              <w:rPr>
                <w:rFonts w:hint="eastAsia" w:ascii="宋体" w:hAnsi="宋体" w:cs="宋体"/>
                <w:szCs w:val="21"/>
              </w:rPr>
              <w:t>1  ……</w:t>
            </w:r>
          </w:p>
          <w:p w14:paraId="025C9424">
            <w:pPr>
              <w:spacing w:line="360" w:lineRule="auto"/>
              <w:rPr>
                <w:rFonts w:ascii="宋体" w:hAnsi="宋体" w:cs="宋体"/>
                <w:szCs w:val="21"/>
              </w:rPr>
            </w:pPr>
            <w:r>
              <w:rPr>
                <w:rFonts w:hint="eastAsia" w:ascii="宋体" w:hAnsi="宋体" w:cs="宋体"/>
                <w:szCs w:val="21"/>
              </w:rPr>
              <w:t>2  ……</w:t>
            </w:r>
          </w:p>
          <w:p w14:paraId="7B278A77">
            <w:pPr>
              <w:spacing w:line="360" w:lineRule="auto"/>
              <w:rPr>
                <w:rFonts w:ascii="宋体" w:hAnsi="宋体" w:cs="宋体"/>
                <w:szCs w:val="21"/>
              </w:rPr>
            </w:pPr>
            <w:r>
              <w:rPr>
                <w:rFonts w:hint="eastAsia" w:ascii="宋体" w:hAnsi="宋体" w:cs="宋体"/>
                <w:szCs w:val="21"/>
              </w:rPr>
              <w:t>3  ……</w:t>
            </w:r>
          </w:p>
          <w:p w14:paraId="4005386D">
            <w:pPr>
              <w:pStyle w:val="13"/>
              <w:spacing w:line="360" w:lineRule="auto"/>
              <w:rPr>
                <w:rFonts w:hAnsi="宋体" w:cs="宋体"/>
                <w:szCs w:val="21"/>
              </w:rPr>
            </w:pPr>
            <w:r>
              <w:rPr>
                <w:rFonts w:hint="eastAsia" w:hAnsi="宋体" w:cs="宋体"/>
                <w:szCs w:val="21"/>
              </w:rPr>
              <w:t>……</w:t>
            </w:r>
          </w:p>
        </w:tc>
        <w:tc>
          <w:tcPr>
            <w:tcW w:w="3353" w:type="dxa"/>
            <w:tcBorders>
              <w:top w:val="single" w:color="auto" w:sz="4" w:space="0"/>
              <w:left w:val="single" w:color="auto" w:sz="4" w:space="0"/>
              <w:bottom w:val="single" w:color="auto" w:sz="4" w:space="0"/>
              <w:right w:val="single" w:color="auto" w:sz="4" w:space="0"/>
            </w:tcBorders>
          </w:tcPr>
          <w:p w14:paraId="7A1B973A">
            <w:pPr>
              <w:spacing w:line="360" w:lineRule="auto"/>
              <w:rPr>
                <w:rFonts w:ascii="宋体" w:hAnsi="宋体" w:cs="宋体"/>
                <w:szCs w:val="21"/>
              </w:rPr>
            </w:pPr>
            <w:r>
              <w:rPr>
                <w:rFonts w:hint="eastAsia" w:ascii="宋体" w:hAnsi="宋体" w:cs="宋体"/>
                <w:szCs w:val="21"/>
              </w:rPr>
              <w:t>1  ……</w:t>
            </w:r>
          </w:p>
          <w:p w14:paraId="3FA0D4D9">
            <w:pPr>
              <w:spacing w:line="360" w:lineRule="auto"/>
              <w:rPr>
                <w:rFonts w:ascii="宋体" w:hAnsi="宋体" w:cs="宋体"/>
                <w:szCs w:val="21"/>
              </w:rPr>
            </w:pPr>
            <w:r>
              <w:rPr>
                <w:rFonts w:hint="eastAsia" w:ascii="宋体" w:hAnsi="宋体" w:cs="宋体"/>
                <w:szCs w:val="21"/>
              </w:rPr>
              <w:t>2  ……</w:t>
            </w:r>
          </w:p>
          <w:p w14:paraId="5FAD6498">
            <w:pPr>
              <w:spacing w:line="360" w:lineRule="auto"/>
              <w:rPr>
                <w:rFonts w:ascii="宋体" w:hAnsi="宋体" w:cs="宋体"/>
                <w:szCs w:val="21"/>
              </w:rPr>
            </w:pPr>
            <w:r>
              <w:rPr>
                <w:rFonts w:hint="eastAsia" w:ascii="宋体" w:hAnsi="宋体" w:cs="宋体"/>
                <w:szCs w:val="21"/>
              </w:rPr>
              <w:t>3  ……</w:t>
            </w:r>
          </w:p>
          <w:p w14:paraId="33BCA353">
            <w:pPr>
              <w:pStyle w:val="13"/>
              <w:spacing w:line="360" w:lineRule="auto"/>
              <w:rPr>
                <w:rFonts w:hAnsi="宋体" w:cs="宋体"/>
                <w:szCs w:val="21"/>
              </w:rPr>
            </w:pPr>
            <w:r>
              <w:rPr>
                <w:rFonts w:hint="eastAsia" w:hAnsi="宋体" w:cs="宋体"/>
                <w:szCs w:val="21"/>
              </w:rPr>
              <w:t>……</w:t>
            </w:r>
          </w:p>
        </w:tc>
        <w:tc>
          <w:tcPr>
            <w:tcW w:w="1687" w:type="dxa"/>
            <w:tcBorders>
              <w:top w:val="single" w:color="auto" w:sz="4" w:space="0"/>
              <w:left w:val="single" w:color="auto" w:sz="4" w:space="0"/>
              <w:bottom w:val="single" w:color="auto" w:sz="4" w:space="0"/>
              <w:right w:val="single" w:color="auto" w:sz="4" w:space="0"/>
            </w:tcBorders>
          </w:tcPr>
          <w:p w14:paraId="5F216230">
            <w:pPr>
              <w:pStyle w:val="13"/>
              <w:spacing w:line="360" w:lineRule="auto"/>
              <w:rPr>
                <w:rFonts w:hAnsi="宋体" w:cs="宋体"/>
                <w:szCs w:val="21"/>
              </w:rPr>
            </w:pPr>
            <w:r>
              <w:rPr>
                <w:rFonts w:hint="eastAsia" w:hAnsi="宋体" w:cs="宋体"/>
                <w:szCs w:val="21"/>
              </w:rPr>
              <w:t>正偏离（负偏离或无偏离）</w:t>
            </w:r>
          </w:p>
        </w:tc>
      </w:tr>
      <w:tr w14:paraId="7006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972AC03">
            <w:pPr>
              <w:pStyle w:val="13"/>
              <w:spacing w:line="360" w:lineRule="auto"/>
              <w:rPr>
                <w:rFonts w:hAnsi="宋体" w:cs="宋体"/>
                <w:szCs w:val="21"/>
              </w:rPr>
            </w:pPr>
            <w:r>
              <w:rPr>
                <w:rFonts w:hint="eastAsia" w:hAnsi="宋体" w:cs="宋体"/>
                <w:szCs w:val="21"/>
              </w:rPr>
              <w:t>...</w:t>
            </w:r>
          </w:p>
        </w:tc>
        <w:tc>
          <w:tcPr>
            <w:tcW w:w="4071" w:type="dxa"/>
            <w:tcBorders>
              <w:top w:val="single" w:color="auto" w:sz="4" w:space="0"/>
              <w:left w:val="single" w:color="auto" w:sz="4" w:space="0"/>
              <w:bottom w:val="single" w:color="auto" w:sz="4" w:space="0"/>
              <w:right w:val="single" w:color="auto" w:sz="4" w:space="0"/>
            </w:tcBorders>
          </w:tcPr>
          <w:p w14:paraId="10236F8E">
            <w:pPr>
              <w:spacing w:line="360" w:lineRule="auto"/>
              <w:rPr>
                <w:rFonts w:ascii="宋体" w:hAnsi="宋体" w:cs="宋体"/>
                <w:szCs w:val="21"/>
              </w:rPr>
            </w:pPr>
            <w:r>
              <w:rPr>
                <w:rFonts w:hint="eastAsia" w:ascii="宋体" w:hAnsi="宋体" w:cs="宋体"/>
                <w:szCs w:val="21"/>
              </w:rPr>
              <w:t>1  ……</w:t>
            </w:r>
          </w:p>
          <w:p w14:paraId="5C0140F7">
            <w:pPr>
              <w:spacing w:line="360" w:lineRule="auto"/>
              <w:rPr>
                <w:rFonts w:ascii="宋体" w:hAnsi="宋体" w:cs="宋体"/>
                <w:szCs w:val="21"/>
              </w:rPr>
            </w:pPr>
            <w:r>
              <w:rPr>
                <w:rFonts w:hint="eastAsia" w:ascii="宋体" w:hAnsi="宋体" w:cs="宋体"/>
                <w:szCs w:val="21"/>
              </w:rPr>
              <w:t>2  ……</w:t>
            </w:r>
          </w:p>
          <w:p w14:paraId="250192C0">
            <w:pPr>
              <w:spacing w:line="360" w:lineRule="auto"/>
              <w:rPr>
                <w:rFonts w:ascii="宋体" w:hAnsi="宋体" w:cs="宋体"/>
                <w:szCs w:val="21"/>
              </w:rPr>
            </w:pPr>
            <w:r>
              <w:rPr>
                <w:rFonts w:hint="eastAsia" w:ascii="宋体" w:hAnsi="宋体" w:cs="宋体"/>
                <w:szCs w:val="21"/>
              </w:rPr>
              <w:t>3  ……</w:t>
            </w:r>
          </w:p>
          <w:p w14:paraId="4C9A9486">
            <w:pPr>
              <w:pStyle w:val="13"/>
              <w:spacing w:line="360" w:lineRule="auto"/>
              <w:rPr>
                <w:rFonts w:hAnsi="宋体" w:cs="宋体"/>
                <w:szCs w:val="21"/>
              </w:rPr>
            </w:pPr>
            <w:r>
              <w:rPr>
                <w:rFonts w:hint="eastAsia" w:hAnsi="宋体" w:cs="宋体"/>
                <w:szCs w:val="21"/>
              </w:rPr>
              <w:t>……</w:t>
            </w:r>
          </w:p>
        </w:tc>
        <w:tc>
          <w:tcPr>
            <w:tcW w:w="3353" w:type="dxa"/>
            <w:tcBorders>
              <w:top w:val="single" w:color="auto" w:sz="4" w:space="0"/>
              <w:left w:val="single" w:color="auto" w:sz="4" w:space="0"/>
              <w:bottom w:val="single" w:color="auto" w:sz="4" w:space="0"/>
              <w:right w:val="single" w:color="auto" w:sz="4" w:space="0"/>
            </w:tcBorders>
          </w:tcPr>
          <w:p w14:paraId="5BCBF6C2">
            <w:pPr>
              <w:spacing w:line="360" w:lineRule="auto"/>
              <w:rPr>
                <w:rFonts w:ascii="宋体" w:hAnsi="宋体" w:cs="宋体"/>
                <w:szCs w:val="21"/>
              </w:rPr>
            </w:pPr>
            <w:r>
              <w:rPr>
                <w:rFonts w:hint="eastAsia" w:ascii="宋体" w:hAnsi="宋体" w:cs="宋体"/>
                <w:szCs w:val="21"/>
              </w:rPr>
              <w:t>1  ……</w:t>
            </w:r>
          </w:p>
          <w:p w14:paraId="7C044E83">
            <w:pPr>
              <w:spacing w:line="360" w:lineRule="auto"/>
              <w:rPr>
                <w:rFonts w:ascii="宋体" w:hAnsi="宋体" w:cs="宋体"/>
                <w:szCs w:val="21"/>
              </w:rPr>
            </w:pPr>
            <w:r>
              <w:rPr>
                <w:rFonts w:hint="eastAsia" w:ascii="宋体" w:hAnsi="宋体" w:cs="宋体"/>
                <w:szCs w:val="21"/>
              </w:rPr>
              <w:t>2  ……</w:t>
            </w:r>
          </w:p>
          <w:p w14:paraId="167DD042">
            <w:pPr>
              <w:spacing w:line="360" w:lineRule="auto"/>
              <w:rPr>
                <w:rFonts w:ascii="宋体" w:hAnsi="宋体" w:cs="宋体"/>
                <w:szCs w:val="21"/>
              </w:rPr>
            </w:pPr>
            <w:r>
              <w:rPr>
                <w:rFonts w:hint="eastAsia" w:ascii="宋体" w:hAnsi="宋体" w:cs="宋体"/>
                <w:szCs w:val="21"/>
              </w:rPr>
              <w:t>3  ……</w:t>
            </w:r>
          </w:p>
          <w:p w14:paraId="57A04D45">
            <w:pPr>
              <w:pStyle w:val="13"/>
              <w:spacing w:line="360" w:lineRule="auto"/>
              <w:rPr>
                <w:rFonts w:hAnsi="宋体" w:cs="宋体"/>
                <w:szCs w:val="21"/>
              </w:rPr>
            </w:pPr>
            <w:r>
              <w:rPr>
                <w:rFonts w:hint="eastAsia" w:hAnsi="宋体" w:cs="宋体"/>
                <w:szCs w:val="21"/>
              </w:rPr>
              <w:t>……</w:t>
            </w:r>
          </w:p>
        </w:tc>
        <w:tc>
          <w:tcPr>
            <w:tcW w:w="1687" w:type="dxa"/>
            <w:tcBorders>
              <w:top w:val="single" w:color="auto" w:sz="4" w:space="0"/>
              <w:left w:val="single" w:color="auto" w:sz="4" w:space="0"/>
              <w:bottom w:val="single" w:color="auto" w:sz="4" w:space="0"/>
              <w:right w:val="single" w:color="auto" w:sz="4" w:space="0"/>
            </w:tcBorders>
          </w:tcPr>
          <w:p w14:paraId="560F1CA8">
            <w:pPr>
              <w:pStyle w:val="13"/>
              <w:spacing w:line="360" w:lineRule="auto"/>
              <w:rPr>
                <w:rFonts w:hAnsi="宋体" w:cs="宋体"/>
                <w:szCs w:val="21"/>
              </w:rPr>
            </w:pPr>
          </w:p>
          <w:p w14:paraId="690E0F79">
            <w:pPr>
              <w:pStyle w:val="13"/>
              <w:spacing w:line="360" w:lineRule="auto"/>
              <w:rPr>
                <w:rFonts w:hAnsi="宋体" w:cs="宋体"/>
                <w:szCs w:val="21"/>
              </w:rPr>
            </w:pPr>
            <w:r>
              <w:rPr>
                <w:rFonts w:hint="eastAsia" w:hAnsi="宋体" w:cs="宋体"/>
                <w:szCs w:val="21"/>
              </w:rPr>
              <w:t>正偏离（负偏离或无偏离）</w:t>
            </w:r>
          </w:p>
        </w:tc>
      </w:tr>
      <w:tr w14:paraId="690C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4"/>
            <w:tcBorders>
              <w:top w:val="single" w:color="auto" w:sz="4" w:space="0"/>
              <w:left w:val="single" w:color="auto" w:sz="4" w:space="0"/>
              <w:bottom w:val="single" w:color="auto" w:sz="4" w:space="0"/>
              <w:right w:val="single" w:color="auto" w:sz="4" w:space="0"/>
            </w:tcBorders>
          </w:tcPr>
          <w:p w14:paraId="2A87BBAA">
            <w:pPr>
              <w:pStyle w:val="13"/>
              <w:spacing w:line="360" w:lineRule="auto"/>
              <w:rPr>
                <w:rFonts w:hAnsi="宋体" w:cs="宋体"/>
                <w:szCs w:val="21"/>
              </w:rPr>
            </w:pPr>
            <w:r>
              <w:rPr>
                <w:rFonts w:hint="eastAsia" w:hAnsi="宋体" w:cs="宋体"/>
                <w:szCs w:val="21"/>
              </w:rPr>
              <w:t>磋商供应商（盖单位公章）：</w:t>
            </w:r>
          </w:p>
        </w:tc>
      </w:tr>
      <w:tr w14:paraId="23CB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4"/>
            <w:tcBorders>
              <w:top w:val="single" w:color="auto" w:sz="4" w:space="0"/>
              <w:left w:val="single" w:color="auto" w:sz="4" w:space="0"/>
              <w:bottom w:val="single" w:color="auto" w:sz="4" w:space="0"/>
              <w:right w:val="single" w:color="auto" w:sz="4" w:space="0"/>
            </w:tcBorders>
          </w:tcPr>
          <w:p w14:paraId="3ABCA1E6">
            <w:pPr>
              <w:pStyle w:val="13"/>
              <w:spacing w:line="360" w:lineRule="auto"/>
              <w:rPr>
                <w:rFonts w:hAnsi="宋体" w:cs="宋体"/>
                <w:szCs w:val="21"/>
              </w:rPr>
            </w:pPr>
            <w:r>
              <w:rPr>
                <w:rFonts w:hint="eastAsia" w:hAnsi="宋体" w:cs="宋体"/>
                <w:szCs w:val="21"/>
              </w:rPr>
              <w:t>法定代表人或其委托代理人（签字或盖章）：</w:t>
            </w:r>
          </w:p>
        </w:tc>
      </w:tr>
    </w:tbl>
    <w:p w14:paraId="142BB320">
      <w:pPr>
        <w:pStyle w:val="13"/>
        <w:spacing w:line="480" w:lineRule="auto"/>
        <w:ind w:left="689" w:leftChars="228" w:hanging="210" w:hangingChars="100"/>
        <w:rPr>
          <w:rFonts w:hint="eastAsia" w:ascii="宋体" w:hAnsi="宋体" w:eastAsia="宋体" w:cs="宋体"/>
          <w:szCs w:val="21"/>
        </w:rPr>
      </w:pPr>
      <w:r>
        <w:rPr>
          <w:rFonts w:hint="eastAsia" w:ascii="宋体" w:hAnsi="宋体" w:eastAsia="宋体" w:cs="宋体"/>
          <w:szCs w:val="21"/>
        </w:rPr>
        <w:t>注：⑴表格内容均需按要求填写并盖章，不得留空，否则按无效响应处理。</w:t>
      </w:r>
    </w:p>
    <w:p w14:paraId="62051A25">
      <w:pPr>
        <w:pStyle w:val="13"/>
        <w:spacing w:line="480" w:lineRule="auto"/>
        <w:ind w:left="689" w:leftChars="228" w:hanging="210" w:hangingChars="100"/>
        <w:rPr>
          <w:rFonts w:hAnsi="宋体" w:cs="宋体"/>
          <w:b/>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当响应文件的技术参数或商务内容低于竞争性磋商采购文件要求时，磋商供应商应当如实写明“负偏离”，否则视为虚假应标。</w:t>
      </w:r>
      <w:r>
        <w:rPr>
          <w:rFonts w:hint="eastAsia" w:hAnsi="宋体" w:cs="宋体"/>
          <w:b/>
        </w:rPr>
        <w:br w:type="page"/>
      </w:r>
    </w:p>
    <w:p w14:paraId="75DD9DC8">
      <w:pPr>
        <w:pStyle w:val="13"/>
        <w:spacing w:line="360" w:lineRule="auto"/>
        <w:rPr>
          <w:rFonts w:hint="eastAsia" w:hAnsi="宋体" w:cs="宋体"/>
          <w:b/>
        </w:rPr>
      </w:pPr>
      <w:r>
        <w:rPr>
          <w:rFonts w:hint="eastAsia" w:hAnsi="宋体" w:cs="宋体"/>
          <w:b/>
        </w:rPr>
        <w:t>格式</w:t>
      </w:r>
      <w:r>
        <w:rPr>
          <w:rFonts w:hint="eastAsia" w:hAnsi="宋体" w:cs="宋体"/>
          <w:b/>
          <w:lang w:val="en-US" w:eastAsia="zh-CN"/>
        </w:rPr>
        <w:t>6</w:t>
      </w:r>
      <w:r>
        <w:rPr>
          <w:rFonts w:hint="eastAsia" w:hAnsi="宋体" w:cs="宋体"/>
          <w:b/>
        </w:rPr>
        <w:t>：</w:t>
      </w:r>
    </w:p>
    <w:p w14:paraId="0D4FEF9C">
      <w:pPr>
        <w:rPr>
          <w:rFonts w:hint="eastAsia" w:hAnsi="宋体" w:cs="宋体"/>
          <w:b/>
        </w:rPr>
      </w:pPr>
    </w:p>
    <w:p w14:paraId="2FEA6F3B">
      <w:pPr>
        <w:rPr>
          <w:rFonts w:hint="eastAsia" w:hAnsi="宋体" w:cs="宋体"/>
          <w:b/>
        </w:rPr>
      </w:pPr>
    </w:p>
    <w:p w14:paraId="1A943506">
      <w:pPr>
        <w:pStyle w:val="13"/>
        <w:spacing w:line="440" w:lineRule="exact"/>
        <w:jc w:val="center"/>
        <w:rPr>
          <w:rFonts w:hint="eastAsia"/>
          <w:b/>
          <w:color w:val="auto"/>
          <w:sz w:val="32"/>
          <w:szCs w:val="32"/>
          <w:highlight w:val="none"/>
        </w:rPr>
      </w:pPr>
      <w:r>
        <w:rPr>
          <w:rFonts w:hint="eastAsia" w:ascii="宋体" w:hAnsi="Courier New" w:eastAsia="宋体" w:cs="Times New Roman"/>
          <w:b/>
          <w:color w:val="auto"/>
          <w:sz w:val="32"/>
          <w:szCs w:val="32"/>
          <w:highlight w:val="none"/>
          <w:lang w:eastAsia="zh-CN"/>
        </w:rPr>
        <w:t>法定代表人</w:t>
      </w:r>
      <w:r>
        <w:rPr>
          <w:rFonts w:hint="eastAsia" w:ascii="宋体" w:hAnsi="Courier New" w:eastAsia="宋体" w:cs="Times New Roman"/>
          <w:b/>
          <w:color w:val="auto"/>
          <w:sz w:val="32"/>
          <w:szCs w:val="32"/>
          <w:highlight w:val="none"/>
        </w:rPr>
        <w:t>身份证明书</w:t>
      </w:r>
      <w:r>
        <w:rPr>
          <w:rFonts w:hint="eastAsia"/>
          <w:b/>
          <w:color w:val="auto"/>
          <w:sz w:val="32"/>
          <w:szCs w:val="32"/>
          <w:highlight w:val="none"/>
        </w:rPr>
        <w:t>（格式）</w:t>
      </w:r>
    </w:p>
    <w:p w14:paraId="5D844068">
      <w:pPr>
        <w:pStyle w:val="13"/>
        <w:spacing w:line="460" w:lineRule="exact"/>
        <w:ind w:firstLine="542" w:firstLineChars="257"/>
        <w:jc w:val="center"/>
        <w:rPr>
          <w:rFonts w:hint="eastAsia"/>
          <w:b/>
          <w:color w:val="auto"/>
          <w:highlight w:val="none"/>
        </w:rPr>
      </w:pPr>
    </w:p>
    <w:p w14:paraId="4A116766">
      <w:pPr>
        <w:spacing w:line="500" w:lineRule="exact"/>
        <w:rPr>
          <w:rFonts w:hint="eastAsia" w:ascii="宋体" w:hAnsi="宋体"/>
          <w:color w:val="auto"/>
          <w:szCs w:val="21"/>
          <w:highlight w:val="none"/>
        </w:rPr>
      </w:pPr>
      <w:r>
        <w:rPr>
          <w:rFonts w:hint="eastAsia" w:ascii="宋体" w:hAnsi="宋体"/>
          <w:color w:val="auto"/>
          <w:szCs w:val="21"/>
          <w:highlight w:val="none"/>
        </w:rPr>
        <w:t>竞 标 人：</w:t>
      </w:r>
      <w:r>
        <w:rPr>
          <w:rFonts w:hint="eastAsia" w:ascii="宋体" w:hAnsi="宋体"/>
          <w:color w:val="auto"/>
          <w:szCs w:val="21"/>
          <w:highlight w:val="none"/>
          <w:u w:val="single"/>
        </w:rPr>
        <w:t xml:space="preserve">                                                        </w:t>
      </w:r>
    </w:p>
    <w:p w14:paraId="0418E779">
      <w:pPr>
        <w:spacing w:line="500" w:lineRule="exact"/>
        <w:rPr>
          <w:rFonts w:hint="eastAsia"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1F4271B9">
      <w:pPr>
        <w:spacing w:line="500" w:lineRule="exac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735F1331">
      <w:pPr>
        <w:spacing w:line="500" w:lineRule="exact"/>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F856F6A">
      <w:pPr>
        <w:spacing w:line="500" w:lineRule="exact"/>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4B7EB5D2">
      <w:pPr>
        <w:spacing w:line="500" w:lineRule="exact"/>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24A347ED">
      <w:pPr>
        <w:spacing w:line="500" w:lineRule="exact"/>
        <w:rPr>
          <w:rFonts w:hint="eastAsia" w:ascii="宋体" w:hAnsi="宋体"/>
          <w:color w:val="auto"/>
          <w:szCs w:val="21"/>
          <w:highlight w:val="none"/>
          <w:u w:val="singl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6BF2495D">
      <w:pPr>
        <w:spacing w:line="500" w:lineRule="exact"/>
        <w:rPr>
          <w:rFonts w:hint="eastAsia"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r>
        <w:rPr>
          <w:rFonts w:hint="eastAsia"/>
          <w:color w:val="auto"/>
          <w:szCs w:val="21"/>
          <w:highlight w:val="none"/>
          <w:u w:val="single"/>
        </w:rPr>
        <w:t xml:space="preserve">                                 </w:t>
      </w:r>
    </w:p>
    <w:p w14:paraId="780D66B1">
      <w:pPr>
        <w:spacing w:line="500" w:lineRule="exact"/>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（供应商名称）的</w:t>
      </w:r>
      <w:r>
        <w:rPr>
          <w:rFonts w:hint="eastAsia" w:hAnsi="宋体"/>
          <w:color w:val="auto"/>
          <w:szCs w:val="21"/>
          <w:highlight w:val="none"/>
          <w:lang w:eastAsia="zh-CN"/>
        </w:rPr>
        <w:t>法定代表人</w:t>
      </w:r>
      <w:r>
        <w:rPr>
          <w:rFonts w:hint="eastAsia" w:ascii="宋体" w:hAnsi="宋体"/>
          <w:color w:val="auto"/>
          <w:szCs w:val="21"/>
          <w:highlight w:val="none"/>
        </w:rPr>
        <w:t>。</w:t>
      </w:r>
    </w:p>
    <w:p w14:paraId="4402EA6F">
      <w:pPr>
        <w:pStyle w:val="13"/>
        <w:spacing w:line="460" w:lineRule="exact"/>
        <w:ind w:firstLine="539" w:firstLineChars="257"/>
        <w:rPr>
          <w:rFonts w:hint="eastAsia" w:hAnsi="宋体"/>
          <w:color w:val="auto"/>
          <w:sz w:val="21"/>
          <w:highlight w:val="none"/>
        </w:rPr>
      </w:pPr>
      <w:r>
        <w:rPr>
          <w:rFonts w:hint="eastAsia" w:hAnsi="宋体"/>
          <w:color w:val="auto"/>
          <w:sz w:val="21"/>
          <w:highlight w:val="none"/>
        </w:rPr>
        <w:t>特此证明。</w:t>
      </w:r>
    </w:p>
    <w:p w14:paraId="5467C6AB">
      <w:pPr>
        <w:pStyle w:val="13"/>
        <w:spacing w:line="460" w:lineRule="exact"/>
        <w:ind w:firstLine="539" w:firstLineChars="257"/>
        <w:rPr>
          <w:rFonts w:hint="eastAsia"/>
          <w:color w:val="auto"/>
          <w:sz w:val="21"/>
          <w:highlight w:val="none"/>
        </w:rPr>
      </w:pPr>
      <w:r>
        <w:rPr>
          <w:rFonts w:hint="eastAsia" w:hAnsi="宋体"/>
          <w:color w:val="auto"/>
          <w:sz w:val="21"/>
          <w:highlight w:val="none"/>
        </w:rPr>
        <w:t>附：</w:t>
      </w:r>
      <w:r>
        <w:rPr>
          <w:rFonts w:hint="eastAsia" w:hAnsi="宋体"/>
          <w:color w:val="auto"/>
          <w:sz w:val="21"/>
          <w:highlight w:val="none"/>
          <w:lang w:eastAsia="zh-CN"/>
        </w:rPr>
        <w:t>法定代表人</w:t>
      </w:r>
      <w:r>
        <w:rPr>
          <w:rFonts w:hint="eastAsia" w:hAnsi="宋体"/>
          <w:color w:val="auto"/>
          <w:sz w:val="21"/>
          <w:highlight w:val="none"/>
        </w:rPr>
        <w:t>身份证正反面复印件</w:t>
      </w:r>
    </w:p>
    <w:p w14:paraId="67137E18">
      <w:pPr>
        <w:pStyle w:val="13"/>
        <w:spacing w:line="460" w:lineRule="exact"/>
        <w:ind w:firstLine="539" w:firstLineChars="257"/>
        <w:rPr>
          <w:rFonts w:hint="eastAsia"/>
          <w:color w:val="auto"/>
          <w:sz w:val="21"/>
          <w:highlight w:val="none"/>
        </w:rPr>
      </w:pPr>
    </w:p>
    <w:p w14:paraId="71842390">
      <w:pPr>
        <w:pStyle w:val="13"/>
        <w:spacing w:line="460" w:lineRule="exact"/>
        <w:ind w:firstLine="539" w:firstLineChars="257"/>
        <w:rPr>
          <w:rFonts w:hint="eastAsia"/>
          <w:color w:val="auto"/>
          <w:sz w:val="21"/>
          <w:highlight w:val="none"/>
        </w:rPr>
      </w:pPr>
    </w:p>
    <w:p w14:paraId="31ED343A">
      <w:pPr>
        <w:pStyle w:val="13"/>
        <w:spacing w:line="460" w:lineRule="exact"/>
        <w:ind w:firstLine="539" w:firstLineChars="257"/>
        <w:rPr>
          <w:rFonts w:hint="eastAsia"/>
          <w:color w:val="auto"/>
          <w:sz w:val="21"/>
          <w:highlight w:val="none"/>
        </w:rPr>
      </w:pPr>
    </w:p>
    <w:p w14:paraId="111BFE43">
      <w:pPr>
        <w:pStyle w:val="13"/>
        <w:wordWrap w:val="0"/>
        <w:spacing w:line="460" w:lineRule="exact"/>
        <w:ind w:firstLine="539" w:firstLineChars="257"/>
        <w:jc w:val="right"/>
        <w:rPr>
          <w:rFonts w:hint="eastAsia"/>
          <w:color w:val="auto"/>
          <w:sz w:val="21"/>
          <w:highlight w:val="none"/>
        </w:rPr>
      </w:pPr>
      <w:r>
        <w:rPr>
          <w:rFonts w:hint="eastAsia"/>
          <w:color w:val="auto"/>
          <w:sz w:val="21"/>
          <w:highlight w:val="none"/>
        </w:rPr>
        <w:t>供应商：（盖单位公章）</w:t>
      </w:r>
      <w:r>
        <w:rPr>
          <w:rFonts w:hint="eastAsia"/>
          <w:color w:val="auto"/>
          <w:sz w:val="21"/>
          <w:highlight w:val="none"/>
          <w:u w:val="single"/>
        </w:rPr>
        <w:t xml:space="preserve">                     </w:t>
      </w:r>
    </w:p>
    <w:p w14:paraId="2AFC7B72">
      <w:pPr>
        <w:pStyle w:val="13"/>
        <w:spacing w:line="460" w:lineRule="exact"/>
        <w:ind w:firstLine="539" w:firstLineChars="257"/>
        <w:rPr>
          <w:rFonts w:hint="eastAsia"/>
          <w:color w:val="auto"/>
          <w:sz w:val="21"/>
          <w:highlight w:val="none"/>
        </w:rPr>
      </w:pPr>
    </w:p>
    <w:p w14:paraId="70EFAAF3">
      <w:pPr>
        <w:pStyle w:val="13"/>
        <w:spacing w:line="460" w:lineRule="exact"/>
        <w:ind w:firstLine="525" w:firstLineChars="250"/>
        <w:jc w:val="right"/>
        <w:rPr>
          <w:rFonts w:hint="eastAsia"/>
          <w:color w:val="auto"/>
          <w:sz w:val="21"/>
          <w:highlight w:val="none"/>
        </w:rPr>
      </w:pPr>
      <w:r>
        <w:rPr>
          <w:rFonts w:hint="eastAsia"/>
          <w:color w:val="auto"/>
          <w:sz w:val="21"/>
          <w:highlight w:val="none"/>
        </w:rPr>
        <w:t>日期：   年    月    日</w:t>
      </w:r>
    </w:p>
    <w:p w14:paraId="5F12980C">
      <w:pPr>
        <w:rPr>
          <w:rFonts w:hint="eastAsia" w:hAnsi="宋体" w:cs="宋体"/>
          <w:b/>
        </w:rPr>
      </w:pPr>
    </w:p>
    <w:p w14:paraId="6C6885EA">
      <w:pPr>
        <w:rPr>
          <w:rFonts w:hint="eastAsia" w:hAnsi="宋体" w:cs="宋体"/>
          <w:b/>
        </w:rPr>
      </w:pPr>
    </w:p>
    <w:p w14:paraId="51E6C27F">
      <w:pPr>
        <w:rPr>
          <w:rFonts w:hint="eastAsia" w:hAnsi="宋体" w:cs="宋体"/>
          <w:b/>
        </w:rPr>
      </w:pPr>
    </w:p>
    <w:p w14:paraId="2CA606F7">
      <w:pPr>
        <w:rPr>
          <w:rFonts w:hint="eastAsia" w:hAnsi="宋体" w:cs="宋体"/>
          <w:b/>
        </w:rPr>
      </w:pPr>
    </w:p>
    <w:p w14:paraId="0D6D97C4">
      <w:pPr>
        <w:rPr>
          <w:rFonts w:hint="eastAsia" w:hAnsi="宋体" w:cs="宋体"/>
          <w:b/>
        </w:rPr>
      </w:pPr>
    </w:p>
    <w:p w14:paraId="1AFD1535">
      <w:pPr>
        <w:rPr>
          <w:rFonts w:hint="eastAsia" w:hAnsi="宋体" w:cs="宋体"/>
          <w:b/>
        </w:rPr>
      </w:pPr>
    </w:p>
    <w:p w14:paraId="0180EEE6">
      <w:pPr>
        <w:rPr>
          <w:rFonts w:hint="eastAsia" w:hAnsi="宋体" w:cs="宋体"/>
          <w:b/>
        </w:rPr>
      </w:pPr>
    </w:p>
    <w:p w14:paraId="2A7633AB">
      <w:pPr>
        <w:rPr>
          <w:rFonts w:hint="eastAsia" w:hAnsi="宋体" w:cs="宋体"/>
          <w:b/>
        </w:rPr>
      </w:pPr>
    </w:p>
    <w:p w14:paraId="37503190">
      <w:pPr>
        <w:rPr>
          <w:rFonts w:hint="eastAsia" w:hAnsi="宋体" w:cs="宋体"/>
          <w:b/>
        </w:rPr>
      </w:pPr>
    </w:p>
    <w:p w14:paraId="3C331A36">
      <w:pPr>
        <w:rPr>
          <w:rFonts w:hint="eastAsia" w:hAnsi="宋体" w:cs="宋体"/>
          <w:b/>
        </w:rPr>
      </w:pPr>
    </w:p>
    <w:p w14:paraId="668B4753">
      <w:pPr>
        <w:rPr>
          <w:rFonts w:hint="eastAsia" w:hAnsi="宋体" w:cs="宋体"/>
          <w:b/>
        </w:rPr>
      </w:pPr>
    </w:p>
    <w:p w14:paraId="30D1EDFB">
      <w:pPr>
        <w:pStyle w:val="13"/>
        <w:spacing w:line="360" w:lineRule="auto"/>
        <w:rPr>
          <w:rFonts w:hint="eastAsia" w:hAnsi="宋体" w:cs="宋体"/>
          <w:b/>
        </w:rPr>
      </w:pPr>
    </w:p>
    <w:p w14:paraId="12FC11CB">
      <w:pPr>
        <w:pStyle w:val="13"/>
        <w:spacing w:line="360" w:lineRule="auto"/>
        <w:rPr>
          <w:rFonts w:hint="eastAsia" w:hAnsi="宋体" w:cs="宋体"/>
          <w:b/>
        </w:rPr>
      </w:pPr>
    </w:p>
    <w:p w14:paraId="5A9AC426">
      <w:pPr>
        <w:pStyle w:val="13"/>
        <w:spacing w:line="360" w:lineRule="auto"/>
        <w:rPr>
          <w:rFonts w:hint="eastAsia" w:hAnsi="宋体" w:cs="宋体"/>
          <w:b/>
        </w:rPr>
      </w:pPr>
    </w:p>
    <w:p w14:paraId="6348709C">
      <w:pPr>
        <w:pStyle w:val="13"/>
        <w:spacing w:line="360" w:lineRule="auto"/>
        <w:rPr>
          <w:rFonts w:hint="eastAsia" w:hAnsi="宋体" w:cs="宋体"/>
          <w:b/>
        </w:rPr>
      </w:pPr>
      <w:r>
        <w:rPr>
          <w:rFonts w:hint="eastAsia" w:hAnsi="宋体" w:cs="宋体"/>
          <w:b/>
        </w:rPr>
        <w:t>格式</w:t>
      </w:r>
      <w:r>
        <w:rPr>
          <w:rFonts w:hint="eastAsia" w:hAnsi="宋体" w:cs="宋体"/>
          <w:b/>
          <w:lang w:val="en-US" w:eastAsia="zh-CN"/>
        </w:rPr>
        <w:t>7</w:t>
      </w:r>
      <w:r>
        <w:rPr>
          <w:rFonts w:hint="eastAsia" w:hAnsi="宋体" w:cs="宋体"/>
          <w:b/>
        </w:rPr>
        <w:t>：</w:t>
      </w:r>
    </w:p>
    <w:p w14:paraId="797A9CBA">
      <w:pPr>
        <w:rPr>
          <w:rFonts w:hint="eastAsia" w:hAnsi="宋体" w:cs="宋体"/>
          <w:b/>
        </w:rPr>
      </w:pPr>
    </w:p>
    <w:p w14:paraId="48D4C62A">
      <w:pPr>
        <w:pStyle w:val="13"/>
        <w:spacing w:line="360" w:lineRule="auto"/>
        <w:jc w:val="center"/>
        <w:rPr>
          <w:rFonts w:hAnsi="宋体" w:cs="宋体"/>
          <w:b/>
          <w:bCs/>
          <w:sz w:val="30"/>
          <w:szCs w:val="30"/>
        </w:rPr>
      </w:pPr>
      <w:r>
        <w:rPr>
          <w:rFonts w:hint="eastAsia" w:hAnsi="宋体" w:cs="宋体"/>
          <w:b/>
          <w:bCs/>
          <w:sz w:val="30"/>
          <w:szCs w:val="30"/>
        </w:rPr>
        <w:t>法定代表人授权委托书（格式）</w:t>
      </w:r>
    </w:p>
    <w:p w14:paraId="71977653">
      <w:pPr>
        <w:pStyle w:val="13"/>
        <w:spacing w:line="360" w:lineRule="auto"/>
        <w:ind w:firstLine="420" w:firstLineChars="200"/>
        <w:rPr>
          <w:rFonts w:hAnsi="宋体" w:cs="宋体"/>
          <w:u w:val="single"/>
        </w:rPr>
      </w:pPr>
    </w:p>
    <w:p w14:paraId="1B20B597">
      <w:pPr>
        <w:pStyle w:val="13"/>
        <w:spacing w:line="480" w:lineRule="auto"/>
        <w:rPr>
          <w:rFonts w:hAnsi="宋体" w:cs="宋体"/>
          <w:szCs w:val="21"/>
        </w:rPr>
      </w:pPr>
      <w:r>
        <w:rPr>
          <w:rFonts w:hint="eastAsia" w:hAnsi="宋体" w:cs="宋体"/>
          <w:szCs w:val="21"/>
        </w:rPr>
        <w:t>致：</w:t>
      </w:r>
      <w:r>
        <w:rPr>
          <w:rFonts w:hint="eastAsia" w:hAnsi="宋体" w:cs="宋体"/>
          <w:szCs w:val="21"/>
          <w:u w:val="single"/>
        </w:rPr>
        <w:t xml:space="preserve">                      </w:t>
      </w:r>
      <w:r>
        <w:rPr>
          <w:rFonts w:hint="eastAsia" w:hAnsi="宋体" w:cs="宋体"/>
          <w:szCs w:val="21"/>
        </w:rPr>
        <w:t>（采购代理机构名称）</w:t>
      </w:r>
    </w:p>
    <w:p w14:paraId="548FBEF4">
      <w:pPr>
        <w:pStyle w:val="13"/>
        <w:spacing w:line="480" w:lineRule="auto"/>
        <w:ind w:firstLine="420" w:firstLineChars="200"/>
        <w:rPr>
          <w:rFonts w:hAnsi="宋体" w:cs="宋体"/>
          <w:szCs w:val="21"/>
        </w:rPr>
      </w:pPr>
    </w:p>
    <w:p w14:paraId="5E70A83D">
      <w:pPr>
        <w:pStyle w:val="13"/>
        <w:spacing w:line="480" w:lineRule="auto"/>
        <w:ind w:firstLine="420" w:firstLineChars="200"/>
        <w:rPr>
          <w:rFonts w:hAnsi="宋体" w:cs="宋体"/>
          <w:szCs w:val="21"/>
        </w:rPr>
      </w:pPr>
      <w:r>
        <w:rPr>
          <w:rFonts w:hint="eastAsia" w:hAnsi="宋体" w:cs="宋体"/>
          <w:szCs w:val="21"/>
        </w:rPr>
        <w:t>本人</w:t>
      </w:r>
      <w:r>
        <w:rPr>
          <w:rFonts w:hint="eastAsia" w:hAnsi="宋体" w:cs="宋体"/>
          <w:szCs w:val="21"/>
          <w:u w:val="single"/>
        </w:rPr>
        <w:t xml:space="preserve">        </w:t>
      </w:r>
      <w:r>
        <w:rPr>
          <w:rFonts w:hint="eastAsia" w:hAnsi="宋体" w:cs="宋体"/>
          <w:szCs w:val="21"/>
        </w:rPr>
        <w:t>（姓名）系</w:t>
      </w:r>
      <w:r>
        <w:rPr>
          <w:rFonts w:hint="eastAsia" w:hAnsi="宋体" w:cs="宋体"/>
          <w:szCs w:val="21"/>
          <w:u w:val="single"/>
        </w:rPr>
        <w:t xml:space="preserve">                 </w:t>
      </w:r>
      <w:r>
        <w:rPr>
          <w:rFonts w:hint="eastAsia" w:hAnsi="宋体" w:cs="宋体"/>
          <w:szCs w:val="21"/>
        </w:rPr>
        <w:t>（供应商名称）的法定代表人，现授权</w:t>
      </w:r>
      <w:r>
        <w:rPr>
          <w:rFonts w:hint="eastAsia" w:hAnsi="宋体" w:cs="宋体"/>
          <w:szCs w:val="21"/>
          <w:u w:val="single"/>
        </w:rPr>
        <w:t xml:space="preserve">        </w:t>
      </w:r>
      <w:r>
        <w:rPr>
          <w:rFonts w:hint="eastAsia" w:hAnsi="宋体" w:cs="宋体"/>
          <w:szCs w:val="21"/>
        </w:rPr>
        <w:t>（姓名和职务）为我方代理人。代理人根据授权，以我方名义签署、澄清、说明、补正、递交、撤回、修改贵方组织的</w:t>
      </w:r>
      <w:r>
        <w:rPr>
          <w:rFonts w:hint="eastAsia" w:hAnsi="宋体" w:cs="宋体"/>
          <w:szCs w:val="21"/>
          <w:u w:val="single"/>
        </w:rPr>
        <w:t xml:space="preserve">                </w:t>
      </w:r>
      <w:r>
        <w:rPr>
          <w:rFonts w:hint="eastAsia" w:hAnsi="宋体" w:cs="宋体"/>
          <w:szCs w:val="21"/>
        </w:rPr>
        <w:t>项目（项目编号：</w:t>
      </w:r>
      <w:r>
        <w:rPr>
          <w:rFonts w:hint="eastAsia" w:hAnsi="宋体" w:cs="宋体"/>
          <w:szCs w:val="21"/>
          <w:u w:val="single"/>
        </w:rPr>
        <w:t xml:space="preserve">             </w:t>
      </w:r>
      <w:r>
        <w:rPr>
          <w:rFonts w:hint="eastAsia" w:hAnsi="宋体" w:cs="宋体"/>
          <w:szCs w:val="21"/>
        </w:rPr>
        <w:t>）的响应文件、签订合同和处理一切有关事宜，其法律后果由我方承担。</w:t>
      </w:r>
    </w:p>
    <w:p w14:paraId="4E65DAAD">
      <w:pPr>
        <w:pStyle w:val="13"/>
        <w:spacing w:line="480" w:lineRule="auto"/>
        <w:ind w:firstLine="420" w:firstLineChars="200"/>
        <w:rPr>
          <w:rFonts w:hAnsi="宋体" w:cs="宋体"/>
          <w:szCs w:val="21"/>
        </w:rPr>
      </w:pPr>
      <w:r>
        <w:rPr>
          <w:rFonts w:hint="eastAsia" w:hAnsi="宋体" w:cs="宋体"/>
          <w:szCs w:val="21"/>
        </w:rPr>
        <w:t>本授权书于</w:t>
      </w:r>
      <w:r>
        <w:rPr>
          <w:rFonts w:hint="eastAsia" w:hAnsi="宋体" w:cs="宋体"/>
          <w:spacing w:val="10"/>
          <w:szCs w:val="21"/>
          <w:u w:val="single"/>
        </w:rPr>
        <w:t xml:space="preserve">    </w:t>
      </w:r>
      <w:r>
        <w:rPr>
          <w:rFonts w:hint="eastAsia" w:hAnsi="宋体" w:cs="宋体"/>
          <w:szCs w:val="21"/>
        </w:rPr>
        <w:t>年</w:t>
      </w:r>
      <w:r>
        <w:rPr>
          <w:rFonts w:hint="eastAsia" w:hAnsi="宋体" w:cs="宋体"/>
          <w:spacing w:val="10"/>
          <w:szCs w:val="21"/>
          <w:u w:val="single"/>
        </w:rPr>
        <w:t xml:space="preserve">    </w:t>
      </w:r>
      <w:r>
        <w:rPr>
          <w:rFonts w:hint="eastAsia" w:hAnsi="宋体" w:cs="宋体"/>
          <w:szCs w:val="21"/>
        </w:rPr>
        <w:t>月</w:t>
      </w:r>
      <w:r>
        <w:rPr>
          <w:rFonts w:hint="eastAsia" w:hAnsi="宋体" w:cs="宋体"/>
          <w:spacing w:val="10"/>
          <w:szCs w:val="21"/>
          <w:u w:val="single"/>
        </w:rPr>
        <w:t xml:space="preserve">    </w:t>
      </w:r>
      <w:r>
        <w:rPr>
          <w:rFonts w:hint="eastAsia" w:hAnsi="宋体" w:cs="宋体"/>
          <w:szCs w:val="21"/>
        </w:rPr>
        <w:t>日签字生效，委托期限：</w:t>
      </w:r>
      <w:r>
        <w:rPr>
          <w:rFonts w:hint="eastAsia" w:hAnsi="宋体" w:cs="宋体"/>
          <w:spacing w:val="10"/>
          <w:szCs w:val="21"/>
          <w:u w:val="single"/>
        </w:rPr>
        <w:t xml:space="preserve">          </w:t>
      </w:r>
      <w:r>
        <w:rPr>
          <w:rFonts w:hint="eastAsia" w:hAnsi="宋体" w:cs="宋体"/>
          <w:szCs w:val="21"/>
        </w:rPr>
        <w:t>。</w:t>
      </w:r>
    </w:p>
    <w:p w14:paraId="227F7DE0">
      <w:pPr>
        <w:pStyle w:val="13"/>
        <w:spacing w:line="480" w:lineRule="auto"/>
        <w:ind w:firstLine="420" w:firstLineChars="200"/>
        <w:rPr>
          <w:rFonts w:hAnsi="宋体" w:cs="宋体"/>
          <w:szCs w:val="21"/>
        </w:rPr>
      </w:pPr>
      <w:r>
        <w:rPr>
          <w:rFonts w:hint="eastAsia" w:hAnsi="宋体" w:cs="宋体"/>
          <w:szCs w:val="21"/>
        </w:rPr>
        <w:t>代理人无转委托权。</w:t>
      </w:r>
    </w:p>
    <w:p w14:paraId="2E0B485A">
      <w:pPr>
        <w:pStyle w:val="13"/>
        <w:spacing w:line="460" w:lineRule="exact"/>
        <w:ind w:firstLine="542" w:firstLineChars="257"/>
        <w:rPr>
          <w:rFonts w:hint="eastAsia"/>
          <w:b/>
          <w:bCs/>
          <w:color w:val="auto"/>
          <w:sz w:val="21"/>
          <w:highlight w:val="none"/>
        </w:rPr>
      </w:pPr>
      <w:r>
        <w:rPr>
          <w:rFonts w:hint="eastAsia" w:hAnsi="宋体"/>
          <w:b/>
          <w:bCs/>
          <w:color w:val="auto"/>
          <w:sz w:val="21"/>
          <w:highlight w:val="none"/>
        </w:rPr>
        <w:t>附：</w:t>
      </w:r>
      <w:r>
        <w:rPr>
          <w:rFonts w:hint="eastAsia" w:hAnsi="宋体"/>
          <w:b/>
          <w:bCs/>
          <w:color w:val="auto"/>
          <w:sz w:val="21"/>
          <w:highlight w:val="none"/>
          <w:lang w:eastAsia="zh-CN"/>
        </w:rPr>
        <w:t>委托代理人</w:t>
      </w:r>
      <w:r>
        <w:rPr>
          <w:rFonts w:hint="eastAsia" w:hAnsi="宋体"/>
          <w:b/>
          <w:bCs/>
          <w:color w:val="auto"/>
          <w:sz w:val="21"/>
          <w:highlight w:val="none"/>
        </w:rPr>
        <w:t>身份证正反面复印件</w:t>
      </w:r>
    </w:p>
    <w:p w14:paraId="65DC06E8">
      <w:pPr>
        <w:pStyle w:val="13"/>
        <w:spacing w:line="480" w:lineRule="auto"/>
        <w:ind w:firstLine="420" w:firstLineChars="200"/>
        <w:rPr>
          <w:rFonts w:hAnsi="宋体" w:cs="宋体"/>
          <w:szCs w:val="21"/>
        </w:rPr>
      </w:pPr>
    </w:p>
    <w:p w14:paraId="5C7F785E">
      <w:pPr>
        <w:pStyle w:val="13"/>
        <w:spacing w:line="480" w:lineRule="auto"/>
        <w:ind w:firstLine="420" w:firstLineChars="200"/>
        <w:rPr>
          <w:rFonts w:hAnsi="宋体" w:cs="宋体"/>
          <w:szCs w:val="21"/>
          <w:u w:val="single"/>
        </w:rPr>
      </w:pPr>
      <w:r>
        <w:rPr>
          <w:rFonts w:hint="eastAsia" w:hAnsi="宋体" w:cs="宋体"/>
          <w:szCs w:val="21"/>
        </w:rPr>
        <w:t>磋商供应商（盖单位公章）：</w:t>
      </w:r>
      <w:r>
        <w:rPr>
          <w:rFonts w:hint="eastAsia" w:hAnsi="宋体" w:cs="宋体"/>
          <w:szCs w:val="21"/>
          <w:u w:val="single"/>
        </w:rPr>
        <w:t xml:space="preserve">                                </w:t>
      </w:r>
    </w:p>
    <w:p w14:paraId="790CB8BF">
      <w:pPr>
        <w:pStyle w:val="13"/>
        <w:snapToGrid w:val="0"/>
        <w:spacing w:line="480" w:lineRule="auto"/>
        <w:ind w:firstLine="420" w:firstLineChars="200"/>
        <w:rPr>
          <w:rFonts w:hAnsi="宋体" w:cs="宋体"/>
          <w:szCs w:val="21"/>
        </w:rPr>
      </w:pPr>
      <w:r>
        <w:rPr>
          <w:rFonts w:hint="eastAsia" w:hAnsi="宋体" w:cs="宋体"/>
          <w:szCs w:val="21"/>
        </w:rPr>
        <w:t>统一社会信用代码:_________________________________________</w:t>
      </w:r>
    </w:p>
    <w:p w14:paraId="2A92FB26">
      <w:pPr>
        <w:pStyle w:val="13"/>
        <w:spacing w:line="480" w:lineRule="auto"/>
        <w:ind w:firstLine="420" w:firstLineChars="200"/>
        <w:rPr>
          <w:rFonts w:hAnsi="宋体" w:cs="宋体"/>
          <w:szCs w:val="21"/>
          <w:u w:val="single"/>
        </w:rPr>
      </w:pPr>
      <w:r>
        <w:rPr>
          <w:rFonts w:hint="eastAsia" w:hAnsi="宋体" w:cs="宋体"/>
          <w:szCs w:val="21"/>
        </w:rPr>
        <w:t>法定代表人（签字或盖章）：</w:t>
      </w:r>
      <w:r>
        <w:rPr>
          <w:rFonts w:hint="eastAsia" w:hAnsi="宋体" w:cs="宋体"/>
          <w:szCs w:val="21"/>
          <w:u w:val="single"/>
        </w:rPr>
        <w:t xml:space="preserve">                                </w:t>
      </w:r>
    </w:p>
    <w:p w14:paraId="04C6708D">
      <w:pPr>
        <w:pStyle w:val="13"/>
        <w:spacing w:line="480" w:lineRule="auto"/>
        <w:ind w:firstLine="420" w:firstLineChars="200"/>
        <w:rPr>
          <w:rFonts w:hAnsi="宋体" w:cs="宋体"/>
          <w:szCs w:val="21"/>
          <w:u w:val="single"/>
        </w:rPr>
      </w:pPr>
      <w:r>
        <w:rPr>
          <w:rFonts w:hint="eastAsia" w:hAnsi="宋体" w:cs="宋体"/>
          <w:szCs w:val="21"/>
        </w:rPr>
        <w:t>法定代表人</w:t>
      </w:r>
      <w:bookmarkStart w:id="202" w:name="_GoBack"/>
      <w:bookmarkEnd w:id="202"/>
      <w:r>
        <w:rPr>
          <w:rFonts w:hint="eastAsia" w:hAnsi="宋体" w:cs="宋体"/>
          <w:szCs w:val="21"/>
        </w:rPr>
        <w:t>身份证号码：</w:t>
      </w:r>
      <w:r>
        <w:rPr>
          <w:rFonts w:hint="eastAsia" w:hAnsi="宋体" w:cs="宋体"/>
          <w:szCs w:val="21"/>
          <w:u w:val="single"/>
        </w:rPr>
        <w:t xml:space="preserve">                                   </w:t>
      </w:r>
    </w:p>
    <w:p w14:paraId="31FE92A9">
      <w:pPr>
        <w:pStyle w:val="13"/>
        <w:spacing w:line="480" w:lineRule="auto"/>
        <w:ind w:firstLine="420" w:firstLineChars="200"/>
        <w:rPr>
          <w:rFonts w:hAnsi="宋体" w:cs="宋体"/>
          <w:szCs w:val="21"/>
        </w:rPr>
      </w:pPr>
      <w:r>
        <w:rPr>
          <w:rFonts w:hint="eastAsia" w:hAnsi="宋体" w:cs="宋体"/>
          <w:szCs w:val="21"/>
        </w:rPr>
        <w:t>委托代理人（签字或盖章）：</w:t>
      </w:r>
      <w:r>
        <w:rPr>
          <w:rFonts w:hint="eastAsia" w:hAnsi="宋体" w:cs="宋体"/>
          <w:szCs w:val="21"/>
          <w:u w:val="single"/>
        </w:rPr>
        <w:t xml:space="preserve">                                </w:t>
      </w:r>
    </w:p>
    <w:p w14:paraId="57696BCC">
      <w:pPr>
        <w:pStyle w:val="13"/>
        <w:spacing w:line="480" w:lineRule="auto"/>
        <w:ind w:firstLine="420" w:firstLineChars="200"/>
        <w:rPr>
          <w:rFonts w:hAnsi="宋体" w:cs="宋体"/>
          <w:szCs w:val="21"/>
          <w:u w:val="single"/>
        </w:rPr>
      </w:pPr>
      <w:r>
        <w:rPr>
          <w:rFonts w:hint="eastAsia" w:hAnsi="宋体" w:cs="宋体"/>
          <w:szCs w:val="21"/>
        </w:rPr>
        <w:t>委托代理人身份证号码：</w:t>
      </w:r>
      <w:r>
        <w:rPr>
          <w:rFonts w:hint="eastAsia" w:hAnsi="宋体" w:cs="宋体"/>
          <w:szCs w:val="21"/>
          <w:u w:val="single"/>
        </w:rPr>
        <w:t xml:space="preserve">                                   </w:t>
      </w:r>
    </w:p>
    <w:p w14:paraId="1F6BABC5">
      <w:pPr>
        <w:widowControl/>
        <w:spacing w:line="360" w:lineRule="auto"/>
        <w:jc w:val="left"/>
        <w:rPr>
          <w:rFonts w:ascii="宋体" w:hAnsi="宋体" w:cs="宋体"/>
          <w:b/>
          <w:szCs w:val="20"/>
        </w:rPr>
      </w:pPr>
      <w:r>
        <w:rPr>
          <w:rFonts w:hint="eastAsia" w:ascii="宋体" w:hAnsi="宋体" w:cs="宋体"/>
          <w:b/>
        </w:rPr>
        <w:br w:type="page"/>
      </w:r>
    </w:p>
    <w:p w14:paraId="01340CD1">
      <w:pPr>
        <w:pStyle w:val="13"/>
        <w:spacing w:line="360" w:lineRule="auto"/>
        <w:rPr>
          <w:rFonts w:hAnsi="宋体" w:cs="宋体"/>
          <w:b/>
        </w:rPr>
      </w:pPr>
      <w:r>
        <w:rPr>
          <w:rFonts w:hint="eastAsia" w:hAnsi="宋体" w:cs="宋体"/>
          <w:b/>
        </w:rPr>
        <w:t>格式</w:t>
      </w:r>
      <w:r>
        <w:rPr>
          <w:rFonts w:hint="eastAsia" w:hAnsi="宋体" w:cs="宋体"/>
          <w:b/>
          <w:lang w:val="en-US" w:eastAsia="zh-CN"/>
        </w:rPr>
        <w:t>8</w:t>
      </w:r>
      <w:r>
        <w:rPr>
          <w:rFonts w:hint="eastAsia" w:hAnsi="宋体" w:cs="宋体"/>
          <w:b/>
        </w:rPr>
        <w:t>：</w:t>
      </w:r>
    </w:p>
    <w:p w14:paraId="69F3E63F">
      <w:pPr>
        <w:pStyle w:val="13"/>
        <w:spacing w:line="360" w:lineRule="auto"/>
        <w:jc w:val="center"/>
        <w:rPr>
          <w:rFonts w:hAnsi="宋体" w:cs="宋体"/>
          <w:b/>
          <w:sz w:val="30"/>
          <w:szCs w:val="30"/>
        </w:rPr>
      </w:pPr>
      <w:r>
        <w:rPr>
          <w:rFonts w:hint="eastAsia" w:hAnsi="宋体" w:cs="宋体"/>
          <w:b/>
          <w:sz w:val="30"/>
          <w:szCs w:val="30"/>
        </w:rPr>
        <w:t>信用声明函（格式）</w:t>
      </w:r>
    </w:p>
    <w:p w14:paraId="699F8881">
      <w:pPr>
        <w:pStyle w:val="13"/>
        <w:spacing w:line="360" w:lineRule="auto"/>
        <w:jc w:val="center"/>
        <w:rPr>
          <w:rFonts w:hAnsi="宋体" w:cs="宋体"/>
          <w:b/>
          <w:sz w:val="24"/>
          <w:szCs w:val="24"/>
        </w:rPr>
      </w:pPr>
    </w:p>
    <w:p w14:paraId="670EA486">
      <w:pPr>
        <w:rPr>
          <w:rFonts w:ascii="宋体" w:hAnsi="宋体" w:cs="宋体"/>
        </w:rPr>
      </w:pPr>
    </w:p>
    <w:p w14:paraId="6BF0F775">
      <w:pPr>
        <w:tabs>
          <w:tab w:val="left" w:pos="7200"/>
        </w:tabs>
        <w:spacing w:line="48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（采购代理机构名称）</w:t>
      </w:r>
    </w:p>
    <w:p w14:paraId="0AC3CD80">
      <w:pPr>
        <w:tabs>
          <w:tab w:val="left" w:pos="7200"/>
        </w:tabs>
        <w:spacing w:line="480" w:lineRule="auto"/>
        <w:ind w:firstLine="525" w:firstLineChars="25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（供应商名称）系中华人民共和国合法企业， 经营地址</w:t>
      </w:r>
      <w:r>
        <w:rPr>
          <w:rFonts w:hint="eastAsia" w:ascii="宋体" w:hAnsi="宋体" w:cs="宋体"/>
          <w:szCs w:val="21"/>
          <w:u w:val="single"/>
        </w:rPr>
        <w:t xml:space="preserve">                 </w:t>
      </w:r>
      <w:r>
        <w:rPr>
          <w:rFonts w:hint="eastAsia" w:ascii="宋体" w:hAnsi="宋体" w:cs="宋体"/>
          <w:szCs w:val="21"/>
        </w:rPr>
        <w:t>。</w:t>
      </w:r>
    </w:p>
    <w:p w14:paraId="47CE317A">
      <w:pPr>
        <w:tabs>
          <w:tab w:val="left" w:pos="7200"/>
        </w:tabs>
        <w:spacing w:line="480" w:lineRule="auto"/>
        <w:ind w:left="420" w:leftChars="200" w:firstLine="525" w:firstLineChars="250"/>
        <w:rPr>
          <w:rFonts w:ascii="宋体" w:hAnsi="宋体" w:cs="宋体"/>
          <w:szCs w:val="21"/>
        </w:rPr>
      </w:pPr>
      <w:r>
        <w:rPr>
          <w:rFonts w:hint="eastAsia" w:ascii="宋体" w:hAnsi="宋体" w:cs="宋体"/>
          <w:szCs w:val="21"/>
        </w:rPr>
        <w:t xml:space="preserve">我 </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（供应商名称）的法定代表人，我方愿意参加贵方组织的</w:t>
      </w:r>
      <w:r>
        <w:rPr>
          <w:rFonts w:hint="eastAsia" w:ascii="宋体" w:hAnsi="宋体" w:cs="宋体"/>
          <w:szCs w:val="21"/>
          <w:u w:val="single"/>
        </w:rPr>
        <w:t xml:space="preserve">         </w:t>
      </w:r>
      <w:r>
        <w:rPr>
          <w:rFonts w:hint="eastAsia" w:ascii="宋体" w:hAnsi="宋体" w:cs="宋体"/>
          <w:szCs w:val="21"/>
        </w:rPr>
        <w:t>项目的本次活动，为便于贵方公正、择优地确定成交人及采购服务成果和服务，我方就本次采购活动有关事项郑重声明如下：</w:t>
      </w:r>
    </w:p>
    <w:p w14:paraId="200F964A">
      <w:pPr>
        <w:tabs>
          <w:tab w:val="left" w:pos="7200"/>
        </w:tabs>
        <w:spacing w:line="480" w:lineRule="auto"/>
        <w:ind w:firstLine="420" w:firstLineChars="200"/>
        <w:rPr>
          <w:rFonts w:ascii="宋体" w:hAnsi="宋体" w:cs="宋体"/>
          <w:szCs w:val="21"/>
          <w:u w:val="single"/>
        </w:rPr>
      </w:pPr>
      <w:r>
        <w:rPr>
          <w:rFonts w:hint="eastAsia" w:ascii="宋体" w:hAnsi="宋体" w:cs="宋体"/>
          <w:szCs w:val="21"/>
        </w:rPr>
        <w:t>1. 经查询，在“信用中国”和“中国政府采购网”网站我方未被列入失信被执行人、重大税收违法案件当事人名单、政府采购严重违法失信行为记录名单。</w:t>
      </w:r>
    </w:p>
    <w:p w14:paraId="4BCB5FA2">
      <w:pPr>
        <w:tabs>
          <w:tab w:val="left" w:pos="7200"/>
        </w:tabs>
        <w:spacing w:line="480" w:lineRule="auto"/>
        <w:ind w:firstLine="420" w:firstLineChars="200"/>
        <w:rPr>
          <w:rFonts w:ascii="宋体" w:hAnsi="宋体" w:cs="宋体"/>
          <w:szCs w:val="21"/>
        </w:rPr>
      </w:pPr>
      <w:r>
        <w:rPr>
          <w:rFonts w:hint="eastAsia" w:ascii="宋体" w:hAnsi="宋体" w:cs="宋体"/>
          <w:szCs w:val="21"/>
        </w:rPr>
        <w:t>2. 以上事项如有虚假或隐瞒，我方愿意承担一切后果，并不再寻求任何旨在减轻或免除法律责任的辩解。</w:t>
      </w:r>
    </w:p>
    <w:p w14:paraId="10FBDDC9">
      <w:pPr>
        <w:tabs>
          <w:tab w:val="left" w:pos="7200"/>
        </w:tabs>
        <w:spacing w:line="360" w:lineRule="auto"/>
        <w:ind w:firstLine="955" w:firstLineChars="398"/>
        <w:rPr>
          <w:rFonts w:ascii="宋体" w:hAnsi="宋体" w:cs="宋体"/>
          <w:sz w:val="24"/>
        </w:rPr>
      </w:pPr>
    </w:p>
    <w:p w14:paraId="77B4998F">
      <w:pPr>
        <w:tabs>
          <w:tab w:val="left" w:pos="7200"/>
        </w:tabs>
        <w:spacing w:line="360" w:lineRule="auto"/>
        <w:ind w:firstLine="955" w:firstLineChars="398"/>
        <w:rPr>
          <w:rFonts w:ascii="宋体" w:hAnsi="宋体" w:cs="宋体"/>
          <w:sz w:val="24"/>
        </w:rPr>
      </w:pPr>
    </w:p>
    <w:p w14:paraId="31B7BFAF">
      <w:pPr>
        <w:spacing w:line="360" w:lineRule="auto"/>
        <w:ind w:firstLine="480" w:firstLineChars="200"/>
        <w:jc w:val="left"/>
        <w:rPr>
          <w:rFonts w:ascii="宋体" w:hAnsi="宋体" w:cs="宋体"/>
          <w:sz w:val="24"/>
        </w:rPr>
      </w:pPr>
      <w:r>
        <w:rPr>
          <w:rFonts w:hint="eastAsia" w:ascii="宋体" w:hAnsi="宋体" w:cs="宋体"/>
          <w:sz w:val="24"/>
        </w:rPr>
        <w:t xml:space="preserve"> </w:t>
      </w:r>
    </w:p>
    <w:p w14:paraId="5071E86F">
      <w:pPr>
        <w:spacing w:line="360" w:lineRule="auto"/>
        <w:ind w:firstLine="480" w:firstLineChars="200"/>
        <w:jc w:val="left"/>
        <w:rPr>
          <w:rFonts w:ascii="宋体" w:hAnsi="宋体" w:cs="宋体"/>
          <w:sz w:val="24"/>
        </w:rPr>
      </w:pPr>
    </w:p>
    <w:p w14:paraId="68B760AD">
      <w:pPr>
        <w:tabs>
          <w:tab w:val="left" w:pos="7200"/>
        </w:tabs>
        <w:spacing w:line="360" w:lineRule="auto"/>
        <w:ind w:firstLine="959" w:firstLineChars="398"/>
        <w:rPr>
          <w:rFonts w:ascii="宋体" w:hAnsi="宋体" w:cs="宋体"/>
          <w:szCs w:val="21"/>
          <w:u w:val="single"/>
        </w:rPr>
      </w:pPr>
      <w:r>
        <w:rPr>
          <w:rFonts w:hint="eastAsia" w:ascii="宋体" w:hAnsi="宋体" w:cs="宋体"/>
          <w:b/>
          <w:sz w:val="24"/>
        </w:rPr>
        <w:t xml:space="preserve">                              </w:t>
      </w:r>
      <w:r>
        <w:rPr>
          <w:rFonts w:hint="eastAsia" w:ascii="宋体" w:hAnsi="宋体" w:cs="宋体"/>
          <w:b/>
          <w:szCs w:val="21"/>
        </w:rPr>
        <w:t xml:space="preserve">  </w:t>
      </w:r>
      <w:r>
        <w:rPr>
          <w:rFonts w:hint="eastAsia" w:ascii="宋体" w:hAnsi="宋体" w:cs="宋体"/>
          <w:szCs w:val="21"/>
        </w:rPr>
        <w:t xml:space="preserve"> </w:t>
      </w:r>
    </w:p>
    <w:p w14:paraId="2F55810F">
      <w:pPr>
        <w:tabs>
          <w:tab w:val="left" w:pos="7200"/>
        </w:tabs>
        <w:spacing w:line="360" w:lineRule="auto"/>
        <w:ind w:firstLine="4084" w:firstLineChars="1945"/>
        <w:rPr>
          <w:rFonts w:hint="eastAsia" w:ascii="宋体" w:hAnsi="宋体" w:cs="宋体"/>
          <w:szCs w:val="21"/>
        </w:rPr>
      </w:pPr>
      <w:r>
        <w:rPr>
          <w:rFonts w:hint="eastAsia" w:ascii="宋体" w:hAnsi="宋体" w:cs="宋体"/>
          <w:szCs w:val="21"/>
        </w:rPr>
        <w:t xml:space="preserve">        磋商供应商（盖章）：</w:t>
      </w:r>
      <w:r>
        <w:rPr>
          <w:rFonts w:hint="eastAsia" w:ascii="宋体" w:hAnsi="宋体" w:cs="宋体"/>
          <w:szCs w:val="21"/>
          <w:u w:val="single"/>
        </w:rPr>
        <w:t xml:space="preserve">               </w:t>
      </w:r>
      <w:r>
        <w:rPr>
          <w:rFonts w:hint="eastAsia" w:ascii="宋体" w:hAnsi="宋体" w:cs="宋体"/>
          <w:szCs w:val="21"/>
        </w:rPr>
        <w:t xml:space="preserve">    </w:t>
      </w:r>
    </w:p>
    <w:p w14:paraId="3DDB4339">
      <w:pPr>
        <w:tabs>
          <w:tab w:val="left" w:pos="7200"/>
        </w:tabs>
        <w:spacing w:line="360" w:lineRule="auto"/>
        <w:ind w:firstLine="4819" w:firstLineChars="2295"/>
        <w:rPr>
          <w:rFonts w:ascii="宋体" w:hAnsi="宋体" w:cs="宋体"/>
          <w:szCs w:val="21"/>
          <w:u w:val="single"/>
        </w:rPr>
      </w:pPr>
      <w:r>
        <w:rPr>
          <w:rFonts w:hint="eastAsia" w:ascii="宋体" w:hAnsi="宋体" w:cs="宋体"/>
          <w:szCs w:val="21"/>
        </w:rPr>
        <w:t xml:space="preserve"> 法定代表人或委托代理人签字：</w:t>
      </w:r>
      <w:r>
        <w:rPr>
          <w:rFonts w:hint="eastAsia" w:ascii="宋体" w:hAnsi="宋体" w:cs="宋体"/>
          <w:szCs w:val="21"/>
          <w:u w:val="single"/>
        </w:rPr>
        <w:t xml:space="preserve">             </w:t>
      </w:r>
    </w:p>
    <w:p w14:paraId="5387600E">
      <w:pPr>
        <w:tabs>
          <w:tab w:val="left" w:pos="7200"/>
        </w:tabs>
        <w:spacing w:line="360" w:lineRule="auto"/>
        <w:ind w:firstLine="4084" w:firstLineChars="1945"/>
        <w:rPr>
          <w:rFonts w:ascii="宋体" w:hAnsi="宋体" w:cs="宋体"/>
          <w:sz w:val="21"/>
          <w:szCs w:val="21"/>
        </w:rPr>
      </w:pPr>
      <w:r>
        <w:rPr>
          <w:rFonts w:hint="eastAsia" w:ascii="宋体" w:hAnsi="宋体" w:cs="宋体"/>
          <w:szCs w:val="21"/>
        </w:rPr>
        <w:t xml:space="preserve">   </w:t>
      </w:r>
      <w:r>
        <w:rPr>
          <w:rFonts w:hint="eastAsia" w:ascii="宋体" w:hAnsi="宋体" w:cs="宋体"/>
          <w:sz w:val="21"/>
          <w:szCs w:val="21"/>
        </w:rPr>
        <w:t xml:space="preserve">                   年    月    日</w:t>
      </w:r>
    </w:p>
    <w:bookmarkEnd w:id="104"/>
    <w:p w14:paraId="2B613882">
      <w:pPr>
        <w:rPr>
          <w:rFonts w:hint="eastAsia" w:ascii="宋体" w:hAnsi="宋体" w:cs="宋体"/>
          <w:b/>
          <w:szCs w:val="21"/>
        </w:rPr>
      </w:pPr>
      <w:r>
        <w:rPr>
          <w:rFonts w:hint="eastAsia" w:ascii="宋体" w:hAnsi="宋体" w:cs="宋体"/>
          <w:b/>
          <w:szCs w:val="21"/>
        </w:rPr>
        <w:br w:type="page"/>
      </w:r>
    </w:p>
    <w:p w14:paraId="45E5869D">
      <w:pPr>
        <w:pStyle w:val="13"/>
        <w:spacing w:line="360" w:lineRule="auto"/>
        <w:rPr>
          <w:rFonts w:hAnsi="宋体" w:cs="宋体"/>
          <w:b/>
        </w:rPr>
      </w:pPr>
      <w:r>
        <w:rPr>
          <w:rFonts w:hint="eastAsia" w:hAnsi="宋体" w:cs="宋体"/>
          <w:b/>
        </w:rPr>
        <w:t>格式</w:t>
      </w:r>
      <w:r>
        <w:rPr>
          <w:rFonts w:hint="eastAsia" w:hAnsi="宋体" w:cs="宋体"/>
          <w:b/>
          <w:lang w:val="en-US" w:eastAsia="zh-CN"/>
        </w:rPr>
        <w:t>9</w:t>
      </w:r>
      <w:r>
        <w:rPr>
          <w:rFonts w:hint="eastAsia" w:hAnsi="宋体" w:cs="宋体"/>
          <w:b/>
        </w:rPr>
        <w:t>：</w:t>
      </w:r>
    </w:p>
    <w:p w14:paraId="482EAEB0">
      <w:pPr>
        <w:rPr>
          <w:rFonts w:hint="eastAsia" w:ascii="宋体" w:hAnsi="宋体" w:cs="宋体"/>
          <w:b/>
          <w:szCs w:val="21"/>
        </w:rPr>
      </w:pPr>
    </w:p>
    <w:p w14:paraId="20DD2155">
      <w:pPr>
        <w:spacing w:line="460" w:lineRule="exact"/>
        <w:ind w:left="540" w:right="-178" w:rightChars="-85"/>
        <w:jc w:val="center"/>
        <w:rPr>
          <w:rFonts w:hint="eastAsia" w:ascii="宋体" w:hAnsi="宋体" w:eastAsia="宋体" w:cs="宋体;SimSun"/>
          <w:b/>
          <w:bCs/>
          <w:color w:val="auto"/>
          <w:kern w:val="0"/>
          <w:sz w:val="32"/>
          <w:szCs w:val="32"/>
          <w:highlight w:val="none"/>
          <w:lang w:val="en-US" w:eastAsia="zh-CN" w:bidi="ar-SA"/>
        </w:rPr>
      </w:pPr>
      <w:r>
        <w:rPr>
          <w:rFonts w:hint="eastAsia" w:ascii="宋体" w:hAnsi="宋体" w:eastAsia="宋体" w:cs="宋体;SimSun"/>
          <w:b/>
          <w:bCs/>
          <w:color w:val="auto"/>
          <w:kern w:val="0"/>
          <w:sz w:val="32"/>
          <w:szCs w:val="32"/>
          <w:highlight w:val="none"/>
          <w:lang w:val="en-US" w:eastAsia="zh-CN" w:bidi="ar-SA"/>
        </w:rPr>
        <w:t>本项目拟投入人员表（格式）</w:t>
      </w:r>
    </w:p>
    <w:p w14:paraId="1147D548">
      <w:pPr>
        <w:widowControl w:val="0"/>
        <w:snapToGrid w:val="0"/>
        <w:spacing w:beforeLines="50" w:after="50" w:line="400" w:lineRule="exact"/>
        <w:jc w:val="both"/>
        <w:rPr>
          <w:rFonts w:ascii="仿宋_GB2312" w:hAnsi="宋体" w:eastAsia="仿宋_GB2312"/>
          <w:b/>
          <w:bCs/>
          <w:color w:val="auto"/>
          <w:sz w:val="28"/>
          <w:szCs w:val="28"/>
          <w:highlight w:val="none"/>
        </w:rPr>
      </w:pPr>
    </w:p>
    <w:tbl>
      <w:tblPr>
        <w:tblStyle w:val="28"/>
        <w:tblW w:w="97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9"/>
        <w:gridCol w:w="1954"/>
        <w:gridCol w:w="2144"/>
        <w:gridCol w:w="2013"/>
        <w:gridCol w:w="1288"/>
        <w:gridCol w:w="1288"/>
      </w:tblGrid>
      <w:tr w14:paraId="75486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46A36EB1">
            <w:pPr>
              <w:widowControl w:val="0"/>
              <w:snapToGrid w:val="0"/>
              <w:spacing w:beforeLines="50" w:after="50" w:line="240" w:lineRule="auto"/>
              <w:jc w:val="center"/>
              <w:rPr>
                <w:rFonts w:ascii="宋体" w:hAnsi="宋体"/>
                <w:color w:val="auto"/>
                <w:szCs w:val="21"/>
                <w:highlight w:val="none"/>
              </w:rPr>
            </w:pPr>
            <w:r>
              <w:rPr>
                <w:rFonts w:ascii="宋体" w:hAnsi="宋体"/>
                <w:color w:val="auto"/>
                <w:szCs w:val="21"/>
                <w:highlight w:val="none"/>
              </w:rPr>
              <w:t>序号</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8D8A64D">
            <w:pPr>
              <w:widowControl w:val="0"/>
              <w:snapToGrid w:val="0"/>
              <w:spacing w:beforeLines="50" w:after="50"/>
              <w:jc w:val="center"/>
              <w:rPr>
                <w:rFonts w:ascii="宋体" w:hAnsi="宋体"/>
                <w:color w:val="auto"/>
                <w:szCs w:val="21"/>
                <w:highlight w:val="none"/>
              </w:rPr>
            </w:pPr>
            <w:r>
              <w:rPr>
                <w:rFonts w:hint="eastAsia" w:ascii="宋体" w:hAnsi="宋体"/>
                <w:color w:val="auto"/>
                <w:szCs w:val="21"/>
                <w:highlight w:val="none"/>
              </w:rPr>
              <w:t>姓名</w:t>
            </w:r>
          </w:p>
        </w:tc>
        <w:tc>
          <w:tcPr>
            <w:tcW w:w="2144" w:type="dxa"/>
            <w:tcBorders>
              <w:top w:val="single" w:color="auto" w:sz="4" w:space="0"/>
              <w:left w:val="nil"/>
              <w:bottom w:val="single" w:color="auto" w:sz="4" w:space="0"/>
              <w:right w:val="single" w:color="auto" w:sz="4" w:space="0"/>
            </w:tcBorders>
            <w:noWrap w:val="0"/>
            <w:vAlign w:val="center"/>
          </w:tcPr>
          <w:p w14:paraId="79789DE4">
            <w:pPr>
              <w:widowControl w:val="0"/>
              <w:snapToGrid w:val="0"/>
              <w:spacing w:beforeLines="50" w:after="50"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本项目职务</w:t>
            </w:r>
          </w:p>
        </w:tc>
        <w:tc>
          <w:tcPr>
            <w:tcW w:w="2013" w:type="dxa"/>
            <w:tcBorders>
              <w:top w:val="single" w:color="auto" w:sz="4" w:space="0"/>
              <w:left w:val="nil"/>
              <w:bottom w:val="single" w:color="auto" w:sz="4" w:space="0"/>
              <w:right w:val="single" w:color="auto" w:sz="4" w:space="0"/>
            </w:tcBorders>
            <w:noWrap w:val="0"/>
            <w:vAlign w:val="center"/>
          </w:tcPr>
          <w:p w14:paraId="31982BB1">
            <w:pPr>
              <w:widowControl w:val="0"/>
              <w:snapToGrid w:val="0"/>
              <w:spacing w:beforeLines="50" w:after="50" w:line="24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职称证书等级</w:t>
            </w:r>
          </w:p>
        </w:tc>
        <w:tc>
          <w:tcPr>
            <w:tcW w:w="1288" w:type="dxa"/>
            <w:tcBorders>
              <w:top w:val="single" w:color="auto" w:sz="4" w:space="0"/>
              <w:left w:val="nil"/>
              <w:bottom w:val="single" w:color="auto" w:sz="4" w:space="0"/>
              <w:right w:val="single" w:color="auto" w:sz="4" w:space="0"/>
            </w:tcBorders>
            <w:noWrap w:val="0"/>
            <w:vAlign w:val="center"/>
          </w:tcPr>
          <w:p w14:paraId="5FC02B21">
            <w:pPr>
              <w:widowControl w:val="0"/>
              <w:snapToGrid w:val="0"/>
              <w:spacing w:beforeLines="50" w:after="50" w:line="24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项目经历</w:t>
            </w:r>
          </w:p>
        </w:tc>
        <w:tc>
          <w:tcPr>
            <w:tcW w:w="1288" w:type="dxa"/>
            <w:tcBorders>
              <w:top w:val="single" w:color="auto" w:sz="4" w:space="0"/>
              <w:left w:val="nil"/>
              <w:bottom w:val="single" w:color="auto" w:sz="4" w:space="0"/>
              <w:right w:val="single" w:color="auto" w:sz="4" w:space="0"/>
            </w:tcBorders>
            <w:noWrap w:val="0"/>
            <w:vAlign w:val="center"/>
          </w:tcPr>
          <w:p w14:paraId="73AED9F6">
            <w:pPr>
              <w:widowControl w:val="0"/>
              <w:snapToGrid w:val="0"/>
              <w:spacing w:beforeLines="50" w:after="50" w:line="240" w:lineRule="auto"/>
              <w:jc w:val="center"/>
              <w:rPr>
                <w:rFonts w:ascii="宋体" w:hAnsi="宋体"/>
                <w:color w:val="auto"/>
                <w:szCs w:val="21"/>
                <w:highlight w:val="none"/>
              </w:rPr>
            </w:pPr>
            <w:r>
              <w:rPr>
                <w:rFonts w:ascii="宋体" w:hAnsi="宋体"/>
                <w:color w:val="auto"/>
                <w:szCs w:val="21"/>
                <w:highlight w:val="none"/>
              </w:rPr>
              <w:t>备注</w:t>
            </w:r>
          </w:p>
        </w:tc>
      </w:tr>
      <w:tr w14:paraId="25615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top"/>
          </w:tcPr>
          <w:p w14:paraId="3CCA068E">
            <w:pPr>
              <w:widowControl w:val="0"/>
              <w:snapToGrid w:val="0"/>
              <w:spacing w:beforeLines="50" w:after="50" w:line="240" w:lineRule="auto"/>
              <w:jc w:val="both"/>
              <w:rPr>
                <w:rFonts w:ascii="宋体" w:hAnsi="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top"/>
          </w:tcPr>
          <w:p w14:paraId="2EB6438E">
            <w:pPr>
              <w:widowControl w:val="0"/>
              <w:snapToGrid w:val="0"/>
              <w:spacing w:beforeLines="50" w:after="50" w:line="240" w:lineRule="auto"/>
              <w:jc w:val="both"/>
              <w:rPr>
                <w:rFonts w:ascii="宋体" w:hAnsi="宋体"/>
                <w:b/>
                <w:bCs/>
                <w:color w:val="auto"/>
                <w:sz w:val="44"/>
                <w:szCs w:val="21"/>
                <w:highlight w:val="none"/>
              </w:rPr>
            </w:pPr>
          </w:p>
        </w:tc>
        <w:tc>
          <w:tcPr>
            <w:tcW w:w="2144" w:type="dxa"/>
            <w:tcBorders>
              <w:top w:val="single" w:color="auto" w:sz="4" w:space="0"/>
              <w:left w:val="nil"/>
              <w:bottom w:val="single" w:color="auto" w:sz="4" w:space="0"/>
              <w:right w:val="single" w:color="auto" w:sz="4" w:space="0"/>
            </w:tcBorders>
            <w:noWrap w:val="0"/>
            <w:vAlign w:val="top"/>
          </w:tcPr>
          <w:p w14:paraId="0C65D044">
            <w:pPr>
              <w:widowControl w:val="0"/>
              <w:snapToGrid w:val="0"/>
              <w:spacing w:beforeLines="50" w:after="50" w:line="240" w:lineRule="auto"/>
              <w:jc w:val="both"/>
              <w:rPr>
                <w:rFonts w:ascii="宋体" w:hAnsi="宋体"/>
                <w:b/>
                <w:bCs/>
                <w:color w:val="auto"/>
                <w:sz w:val="44"/>
                <w:szCs w:val="21"/>
                <w:highlight w:val="none"/>
              </w:rPr>
            </w:pPr>
          </w:p>
        </w:tc>
        <w:tc>
          <w:tcPr>
            <w:tcW w:w="2013" w:type="dxa"/>
            <w:tcBorders>
              <w:top w:val="single" w:color="auto" w:sz="4" w:space="0"/>
              <w:left w:val="nil"/>
              <w:bottom w:val="single" w:color="auto" w:sz="4" w:space="0"/>
              <w:right w:val="single" w:color="auto" w:sz="4" w:space="0"/>
            </w:tcBorders>
            <w:noWrap w:val="0"/>
            <w:vAlign w:val="top"/>
          </w:tcPr>
          <w:p w14:paraId="202A040A">
            <w:pPr>
              <w:widowControl w:val="0"/>
              <w:snapToGrid w:val="0"/>
              <w:spacing w:beforeLines="50" w:after="50" w:line="240" w:lineRule="auto"/>
              <w:jc w:val="both"/>
              <w:rPr>
                <w:rFonts w:ascii="宋体" w:hAnsi="宋体"/>
                <w:b/>
                <w:bCs/>
                <w:color w:val="auto"/>
                <w:sz w:val="44"/>
                <w:szCs w:val="21"/>
                <w:highlight w:val="none"/>
              </w:rPr>
            </w:pPr>
          </w:p>
        </w:tc>
        <w:tc>
          <w:tcPr>
            <w:tcW w:w="1288" w:type="dxa"/>
            <w:tcBorders>
              <w:top w:val="single" w:color="auto" w:sz="4" w:space="0"/>
              <w:left w:val="nil"/>
              <w:bottom w:val="single" w:color="auto" w:sz="4" w:space="0"/>
              <w:right w:val="single" w:color="auto" w:sz="4" w:space="0"/>
            </w:tcBorders>
            <w:noWrap w:val="0"/>
            <w:vAlign w:val="top"/>
          </w:tcPr>
          <w:p w14:paraId="49A5AE14">
            <w:pPr>
              <w:widowControl w:val="0"/>
              <w:snapToGrid w:val="0"/>
              <w:spacing w:beforeLines="50" w:after="50" w:line="240" w:lineRule="auto"/>
              <w:jc w:val="both"/>
              <w:rPr>
                <w:rFonts w:ascii="宋体" w:hAnsi="宋体"/>
                <w:b/>
                <w:bCs/>
                <w:color w:val="auto"/>
                <w:sz w:val="44"/>
                <w:szCs w:val="21"/>
                <w:highlight w:val="none"/>
              </w:rPr>
            </w:pPr>
          </w:p>
        </w:tc>
        <w:tc>
          <w:tcPr>
            <w:tcW w:w="1288" w:type="dxa"/>
            <w:tcBorders>
              <w:top w:val="single" w:color="auto" w:sz="4" w:space="0"/>
              <w:left w:val="nil"/>
              <w:bottom w:val="single" w:color="auto" w:sz="4" w:space="0"/>
              <w:right w:val="single" w:color="auto" w:sz="4" w:space="0"/>
            </w:tcBorders>
            <w:noWrap w:val="0"/>
            <w:vAlign w:val="top"/>
          </w:tcPr>
          <w:p w14:paraId="34A2764E">
            <w:pPr>
              <w:widowControl w:val="0"/>
              <w:snapToGrid w:val="0"/>
              <w:spacing w:beforeLines="50" w:after="50" w:line="240" w:lineRule="auto"/>
              <w:jc w:val="both"/>
              <w:rPr>
                <w:rFonts w:ascii="宋体" w:hAnsi="宋体"/>
                <w:b/>
                <w:bCs/>
                <w:color w:val="auto"/>
                <w:sz w:val="44"/>
                <w:szCs w:val="21"/>
                <w:highlight w:val="none"/>
              </w:rPr>
            </w:pPr>
          </w:p>
        </w:tc>
      </w:tr>
      <w:tr w14:paraId="6AF31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75"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top"/>
          </w:tcPr>
          <w:p w14:paraId="6DCE9814">
            <w:pPr>
              <w:widowControl w:val="0"/>
              <w:snapToGrid w:val="0"/>
              <w:spacing w:beforeLines="50" w:after="50" w:line="240" w:lineRule="auto"/>
              <w:jc w:val="both"/>
              <w:rPr>
                <w:rFonts w:ascii="宋体" w:hAnsi="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top"/>
          </w:tcPr>
          <w:p w14:paraId="41DA87D4">
            <w:pPr>
              <w:widowControl w:val="0"/>
              <w:snapToGrid w:val="0"/>
              <w:spacing w:beforeLines="50" w:after="50" w:line="240" w:lineRule="auto"/>
              <w:jc w:val="both"/>
              <w:rPr>
                <w:rFonts w:ascii="宋体" w:hAnsi="宋体"/>
                <w:b/>
                <w:bCs/>
                <w:color w:val="auto"/>
                <w:sz w:val="44"/>
                <w:szCs w:val="21"/>
                <w:highlight w:val="none"/>
              </w:rPr>
            </w:pPr>
          </w:p>
        </w:tc>
        <w:tc>
          <w:tcPr>
            <w:tcW w:w="2144" w:type="dxa"/>
            <w:tcBorders>
              <w:top w:val="single" w:color="auto" w:sz="4" w:space="0"/>
              <w:left w:val="nil"/>
              <w:bottom w:val="single" w:color="auto" w:sz="4" w:space="0"/>
              <w:right w:val="single" w:color="auto" w:sz="4" w:space="0"/>
            </w:tcBorders>
            <w:noWrap w:val="0"/>
            <w:vAlign w:val="top"/>
          </w:tcPr>
          <w:p w14:paraId="17A6A6F0">
            <w:pPr>
              <w:widowControl w:val="0"/>
              <w:snapToGrid w:val="0"/>
              <w:spacing w:beforeLines="50" w:after="50" w:line="240" w:lineRule="auto"/>
              <w:jc w:val="both"/>
              <w:rPr>
                <w:rFonts w:ascii="宋体" w:hAnsi="宋体"/>
                <w:b/>
                <w:bCs/>
                <w:color w:val="auto"/>
                <w:sz w:val="44"/>
                <w:szCs w:val="21"/>
                <w:highlight w:val="none"/>
              </w:rPr>
            </w:pPr>
          </w:p>
        </w:tc>
        <w:tc>
          <w:tcPr>
            <w:tcW w:w="2013" w:type="dxa"/>
            <w:tcBorders>
              <w:top w:val="single" w:color="auto" w:sz="4" w:space="0"/>
              <w:left w:val="nil"/>
              <w:bottom w:val="single" w:color="auto" w:sz="4" w:space="0"/>
              <w:right w:val="single" w:color="auto" w:sz="4" w:space="0"/>
            </w:tcBorders>
            <w:noWrap w:val="0"/>
            <w:vAlign w:val="top"/>
          </w:tcPr>
          <w:p w14:paraId="68278719">
            <w:pPr>
              <w:widowControl w:val="0"/>
              <w:snapToGrid w:val="0"/>
              <w:spacing w:beforeLines="50" w:after="50" w:line="240" w:lineRule="auto"/>
              <w:jc w:val="both"/>
              <w:rPr>
                <w:rFonts w:ascii="宋体" w:hAnsi="宋体"/>
                <w:b/>
                <w:bCs/>
                <w:color w:val="auto"/>
                <w:sz w:val="44"/>
                <w:szCs w:val="21"/>
                <w:highlight w:val="none"/>
              </w:rPr>
            </w:pPr>
          </w:p>
        </w:tc>
        <w:tc>
          <w:tcPr>
            <w:tcW w:w="1288" w:type="dxa"/>
            <w:tcBorders>
              <w:top w:val="single" w:color="auto" w:sz="4" w:space="0"/>
              <w:left w:val="nil"/>
              <w:bottom w:val="single" w:color="auto" w:sz="4" w:space="0"/>
              <w:right w:val="single" w:color="auto" w:sz="4" w:space="0"/>
            </w:tcBorders>
            <w:noWrap w:val="0"/>
            <w:vAlign w:val="top"/>
          </w:tcPr>
          <w:p w14:paraId="5546E3E9">
            <w:pPr>
              <w:widowControl w:val="0"/>
              <w:snapToGrid w:val="0"/>
              <w:spacing w:beforeLines="50" w:after="50" w:line="240" w:lineRule="auto"/>
              <w:jc w:val="both"/>
              <w:rPr>
                <w:rFonts w:ascii="宋体" w:hAnsi="宋体"/>
                <w:b/>
                <w:bCs/>
                <w:color w:val="auto"/>
                <w:sz w:val="44"/>
                <w:szCs w:val="21"/>
                <w:highlight w:val="none"/>
              </w:rPr>
            </w:pPr>
          </w:p>
        </w:tc>
        <w:tc>
          <w:tcPr>
            <w:tcW w:w="1288" w:type="dxa"/>
            <w:tcBorders>
              <w:top w:val="single" w:color="auto" w:sz="4" w:space="0"/>
              <w:left w:val="nil"/>
              <w:bottom w:val="single" w:color="auto" w:sz="4" w:space="0"/>
              <w:right w:val="single" w:color="auto" w:sz="4" w:space="0"/>
            </w:tcBorders>
            <w:noWrap w:val="0"/>
            <w:vAlign w:val="top"/>
          </w:tcPr>
          <w:p w14:paraId="1FA5A69F">
            <w:pPr>
              <w:widowControl w:val="0"/>
              <w:snapToGrid w:val="0"/>
              <w:spacing w:beforeLines="50" w:after="50" w:line="240" w:lineRule="auto"/>
              <w:jc w:val="both"/>
              <w:rPr>
                <w:rFonts w:ascii="宋体" w:hAnsi="宋体"/>
                <w:b/>
                <w:bCs/>
                <w:color w:val="auto"/>
                <w:sz w:val="44"/>
                <w:szCs w:val="21"/>
                <w:highlight w:val="none"/>
              </w:rPr>
            </w:pPr>
          </w:p>
        </w:tc>
      </w:tr>
      <w:tr w14:paraId="5458C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top"/>
          </w:tcPr>
          <w:p w14:paraId="57CD09D8">
            <w:pPr>
              <w:widowControl w:val="0"/>
              <w:snapToGrid w:val="0"/>
              <w:spacing w:beforeLines="50" w:after="50" w:line="240" w:lineRule="auto"/>
              <w:jc w:val="both"/>
              <w:rPr>
                <w:rFonts w:ascii="宋体" w:hAnsi="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top"/>
          </w:tcPr>
          <w:p w14:paraId="55C59225">
            <w:pPr>
              <w:widowControl w:val="0"/>
              <w:snapToGrid w:val="0"/>
              <w:spacing w:beforeLines="50" w:after="50" w:line="240" w:lineRule="auto"/>
              <w:jc w:val="both"/>
              <w:rPr>
                <w:rFonts w:ascii="宋体" w:hAnsi="宋体"/>
                <w:b/>
                <w:bCs/>
                <w:color w:val="auto"/>
                <w:sz w:val="44"/>
                <w:szCs w:val="21"/>
                <w:highlight w:val="none"/>
              </w:rPr>
            </w:pPr>
          </w:p>
        </w:tc>
        <w:tc>
          <w:tcPr>
            <w:tcW w:w="2144" w:type="dxa"/>
            <w:tcBorders>
              <w:top w:val="single" w:color="auto" w:sz="4" w:space="0"/>
              <w:left w:val="nil"/>
              <w:bottom w:val="single" w:color="auto" w:sz="4" w:space="0"/>
              <w:right w:val="single" w:color="auto" w:sz="4" w:space="0"/>
            </w:tcBorders>
            <w:noWrap w:val="0"/>
            <w:vAlign w:val="top"/>
          </w:tcPr>
          <w:p w14:paraId="121637EC">
            <w:pPr>
              <w:widowControl w:val="0"/>
              <w:snapToGrid w:val="0"/>
              <w:spacing w:beforeLines="50" w:after="50" w:line="240" w:lineRule="auto"/>
              <w:jc w:val="both"/>
              <w:rPr>
                <w:rFonts w:ascii="宋体" w:hAnsi="宋体"/>
                <w:b/>
                <w:bCs/>
                <w:color w:val="auto"/>
                <w:sz w:val="44"/>
                <w:szCs w:val="21"/>
                <w:highlight w:val="none"/>
              </w:rPr>
            </w:pPr>
          </w:p>
        </w:tc>
        <w:tc>
          <w:tcPr>
            <w:tcW w:w="2013" w:type="dxa"/>
            <w:tcBorders>
              <w:top w:val="single" w:color="auto" w:sz="4" w:space="0"/>
              <w:left w:val="nil"/>
              <w:bottom w:val="single" w:color="auto" w:sz="4" w:space="0"/>
              <w:right w:val="single" w:color="auto" w:sz="4" w:space="0"/>
            </w:tcBorders>
            <w:noWrap w:val="0"/>
            <w:vAlign w:val="top"/>
          </w:tcPr>
          <w:p w14:paraId="48B51DD7">
            <w:pPr>
              <w:widowControl w:val="0"/>
              <w:snapToGrid w:val="0"/>
              <w:spacing w:beforeLines="50" w:after="50" w:line="240" w:lineRule="auto"/>
              <w:jc w:val="both"/>
              <w:rPr>
                <w:rFonts w:ascii="宋体" w:hAnsi="宋体"/>
                <w:b/>
                <w:bCs/>
                <w:color w:val="auto"/>
                <w:sz w:val="44"/>
                <w:szCs w:val="21"/>
                <w:highlight w:val="none"/>
              </w:rPr>
            </w:pPr>
          </w:p>
        </w:tc>
        <w:tc>
          <w:tcPr>
            <w:tcW w:w="1288" w:type="dxa"/>
            <w:tcBorders>
              <w:top w:val="single" w:color="auto" w:sz="4" w:space="0"/>
              <w:left w:val="nil"/>
              <w:bottom w:val="single" w:color="auto" w:sz="4" w:space="0"/>
              <w:right w:val="single" w:color="auto" w:sz="4" w:space="0"/>
            </w:tcBorders>
            <w:noWrap w:val="0"/>
            <w:vAlign w:val="top"/>
          </w:tcPr>
          <w:p w14:paraId="78DD346A">
            <w:pPr>
              <w:widowControl w:val="0"/>
              <w:snapToGrid w:val="0"/>
              <w:spacing w:beforeLines="50" w:after="50" w:line="240" w:lineRule="auto"/>
              <w:jc w:val="both"/>
              <w:rPr>
                <w:rFonts w:ascii="宋体" w:hAnsi="宋体"/>
                <w:b/>
                <w:bCs/>
                <w:color w:val="auto"/>
                <w:sz w:val="44"/>
                <w:szCs w:val="21"/>
                <w:highlight w:val="none"/>
              </w:rPr>
            </w:pPr>
          </w:p>
        </w:tc>
        <w:tc>
          <w:tcPr>
            <w:tcW w:w="1288" w:type="dxa"/>
            <w:tcBorders>
              <w:top w:val="single" w:color="auto" w:sz="4" w:space="0"/>
              <w:left w:val="nil"/>
              <w:bottom w:val="single" w:color="auto" w:sz="4" w:space="0"/>
              <w:right w:val="single" w:color="auto" w:sz="4" w:space="0"/>
            </w:tcBorders>
            <w:noWrap w:val="0"/>
            <w:vAlign w:val="top"/>
          </w:tcPr>
          <w:p w14:paraId="3C5AF09C">
            <w:pPr>
              <w:widowControl w:val="0"/>
              <w:snapToGrid w:val="0"/>
              <w:spacing w:beforeLines="50" w:after="50" w:line="240" w:lineRule="auto"/>
              <w:jc w:val="both"/>
              <w:rPr>
                <w:rFonts w:ascii="宋体" w:hAnsi="宋体"/>
                <w:b/>
                <w:bCs/>
                <w:color w:val="auto"/>
                <w:sz w:val="44"/>
                <w:szCs w:val="21"/>
                <w:highlight w:val="none"/>
              </w:rPr>
            </w:pPr>
          </w:p>
        </w:tc>
      </w:tr>
      <w:tr w14:paraId="71853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top"/>
          </w:tcPr>
          <w:p w14:paraId="71515297">
            <w:pPr>
              <w:widowControl w:val="0"/>
              <w:snapToGrid w:val="0"/>
              <w:spacing w:beforeLines="50" w:after="50" w:line="240" w:lineRule="auto"/>
              <w:jc w:val="both"/>
              <w:rPr>
                <w:rFonts w:ascii="宋体" w:hAnsi="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top"/>
          </w:tcPr>
          <w:p w14:paraId="34051EB2">
            <w:pPr>
              <w:widowControl w:val="0"/>
              <w:snapToGrid w:val="0"/>
              <w:spacing w:beforeLines="50" w:after="50" w:line="240" w:lineRule="auto"/>
              <w:jc w:val="both"/>
              <w:rPr>
                <w:rFonts w:ascii="宋体" w:hAnsi="宋体"/>
                <w:b/>
                <w:bCs/>
                <w:color w:val="auto"/>
                <w:sz w:val="44"/>
                <w:szCs w:val="21"/>
                <w:highlight w:val="none"/>
              </w:rPr>
            </w:pPr>
          </w:p>
        </w:tc>
        <w:tc>
          <w:tcPr>
            <w:tcW w:w="2144" w:type="dxa"/>
            <w:tcBorders>
              <w:top w:val="single" w:color="auto" w:sz="4" w:space="0"/>
              <w:left w:val="nil"/>
              <w:bottom w:val="single" w:color="auto" w:sz="4" w:space="0"/>
              <w:right w:val="single" w:color="auto" w:sz="4" w:space="0"/>
            </w:tcBorders>
            <w:noWrap w:val="0"/>
            <w:vAlign w:val="top"/>
          </w:tcPr>
          <w:p w14:paraId="7613836C">
            <w:pPr>
              <w:widowControl w:val="0"/>
              <w:snapToGrid w:val="0"/>
              <w:spacing w:beforeLines="50" w:after="50" w:line="240" w:lineRule="auto"/>
              <w:jc w:val="both"/>
              <w:rPr>
                <w:rFonts w:ascii="宋体" w:hAnsi="宋体"/>
                <w:b/>
                <w:bCs/>
                <w:color w:val="auto"/>
                <w:sz w:val="44"/>
                <w:szCs w:val="21"/>
                <w:highlight w:val="none"/>
              </w:rPr>
            </w:pPr>
          </w:p>
        </w:tc>
        <w:tc>
          <w:tcPr>
            <w:tcW w:w="2013" w:type="dxa"/>
            <w:tcBorders>
              <w:top w:val="single" w:color="auto" w:sz="4" w:space="0"/>
              <w:left w:val="nil"/>
              <w:bottom w:val="single" w:color="auto" w:sz="4" w:space="0"/>
              <w:right w:val="single" w:color="auto" w:sz="4" w:space="0"/>
            </w:tcBorders>
            <w:noWrap w:val="0"/>
            <w:vAlign w:val="top"/>
          </w:tcPr>
          <w:p w14:paraId="77F55CD4">
            <w:pPr>
              <w:widowControl w:val="0"/>
              <w:snapToGrid w:val="0"/>
              <w:spacing w:beforeLines="50" w:after="50" w:line="240" w:lineRule="auto"/>
              <w:jc w:val="both"/>
              <w:rPr>
                <w:rFonts w:ascii="宋体" w:hAnsi="宋体"/>
                <w:b/>
                <w:bCs/>
                <w:color w:val="auto"/>
                <w:sz w:val="44"/>
                <w:szCs w:val="21"/>
                <w:highlight w:val="none"/>
              </w:rPr>
            </w:pPr>
          </w:p>
        </w:tc>
        <w:tc>
          <w:tcPr>
            <w:tcW w:w="1288" w:type="dxa"/>
            <w:tcBorders>
              <w:top w:val="single" w:color="auto" w:sz="4" w:space="0"/>
              <w:left w:val="nil"/>
              <w:bottom w:val="single" w:color="auto" w:sz="4" w:space="0"/>
              <w:right w:val="single" w:color="auto" w:sz="4" w:space="0"/>
            </w:tcBorders>
            <w:noWrap w:val="0"/>
            <w:vAlign w:val="top"/>
          </w:tcPr>
          <w:p w14:paraId="02C2E3E8">
            <w:pPr>
              <w:widowControl w:val="0"/>
              <w:snapToGrid w:val="0"/>
              <w:spacing w:beforeLines="50" w:after="50" w:line="240" w:lineRule="auto"/>
              <w:jc w:val="both"/>
              <w:rPr>
                <w:rFonts w:ascii="宋体" w:hAnsi="宋体"/>
                <w:b/>
                <w:bCs/>
                <w:color w:val="auto"/>
                <w:sz w:val="44"/>
                <w:szCs w:val="21"/>
                <w:highlight w:val="none"/>
              </w:rPr>
            </w:pPr>
          </w:p>
        </w:tc>
        <w:tc>
          <w:tcPr>
            <w:tcW w:w="1288" w:type="dxa"/>
            <w:tcBorders>
              <w:top w:val="single" w:color="auto" w:sz="4" w:space="0"/>
              <w:left w:val="nil"/>
              <w:bottom w:val="single" w:color="auto" w:sz="4" w:space="0"/>
              <w:right w:val="single" w:color="auto" w:sz="4" w:space="0"/>
            </w:tcBorders>
            <w:noWrap w:val="0"/>
            <w:vAlign w:val="top"/>
          </w:tcPr>
          <w:p w14:paraId="09EC14CF">
            <w:pPr>
              <w:widowControl w:val="0"/>
              <w:snapToGrid w:val="0"/>
              <w:spacing w:beforeLines="50" w:after="50" w:line="240" w:lineRule="auto"/>
              <w:jc w:val="both"/>
              <w:rPr>
                <w:rFonts w:ascii="宋体" w:hAnsi="宋体"/>
                <w:b/>
                <w:bCs/>
                <w:color w:val="auto"/>
                <w:sz w:val="44"/>
                <w:szCs w:val="21"/>
                <w:highlight w:val="none"/>
              </w:rPr>
            </w:pPr>
          </w:p>
        </w:tc>
      </w:tr>
      <w:tr w14:paraId="525A5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top"/>
          </w:tcPr>
          <w:p w14:paraId="328259D5">
            <w:pPr>
              <w:widowControl w:val="0"/>
              <w:snapToGrid w:val="0"/>
              <w:spacing w:beforeLines="50" w:after="50" w:line="240" w:lineRule="auto"/>
              <w:jc w:val="both"/>
              <w:rPr>
                <w:rFonts w:ascii="宋体" w:hAnsi="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top"/>
          </w:tcPr>
          <w:p w14:paraId="40EBDD58">
            <w:pPr>
              <w:widowControl w:val="0"/>
              <w:snapToGrid w:val="0"/>
              <w:spacing w:beforeLines="50" w:after="50" w:line="240" w:lineRule="auto"/>
              <w:jc w:val="both"/>
              <w:rPr>
                <w:rFonts w:ascii="宋体" w:hAnsi="宋体"/>
                <w:b/>
                <w:bCs/>
                <w:color w:val="auto"/>
                <w:sz w:val="44"/>
                <w:szCs w:val="21"/>
                <w:highlight w:val="none"/>
              </w:rPr>
            </w:pPr>
          </w:p>
        </w:tc>
        <w:tc>
          <w:tcPr>
            <w:tcW w:w="2144" w:type="dxa"/>
            <w:tcBorders>
              <w:top w:val="single" w:color="auto" w:sz="4" w:space="0"/>
              <w:left w:val="nil"/>
              <w:bottom w:val="single" w:color="auto" w:sz="4" w:space="0"/>
              <w:right w:val="single" w:color="auto" w:sz="4" w:space="0"/>
            </w:tcBorders>
            <w:noWrap w:val="0"/>
            <w:vAlign w:val="top"/>
          </w:tcPr>
          <w:p w14:paraId="15B358C2">
            <w:pPr>
              <w:widowControl w:val="0"/>
              <w:snapToGrid w:val="0"/>
              <w:spacing w:beforeLines="50" w:after="50" w:line="240" w:lineRule="auto"/>
              <w:jc w:val="both"/>
              <w:rPr>
                <w:rFonts w:ascii="宋体" w:hAnsi="宋体"/>
                <w:b/>
                <w:bCs/>
                <w:color w:val="auto"/>
                <w:sz w:val="44"/>
                <w:szCs w:val="21"/>
                <w:highlight w:val="none"/>
              </w:rPr>
            </w:pPr>
          </w:p>
        </w:tc>
        <w:tc>
          <w:tcPr>
            <w:tcW w:w="2013" w:type="dxa"/>
            <w:tcBorders>
              <w:top w:val="single" w:color="auto" w:sz="4" w:space="0"/>
              <w:left w:val="nil"/>
              <w:bottom w:val="single" w:color="auto" w:sz="4" w:space="0"/>
              <w:right w:val="single" w:color="auto" w:sz="4" w:space="0"/>
            </w:tcBorders>
            <w:noWrap w:val="0"/>
            <w:vAlign w:val="top"/>
          </w:tcPr>
          <w:p w14:paraId="5F1EA76E">
            <w:pPr>
              <w:widowControl w:val="0"/>
              <w:snapToGrid w:val="0"/>
              <w:spacing w:beforeLines="50" w:after="50" w:line="240" w:lineRule="auto"/>
              <w:jc w:val="both"/>
              <w:rPr>
                <w:rFonts w:ascii="宋体" w:hAnsi="宋体"/>
                <w:b/>
                <w:bCs/>
                <w:color w:val="auto"/>
                <w:sz w:val="44"/>
                <w:szCs w:val="21"/>
                <w:highlight w:val="none"/>
              </w:rPr>
            </w:pPr>
          </w:p>
        </w:tc>
        <w:tc>
          <w:tcPr>
            <w:tcW w:w="1288" w:type="dxa"/>
            <w:tcBorders>
              <w:top w:val="single" w:color="auto" w:sz="4" w:space="0"/>
              <w:left w:val="nil"/>
              <w:bottom w:val="single" w:color="auto" w:sz="4" w:space="0"/>
              <w:right w:val="single" w:color="auto" w:sz="4" w:space="0"/>
            </w:tcBorders>
            <w:noWrap w:val="0"/>
            <w:vAlign w:val="top"/>
          </w:tcPr>
          <w:p w14:paraId="029E3072">
            <w:pPr>
              <w:widowControl w:val="0"/>
              <w:snapToGrid w:val="0"/>
              <w:spacing w:beforeLines="50" w:after="50" w:line="240" w:lineRule="auto"/>
              <w:jc w:val="both"/>
              <w:rPr>
                <w:rFonts w:ascii="宋体" w:hAnsi="宋体"/>
                <w:b/>
                <w:bCs/>
                <w:color w:val="auto"/>
                <w:sz w:val="44"/>
                <w:szCs w:val="21"/>
                <w:highlight w:val="none"/>
              </w:rPr>
            </w:pPr>
          </w:p>
        </w:tc>
        <w:tc>
          <w:tcPr>
            <w:tcW w:w="1288" w:type="dxa"/>
            <w:tcBorders>
              <w:top w:val="single" w:color="auto" w:sz="4" w:space="0"/>
              <w:left w:val="nil"/>
              <w:bottom w:val="single" w:color="auto" w:sz="4" w:space="0"/>
              <w:right w:val="single" w:color="auto" w:sz="4" w:space="0"/>
            </w:tcBorders>
            <w:noWrap w:val="0"/>
            <w:vAlign w:val="top"/>
          </w:tcPr>
          <w:p w14:paraId="16C67550">
            <w:pPr>
              <w:widowControl w:val="0"/>
              <w:snapToGrid w:val="0"/>
              <w:spacing w:beforeLines="50" w:after="50" w:line="240" w:lineRule="auto"/>
              <w:jc w:val="both"/>
              <w:rPr>
                <w:rFonts w:ascii="宋体" w:hAnsi="宋体"/>
                <w:b/>
                <w:bCs/>
                <w:color w:val="auto"/>
                <w:sz w:val="44"/>
                <w:szCs w:val="21"/>
                <w:highlight w:val="none"/>
              </w:rPr>
            </w:pPr>
          </w:p>
        </w:tc>
      </w:tr>
    </w:tbl>
    <w:p w14:paraId="4FF5F277">
      <w:pPr>
        <w:pStyle w:val="13"/>
        <w:keepNext w:val="0"/>
        <w:keepLines w:val="0"/>
        <w:pageBreakBefore w:val="0"/>
        <w:widowControl/>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注：供应商须提供以上拟投入人员的相关证书复印件及近半年来连续三个月的社会保险的证明材料的复印件,并加盖磋商供应商公章,否则不得分。</w:t>
      </w:r>
    </w:p>
    <w:p w14:paraId="66321920">
      <w:pPr>
        <w:pStyle w:val="13"/>
        <w:spacing w:line="600" w:lineRule="exact"/>
        <w:ind w:firstLine="3465" w:firstLineChars="1650"/>
        <w:rPr>
          <w:rFonts w:hint="eastAsia" w:hAnsi="宋体"/>
          <w:color w:val="auto"/>
          <w:sz w:val="21"/>
          <w:highlight w:val="none"/>
        </w:rPr>
      </w:pPr>
    </w:p>
    <w:p w14:paraId="0677A7D8">
      <w:pPr>
        <w:pStyle w:val="13"/>
        <w:spacing w:line="600" w:lineRule="exact"/>
        <w:ind w:firstLine="3465" w:firstLineChars="1650"/>
        <w:rPr>
          <w:rFonts w:hAnsi="宋体"/>
          <w:color w:val="auto"/>
          <w:sz w:val="21"/>
          <w:highlight w:val="none"/>
          <w:u w:val="single"/>
        </w:rPr>
      </w:pPr>
      <w:r>
        <w:rPr>
          <w:rFonts w:hint="eastAsia" w:hAnsi="宋体"/>
          <w:color w:val="auto"/>
          <w:sz w:val="21"/>
          <w:highlight w:val="none"/>
        </w:rPr>
        <w:t>供应商</w:t>
      </w:r>
      <w:r>
        <w:rPr>
          <w:rFonts w:hint="eastAsia" w:hAnsi="宋体" w:cs="宋体;SimSun"/>
          <w:color w:val="auto"/>
          <w:sz w:val="21"/>
          <w:highlight w:val="none"/>
        </w:rPr>
        <w:t>名称</w:t>
      </w:r>
      <w:r>
        <w:rPr>
          <w:rFonts w:hint="eastAsia" w:hAnsi="宋体"/>
          <w:color w:val="auto"/>
          <w:sz w:val="21"/>
          <w:highlight w:val="none"/>
        </w:rPr>
        <w:t>（盖单位公章）：</w:t>
      </w:r>
    </w:p>
    <w:p w14:paraId="0D03E1BF">
      <w:pPr>
        <w:pStyle w:val="13"/>
        <w:spacing w:line="500" w:lineRule="exact"/>
        <w:ind w:firstLine="3465" w:firstLineChars="1650"/>
        <w:rPr>
          <w:rFonts w:hAnsi="宋体"/>
          <w:color w:val="auto"/>
          <w:sz w:val="21"/>
          <w:highlight w:val="none"/>
        </w:rPr>
      </w:pPr>
      <w:r>
        <w:rPr>
          <w:rFonts w:hint="eastAsia" w:hAnsi="宋体"/>
          <w:color w:val="auto"/>
          <w:sz w:val="21"/>
          <w:highlight w:val="none"/>
        </w:rPr>
        <w:t>法定代表人或其委托代理人（签字或盖章）：</w:t>
      </w:r>
    </w:p>
    <w:p w14:paraId="62E22119">
      <w:pPr>
        <w:pStyle w:val="13"/>
        <w:spacing w:line="500" w:lineRule="exact"/>
        <w:jc w:val="both"/>
        <w:rPr>
          <w:rFonts w:hAnsi="宋体"/>
          <w:color w:val="auto"/>
          <w:sz w:val="21"/>
          <w:highlight w:val="none"/>
        </w:rPr>
      </w:pPr>
      <w:r>
        <w:rPr>
          <w:rFonts w:hint="eastAsia" w:hAnsi="宋体"/>
          <w:color w:val="auto"/>
          <w:sz w:val="21"/>
          <w:highlight w:val="none"/>
        </w:rPr>
        <w:t xml:space="preserve">                                 日期：年   月   日</w:t>
      </w:r>
    </w:p>
    <w:p w14:paraId="7423928E">
      <w:pPr>
        <w:rPr>
          <w:rFonts w:hint="eastAsia" w:ascii="宋体" w:hAnsi="宋体" w:cs="宋体"/>
          <w:b/>
          <w:szCs w:val="21"/>
        </w:rPr>
      </w:pPr>
    </w:p>
    <w:p w14:paraId="40DA0475">
      <w:pPr>
        <w:rPr>
          <w:rFonts w:hint="eastAsia" w:ascii="宋体" w:hAnsi="宋体" w:cs="宋体"/>
          <w:b/>
          <w:szCs w:val="21"/>
        </w:rPr>
      </w:pPr>
    </w:p>
    <w:p w14:paraId="360B9221">
      <w:pPr>
        <w:rPr>
          <w:rFonts w:hint="eastAsia" w:ascii="宋体" w:hAnsi="宋体" w:cs="宋体"/>
          <w:b/>
          <w:szCs w:val="21"/>
        </w:rPr>
      </w:pPr>
    </w:p>
    <w:p w14:paraId="10D43279">
      <w:pPr>
        <w:rPr>
          <w:rFonts w:hint="eastAsia" w:ascii="宋体" w:hAnsi="宋体" w:cs="宋体"/>
          <w:b/>
          <w:szCs w:val="21"/>
        </w:rPr>
      </w:pPr>
    </w:p>
    <w:p w14:paraId="6995D94E">
      <w:pPr>
        <w:rPr>
          <w:rFonts w:hint="eastAsia" w:ascii="宋体" w:hAnsi="宋体" w:cs="宋体"/>
          <w:b/>
          <w:szCs w:val="21"/>
        </w:rPr>
      </w:pPr>
    </w:p>
    <w:p w14:paraId="3E566BEA">
      <w:pPr>
        <w:rPr>
          <w:rFonts w:hint="eastAsia" w:ascii="宋体" w:hAnsi="宋体" w:cs="宋体"/>
          <w:b/>
          <w:szCs w:val="21"/>
        </w:rPr>
      </w:pPr>
    </w:p>
    <w:p w14:paraId="16E5513A">
      <w:pPr>
        <w:rPr>
          <w:rFonts w:hint="eastAsia" w:ascii="宋体" w:hAnsi="宋体" w:cs="宋体"/>
          <w:b/>
          <w:szCs w:val="21"/>
        </w:rPr>
      </w:pPr>
    </w:p>
    <w:p w14:paraId="5E768CD5">
      <w:pPr>
        <w:rPr>
          <w:rFonts w:hint="eastAsia" w:ascii="宋体" w:hAnsi="宋体" w:cs="宋体"/>
          <w:b/>
          <w:szCs w:val="21"/>
        </w:rPr>
      </w:pPr>
    </w:p>
    <w:p w14:paraId="1D61F6DD">
      <w:pPr>
        <w:pStyle w:val="2"/>
        <w:rPr>
          <w:rFonts w:hint="eastAsia" w:ascii="宋体" w:hAnsi="宋体" w:cs="宋体"/>
          <w:b/>
          <w:szCs w:val="21"/>
        </w:rPr>
      </w:pPr>
    </w:p>
    <w:p w14:paraId="545F342D">
      <w:pPr>
        <w:pStyle w:val="26"/>
        <w:rPr>
          <w:rFonts w:hint="eastAsia"/>
        </w:rPr>
      </w:pPr>
    </w:p>
    <w:p w14:paraId="3606AAB9">
      <w:pPr>
        <w:rPr>
          <w:rFonts w:hint="eastAsia" w:ascii="宋体" w:hAnsi="宋体" w:cs="宋体"/>
          <w:b/>
          <w:szCs w:val="21"/>
        </w:rPr>
      </w:pPr>
    </w:p>
    <w:p w14:paraId="6B4EF50F">
      <w:pPr>
        <w:rPr>
          <w:rFonts w:hint="eastAsia" w:ascii="宋体" w:hAnsi="宋体" w:cs="宋体"/>
          <w:b/>
          <w:szCs w:val="21"/>
        </w:rPr>
      </w:pPr>
    </w:p>
    <w:p w14:paraId="485C12E2">
      <w:pPr>
        <w:rPr>
          <w:rFonts w:hint="eastAsia" w:ascii="宋体" w:hAnsi="宋体" w:cs="宋体"/>
          <w:b/>
          <w:szCs w:val="21"/>
        </w:rPr>
      </w:pPr>
    </w:p>
    <w:p w14:paraId="1056ECDD">
      <w:pPr>
        <w:rPr>
          <w:rFonts w:hint="eastAsia" w:ascii="宋体" w:hAnsi="宋体" w:cs="宋体"/>
          <w:b/>
          <w:szCs w:val="21"/>
        </w:rPr>
      </w:pPr>
    </w:p>
    <w:p w14:paraId="77CCF6F5">
      <w:pPr>
        <w:rPr>
          <w:rFonts w:hint="eastAsia" w:ascii="宋体" w:hAnsi="宋体" w:cs="宋体"/>
          <w:b/>
          <w:szCs w:val="21"/>
        </w:rPr>
      </w:pPr>
    </w:p>
    <w:p w14:paraId="1CC45729">
      <w:pPr>
        <w:pStyle w:val="13"/>
        <w:spacing w:line="360" w:lineRule="auto"/>
        <w:rPr>
          <w:rFonts w:hAnsi="宋体" w:cs="宋体"/>
          <w:b/>
        </w:rPr>
      </w:pPr>
      <w:r>
        <w:rPr>
          <w:rFonts w:hint="eastAsia" w:hAnsi="宋体" w:cs="宋体"/>
          <w:b/>
        </w:rPr>
        <w:t>格式</w:t>
      </w:r>
      <w:r>
        <w:rPr>
          <w:rFonts w:hint="eastAsia" w:hAnsi="宋体" w:cs="宋体"/>
          <w:b/>
          <w:lang w:val="en-US" w:eastAsia="zh-CN"/>
        </w:rPr>
        <w:t>10</w:t>
      </w:r>
      <w:r>
        <w:rPr>
          <w:rFonts w:hint="eastAsia" w:hAnsi="宋体" w:cs="宋体"/>
          <w:b/>
        </w:rPr>
        <w:t>：</w:t>
      </w:r>
    </w:p>
    <w:p w14:paraId="2D04CEF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SimSun"/>
          <w:b/>
          <w:bCs/>
          <w:color w:val="auto"/>
          <w:kern w:val="0"/>
          <w:sz w:val="32"/>
          <w:szCs w:val="32"/>
          <w:highlight w:val="none"/>
          <w:lang w:val="en-US" w:eastAsia="zh-CN" w:bidi="ar-SA"/>
        </w:rPr>
      </w:pPr>
    </w:p>
    <w:p w14:paraId="00D11E6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SimSun"/>
          <w:b/>
          <w:bCs/>
          <w:color w:val="auto"/>
          <w:kern w:val="0"/>
          <w:sz w:val="32"/>
          <w:szCs w:val="32"/>
          <w:highlight w:val="none"/>
          <w:lang w:val="en-US" w:eastAsia="zh-CN" w:bidi="ar-SA"/>
        </w:rPr>
      </w:pPr>
      <w:r>
        <w:rPr>
          <w:rFonts w:hint="eastAsia" w:ascii="宋体" w:hAnsi="宋体" w:eastAsia="宋体" w:cs="宋体"/>
          <w:b/>
          <w:color w:val="auto"/>
          <w:sz w:val="30"/>
          <w:szCs w:val="30"/>
          <w:highlight w:val="none"/>
        </w:rPr>
        <w:t>供应商类似业绩证明文件</w:t>
      </w:r>
    </w:p>
    <w:p w14:paraId="203EA05E">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SimSun"/>
          <w:b/>
          <w:bCs/>
          <w:color w:val="auto"/>
          <w:kern w:val="0"/>
          <w:sz w:val="32"/>
          <w:szCs w:val="32"/>
          <w:highlight w:val="none"/>
          <w:lang w:val="en-US" w:eastAsia="zh-CN" w:bidi="ar-SA"/>
        </w:rPr>
      </w:pPr>
    </w:p>
    <w:tbl>
      <w:tblPr>
        <w:tblStyle w:val="28"/>
        <w:tblW w:w="81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3"/>
        <w:gridCol w:w="1903"/>
        <w:gridCol w:w="2088"/>
        <w:gridCol w:w="1960"/>
        <w:gridCol w:w="1254"/>
      </w:tblGrid>
      <w:tr w14:paraId="77A54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1A7F5970">
            <w:pPr>
              <w:widowControl w:val="0"/>
              <w:snapToGrid w:val="0"/>
              <w:spacing w:beforeLines="50" w:after="50" w:line="240" w:lineRule="auto"/>
              <w:jc w:val="center"/>
              <w:rPr>
                <w:rFonts w:ascii="宋体" w:hAnsi="宋体"/>
                <w:color w:val="auto"/>
                <w:szCs w:val="21"/>
                <w:highlight w:val="none"/>
              </w:rPr>
            </w:pPr>
            <w:r>
              <w:rPr>
                <w:rFonts w:ascii="宋体" w:hAnsi="宋体"/>
                <w:color w:val="auto"/>
                <w:szCs w:val="21"/>
                <w:highlight w:val="none"/>
              </w:rPr>
              <w:t>序号</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6A8DD545">
            <w:pPr>
              <w:widowControl w:val="0"/>
              <w:snapToGrid w:val="0"/>
              <w:spacing w:beforeLines="50" w:after="50"/>
              <w:jc w:val="center"/>
              <w:rPr>
                <w:rFonts w:hint="default" w:ascii="宋体" w:hAnsi="宋体" w:eastAsia="宋体"/>
                <w:color w:val="auto"/>
                <w:szCs w:val="21"/>
                <w:highlight w:val="none"/>
                <w:lang w:val="en-US" w:eastAsia="zh-CN"/>
              </w:rPr>
            </w:pPr>
            <w:r>
              <w:rPr>
                <w:rFonts w:hint="eastAsia" w:ascii="宋体" w:hAnsi="宋体" w:eastAsia="宋体" w:cs="宋体"/>
                <w:color w:val="auto"/>
                <w:sz w:val="24"/>
                <w:highlight w:val="none"/>
              </w:rPr>
              <w:t>采购人名称</w:t>
            </w:r>
          </w:p>
        </w:tc>
        <w:tc>
          <w:tcPr>
            <w:tcW w:w="2088" w:type="dxa"/>
            <w:tcBorders>
              <w:top w:val="single" w:color="auto" w:sz="4" w:space="0"/>
              <w:left w:val="nil"/>
              <w:bottom w:val="single" w:color="auto" w:sz="4" w:space="0"/>
              <w:right w:val="single" w:color="auto" w:sz="4" w:space="0"/>
            </w:tcBorders>
            <w:noWrap w:val="0"/>
            <w:vAlign w:val="center"/>
          </w:tcPr>
          <w:p w14:paraId="1424AB3F">
            <w:pPr>
              <w:widowControl w:val="0"/>
              <w:snapToGrid w:val="0"/>
              <w:spacing w:beforeLines="50" w:after="50" w:line="240" w:lineRule="auto"/>
              <w:jc w:val="center"/>
              <w:rPr>
                <w:rFonts w:hint="default" w:ascii="宋体" w:hAnsi="宋体" w:eastAsia="宋体"/>
                <w:color w:val="auto"/>
                <w:szCs w:val="21"/>
                <w:highlight w:val="none"/>
                <w:lang w:val="en-US" w:eastAsia="zh-CN"/>
              </w:rPr>
            </w:pPr>
            <w:r>
              <w:rPr>
                <w:rFonts w:hint="eastAsia" w:ascii="宋体" w:hAnsi="宋体" w:eastAsia="宋体" w:cs="宋体"/>
                <w:color w:val="auto"/>
                <w:sz w:val="24"/>
                <w:highlight w:val="none"/>
              </w:rPr>
              <w:t>项目名称</w:t>
            </w:r>
          </w:p>
        </w:tc>
        <w:tc>
          <w:tcPr>
            <w:tcW w:w="1960" w:type="dxa"/>
            <w:tcBorders>
              <w:top w:val="single" w:color="auto" w:sz="4" w:space="0"/>
              <w:left w:val="nil"/>
              <w:bottom w:val="single" w:color="auto" w:sz="4" w:space="0"/>
              <w:right w:val="single" w:color="auto" w:sz="4" w:space="0"/>
            </w:tcBorders>
            <w:noWrap w:val="0"/>
            <w:vAlign w:val="center"/>
          </w:tcPr>
          <w:p w14:paraId="4A74E420">
            <w:pPr>
              <w:keepNext w:val="0"/>
              <w:keepLines w:val="0"/>
              <w:pageBreakBefore w:val="0"/>
              <w:widowControl w:val="0"/>
              <w:kinsoku/>
              <w:wordWrap/>
              <w:overflowPunct/>
              <w:topLinePunct w:val="0"/>
              <w:autoSpaceDE/>
              <w:autoSpaceDN/>
              <w:bidi w:val="0"/>
              <w:adjustRightInd/>
              <w:snapToGrid w:val="0"/>
              <w:spacing w:beforeLines="50" w:after="50" w:line="2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p w14:paraId="53E2E5DB">
            <w:pPr>
              <w:keepNext w:val="0"/>
              <w:keepLines w:val="0"/>
              <w:pageBreakBefore w:val="0"/>
              <w:widowControl w:val="0"/>
              <w:kinsoku/>
              <w:wordWrap/>
              <w:overflowPunct/>
              <w:topLinePunct w:val="0"/>
              <w:autoSpaceDE/>
              <w:autoSpaceDN/>
              <w:bidi w:val="0"/>
              <w:adjustRightInd/>
              <w:snapToGrid w:val="0"/>
              <w:spacing w:beforeLines="50" w:after="50" w:line="240" w:lineRule="exact"/>
              <w:jc w:val="center"/>
              <w:textAlignment w:val="auto"/>
              <w:rPr>
                <w:rFonts w:ascii="宋体" w:hAnsi="宋体"/>
                <w:color w:val="auto"/>
                <w:szCs w:val="21"/>
                <w:highlight w:val="none"/>
              </w:rPr>
            </w:pPr>
            <w:r>
              <w:rPr>
                <w:rFonts w:hint="eastAsia" w:ascii="宋体" w:hAnsi="宋体" w:eastAsia="宋体" w:cs="宋体"/>
                <w:color w:val="auto"/>
                <w:sz w:val="24"/>
                <w:highlight w:val="none"/>
              </w:rPr>
              <w:t>（万元）</w:t>
            </w:r>
          </w:p>
        </w:tc>
        <w:tc>
          <w:tcPr>
            <w:tcW w:w="1254" w:type="dxa"/>
            <w:tcBorders>
              <w:top w:val="single" w:color="auto" w:sz="4" w:space="0"/>
              <w:left w:val="nil"/>
              <w:bottom w:val="single" w:color="auto" w:sz="4" w:space="0"/>
              <w:right w:val="single" w:color="auto" w:sz="4" w:space="0"/>
            </w:tcBorders>
            <w:noWrap w:val="0"/>
            <w:vAlign w:val="center"/>
          </w:tcPr>
          <w:p w14:paraId="12D238E8">
            <w:pPr>
              <w:widowControl w:val="0"/>
              <w:snapToGrid w:val="0"/>
              <w:spacing w:beforeLines="50" w:after="50" w:line="240" w:lineRule="auto"/>
              <w:jc w:val="center"/>
              <w:rPr>
                <w:rFonts w:ascii="宋体" w:hAnsi="宋体"/>
                <w:color w:val="auto"/>
                <w:szCs w:val="21"/>
                <w:highlight w:val="none"/>
              </w:rPr>
            </w:pPr>
            <w:r>
              <w:rPr>
                <w:rFonts w:ascii="宋体" w:hAnsi="宋体"/>
                <w:color w:val="auto"/>
                <w:szCs w:val="21"/>
                <w:highlight w:val="none"/>
              </w:rPr>
              <w:t>备注</w:t>
            </w:r>
          </w:p>
        </w:tc>
      </w:tr>
      <w:tr w14:paraId="00066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top"/>
          </w:tcPr>
          <w:p w14:paraId="2E8268FB">
            <w:pPr>
              <w:widowControl w:val="0"/>
              <w:snapToGrid w:val="0"/>
              <w:spacing w:beforeLines="50" w:after="50" w:line="240" w:lineRule="auto"/>
              <w:jc w:val="both"/>
              <w:rPr>
                <w:rFonts w:ascii="宋体" w:hAnsi="宋体"/>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noWrap w:val="0"/>
            <w:vAlign w:val="top"/>
          </w:tcPr>
          <w:p w14:paraId="3FEB18D5">
            <w:pPr>
              <w:widowControl w:val="0"/>
              <w:snapToGrid w:val="0"/>
              <w:spacing w:beforeLines="50" w:after="50" w:line="240" w:lineRule="auto"/>
              <w:jc w:val="both"/>
              <w:rPr>
                <w:rFonts w:ascii="宋体" w:hAnsi="宋体"/>
                <w:b/>
                <w:bCs/>
                <w:color w:val="auto"/>
                <w:sz w:val="44"/>
                <w:szCs w:val="21"/>
                <w:highlight w:val="none"/>
              </w:rPr>
            </w:pPr>
          </w:p>
        </w:tc>
        <w:tc>
          <w:tcPr>
            <w:tcW w:w="2088" w:type="dxa"/>
            <w:tcBorders>
              <w:top w:val="single" w:color="auto" w:sz="4" w:space="0"/>
              <w:left w:val="nil"/>
              <w:bottom w:val="single" w:color="auto" w:sz="4" w:space="0"/>
              <w:right w:val="single" w:color="auto" w:sz="4" w:space="0"/>
            </w:tcBorders>
            <w:noWrap w:val="0"/>
            <w:vAlign w:val="top"/>
          </w:tcPr>
          <w:p w14:paraId="5283BD81">
            <w:pPr>
              <w:widowControl w:val="0"/>
              <w:snapToGrid w:val="0"/>
              <w:spacing w:beforeLines="50" w:after="50" w:line="240" w:lineRule="auto"/>
              <w:jc w:val="both"/>
              <w:rPr>
                <w:rFonts w:ascii="宋体" w:hAnsi="宋体"/>
                <w:b/>
                <w:bCs/>
                <w:color w:val="auto"/>
                <w:sz w:val="44"/>
                <w:szCs w:val="21"/>
                <w:highlight w:val="none"/>
              </w:rPr>
            </w:pPr>
          </w:p>
        </w:tc>
        <w:tc>
          <w:tcPr>
            <w:tcW w:w="1960" w:type="dxa"/>
            <w:tcBorders>
              <w:top w:val="single" w:color="auto" w:sz="4" w:space="0"/>
              <w:left w:val="nil"/>
              <w:bottom w:val="single" w:color="auto" w:sz="4" w:space="0"/>
              <w:right w:val="single" w:color="auto" w:sz="4" w:space="0"/>
            </w:tcBorders>
            <w:noWrap w:val="0"/>
            <w:vAlign w:val="top"/>
          </w:tcPr>
          <w:p w14:paraId="442B3E2E">
            <w:pPr>
              <w:widowControl w:val="0"/>
              <w:snapToGrid w:val="0"/>
              <w:spacing w:beforeLines="50" w:after="50" w:line="240" w:lineRule="auto"/>
              <w:jc w:val="both"/>
              <w:rPr>
                <w:rFonts w:ascii="宋体" w:hAnsi="宋体"/>
                <w:b/>
                <w:bCs/>
                <w:color w:val="auto"/>
                <w:sz w:val="44"/>
                <w:szCs w:val="21"/>
                <w:highlight w:val="none"/>
              </w:rPr>
            </w:pPr>
          </w:p>
        </w:tc>
        <w:tc>
          <w:tcPr>
            <w:tcW w:w="1254" w:type="dxa"/>
            <w:tcBorders>
              <w:top w:val="single" w:color="auto" w:sz="4" w:space="0"/>
              <w:left w:val="nil"/>
              <w:bottom w:val="single" w:color="auto" w:sz="4" w:space="0"/>
              <w:right w:val="single" w:color="auto" w:sz="4" w:space="0"/>
            </w:tcBorders>
            <w:noWrap w:val="0"/>
            <w:vAlign w:val="top"/>
          </w:tcPr>
          <w:p w14:paraId="0E212488">
            <w:pPr>
              <w:widowControl w:val="0"/>
              <w:snapToGrid w:val="0"/>
              <w:spacing w:beforeLines="50" w:after="50" w:line="240" w:lineRule="auto"/>
              <w:jc w:val="both"/>
              <w:rPr>
                <w:rFonts w:ascii="宋体" w:hAnsi="宋体"/>
                <w:b/>
                <w:bCs/>
                <w:color w:val="auto"/>
                <w:sz w:val="44"/>
                <w:szCs w:val="21"/>
                <w:highlight w:val="none"/>
              </w:rPr>
            </w:pPr>
          </w:p>
        </w:tc>
      </w:tr>
      <w:tr w14:paraId="652A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top"/>
          </w:tcPr>
          <w:p w14:paraId="0B0281AA">
            <w:pPr>
              <w:widowControl w:val="0"/>
              <w:snapToGrid w:val="0"/>
              <w:spacing w:beforeLines="50" w:after="50" w:line="240" w:lineRule="auto"/>
              <w:jc w:val="both"/>
              <w:rPr>
                <w:rFonts w:ascii="宋体" w:hAnsi="宋体"/>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noWrap w:val="0"/>
            <w:vAlign w:val="top"/>
          </w:tcPr>
          <w:p w14:paraId="0310013E">
            <w:pPr>
              <w:widowControl w:val="0"/>
              <w:snapToGrid w:val="0"/>
              <w:spacing w:beforeLines="50" w:after="50" w:line="240" w:lineRule="auto"/>
              <w:jc w:val="both"/>
              <w:rPr>
                <w:rFonts w:ascii="宋体" w:hAnsi="宋体"/>
                <w:b/>
                <w:bCs/>
                <w:color w:val="auto"/>
                <w:sz w:val="44"/>
                <w:szCs w:val="21"/>
                <w:highlight w:val="none"/>
              </w:rPr>
            </w:pPr>
          </w:p>
        </w:tc>
        <w:tc>
          <w:tcPr>
            <w:tcW w:w="2088" w:type="dxa"/>
            <w:tcBorders>
              <w:top w:val="single" w:color="auto" w:sz="4" w:space="0"/>
              <w:left w:val="nil"/>
              <w:bottom w:val="single" w:color="auto" w:sz="4" w:space="0"/>
              <w:right w:val="single" w:color="auto" w:sz="4" w:space="0"/>
            </w:tcBorders>
            <w:noWrap w:val="0"/>
            <w:vAlign w:val="top"/>
          </w:tcPr>
          <w:p w14:paraId="1FC3ED15">
            <w:pPr>
              <w:widowControl w:val="0"/>
              <w:snapToGrid w:val="0"/>
              <w:spacing w:beforeLines="50" w:after="50" w:line="240" w:lineRule="auto"/>
              <w:jc w:val="both"/>
              <w:rPr>
                <w:rFonts w:ascii="宋体" w:hAnsi="宋体"/>
                <w:b/>
                <w:bCs/>
                <w:color w:val="auto"/>
                <w:sz w:val="44"/>
                <w:szCs w:val="21"/>
                <w:highlight w:val="none"/>
              </w:rPr>
            </w:pPr>
          </w:p>
        </w:tc>
        <w:tc>
          <w:tcPr>
            <w:tcW w:w="1960" w:type="dxa"/>
            <w:tcBorders>
              <w:top w:val="single" w:color="auto" w:sz="4" w:space="0"/>
              <w:left w:val="nil"/>
              <w:bottom w:val="single" w:color="auto" w:sz="4" w:space="0"/>
              <w:right w:val="single" w:color="auto" w:sz="4" w:space="0"/>
            </w:tcBorders>
            <w:noWrap w:val="0"/>
            <w:vAlign w:val="top"/>
          </w:tcPr>
          <w:p w14:paraId="67809B1E">
            <w:pPr>
              <w:widowControl w:val="0"/>
              <w:snapToGrid w:val="0"/>
              <w:spacing w:beforeLines="50" w:after="50" w:line="240" w:lineRule="auto"/>
              <w:jc w:val="both"/>
              <w:rPr>
                <w:rFonts w:ascii="宋体" w:hAnsi="宋体"/>
                <w:b/>
                <w:bCs/>
                <w:color w:val="auto"/>
                <w:sz w:val="44"/>
                <w:szCs w:val="21"/>
                <w:highlight w:val="none"/>
              </w:rPr>
            </w:pPr>
          </w:p>
        </w:tc>
        <w:tc>
          <w:tcPr>
            <w:tcW w:w="1254" w:type="dxa"/>
            <w:tcBorders>
              <w:top w:val="single" w:color="auto" w:sz="4" w:space="0"/>
              <w:left w:val="nil"/>
              <w:bottom w:val="single" w:color="auto" w:sz="4" w:space="0"/>
              <w:right w:val="single" w:color="auto" w:sz="4" w:space="0"/>
            </w:tcBorders>
            <w:noWrap w:val="0"/>
            <w:vAlign w:val="top"/>
          </w:tcPr>
          <w:p w14:paraId="5869A536">
            <w:pPr>
              <w:widowControl w:val="0"/>
              <w:snapToGrid w:val="0"/>
              <w:spacing w:beforeLines="50" w:after="50" w:line="240" w:lineRule="auto"/>
              <w:jc w:val="both"/>
              <w:rPr>
                <w:rFonts w:ascii="宋体" w:hAnsi="宋体"/>
                <w:b/>
                <w:bCs/>
                <w:color w:val="auto"/>
                <w:sz w:val="44"/>
                <w:szCs w:val="21"/>
                <w:highlight w:val="none"/>
              </w:rPr>
            </w:pPr>
          </w:p>
        </w:tc>
      </w:tr>
      <w:tr w14:paraId="5BE8C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top"/>
          </w:tcPr>
          <w:p w14:paraId="5C48A864">
            <w:pPr>
              <w:widowControl w:val="0"/>
              <w:snapToGrid w:val="0"/>
              <w:spacing w:beforeLines="50" w:after="50" w:line="240" w:lineRule="auto"/>
              <w:jc w:val="both"/>
              <w:rPr>
                <w:rFonts w:ascii="宋体" w:hAnsi="宋体"/>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noWrap w:val="0"/>
            <w:vAlign w:val="top"/>
          </w:tcPr>
          <w:p w14:paraId="25B42317">
            <w:pPr>
              <w:widowControl w:val="0"/>
              <w:snapToGrid w:val="0"/>
              <w:spacing w:beforeLines="50" w:after="50" w:line="240" w:lineRule="auto"/>
              <w:jc w:val="both"/>
              <w:rPr>
                <w:rFonts w:ascii="宋体" w:hAnsi="宋体"/>
                <w:b/>
                <w:bCs/>
                <w:color w:val="auto"/>
                <w:sz w:val="44"/>
                <w:szCs w:val="21"/>
                <w:highlight w:val="none"/>
              </w:rPr>
            </w:pPr>
          </w:p>
        </w:tc>
        <w:tc>
          <w:tcPr>
            <w:tcW w:w="2088" w:type="dxa"/>
            <w:tcBorders>
              <w:top w:val="single" w:color="auto" w:sz="4" w:space="0"/>
              <w:left w:val="nil"/>
              <w:bottom w:val="single" w:color="auto" w:sz="4" w:space="0"/>
              <w:right w:val="single" w:color="auto" w:sz="4" w:space="0"/>
            </w:tcBorders>
            <w:noWrap w:val="0"/>
            <w:vAlign w:val="top"/>
          </w:tcPr>
          <w:p w14:paraId="183044FB">
            <w:pPr>
              <w:widowControl w:val="0"/>
              <w:snapToGrid w:val="0"/>
              <w:spacing w:beforeLines="50" w:after="50" w:line="240" w:lineRule="auto"/>
              <w:jc w:val="both"/>
              <w:rPr>
                <w:rFonts w:ascii="宋体" w:hAnsi="宋体"/>
                <w:b/>
                <w:bCs/>
                <w:color w:val="auto"/>
                <w:sz w:val="44"/>
                <w:szCs w:val="21"/>
                <w:highlight w:val="none"/>
              </w:rPr>
            </w:pPr>
          </w:p>
        </w:tc>
        <w:tc>
          <w:tcPr>
            <w:tcW w:w="1960" w:type="dxa"/>
            <w:tcBorders>
              <w:top w:val="single" w:color="auto" w:sz="4" w:space="0"/>
              <w:left w:val="nil"/>
              <w:bottom w:val="single" w:color="auto" w:sz="4" w:space="0"/>
              <w:right w:val="single" w:color="auto" w:sz="4" w:space="0"/>
            </w:tcBorders>
            <w:noWrap w:val="0"/>
            <w:vAlign w:val="top"/>
          </w:tcPr>
          <w:p w14:paraId="695EDE82">
            <w:pPr>
              <w:widowControl w:val="0"/>
              <w:snapToGrid w:val="0"/>
              <w:spacing w:beforeLines="50" w:after="50" w:line="240" w:lineRule="auto"/>
              <w:jc w:val="both"/>
              <w:rPr>
                <w:rFonts w:ascii="宋体" w:hAnsi="宋体"/>
                <w:b/>
                <w:bCs/>
                <w:color w:val="auto"/>
                <w:sz w:val="44"/>
                <w:szCs w:val="21"/>
                <w:highlight w:val="none"/>
              </w:rPr>
            </w:pPr>
          </w:p>
        </w:tc>
        <w:tc>
          <w:tcPr>
            <w:tcW w:w="1254" w:type="dxa"/>
            <w:tcBorders>
              <w:top w:val="single" w:color="auto" w:sz="4" w:space="0"/>
              <w:left w:val="nil"/>
              <w:bottom w:val="single" w:color="auto" w:sz="4" w:space="0"/>
              <w:right w:val="single" w:color="auto" w:sz="4" w:space="0"/>
            </w:tcBorders>
            <w:noWrap w:val="0"/>
            <w:vAlign w:val="top"/>
          </w:tcPr>
          <w:p w14:paraId="7F6E7C6A">
            <w:pPr>
              <w:widowControl w:val="0"/>
              <w:snapToGrid w:val="0"/>
              <w:spacing w:beforeLines="50" w:after="50" w:line="240" w:lineRule="auto"/>
              <w:jc w:val="both"/>
              <w:rPr>
                <w:rFonts w:ascii="宋体" w:hAnsi="宋体"/>
                <w:b/>
                <w:bCs/>
                <w:color w:val="auto"/>
                <w:sz w:val="44"/>
                <w:szCs w:val="21"/>
                <w:highlight w:val="none"/>
              </w:rPr>
            </w:pPr>
          </w:p>
        </w:tc>
      </w:tr>
      <w:tr w14:paraId="4DBA3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top"/>
          </w:tcPr>
          <w:p w14:paraId="0C7B5D25">
            <w:pPr>
              <w:widowControl w:val="0"/>
              <w:snapToGrid w:val="0"/>
              <w:spacing w:beforeLines="50" w:after="50" w:line="240" w:lineRule="auto"/>
              <w:jc w:val="both"/>
              <w:rPr>
                <w:rFonts w:ascii="宋体" w:hAnsi="宋体"/>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noWrap w:val="0"/>
            <w:vAlign w:val="top"/>
          </w:tcPr>
          <w:p w14:paraId="23F4E3B3">
            <w:pPr>
              <w:widowControl w:val="0"/>
              <w:snapToGrid w:val="0"/>
              <w:spacing w:beforeLines="50" w:after="50" w:line="240" w:lineRule="auto"/>
              <w:jc w:val="both"/>
              <w:rPr>
                <w:rFonts w:ascii="宋体" w:hAnsi="宋体"/>
                <w:b/>
                <w:bCs/>
                <w:color w:val="auto"/>
                <w:sz w:val="44"/>
                <w:szCs w:val="21"/>
                <w:highlight w:val="none"/>
              </w:rPr>
            </w:pPr>
          </w:p>
        </w:tc>
        <w:tc>
          <w:tcPr>
            <w:tcW w:w="2088" w:type="dxa"/>
            <w:tcBorders>
              <w:top w:val="single" w:color="auto" w:sz="4" w:space="0"/>
              <w:left w:val="nil"/>
              <w:bottom w:val="single" w:color="auto" w:sz="4" w:space="0"/>
              <w:right w:val="single" w:color="auto" w:sz="4" w:space="0"/>
            </w:tcBorders>
            <w:noWrap w:val="0"/>
            <w:vAlign w:val="top"/>
          </w:tcPr>
          <w:p w14:paraId="3BB23F78">
            <w:pPr>
              <w:widowControl w:val="0"/>
              <w:snapToGrid w:val="0"/>
              <w:spacing w:beforeLines="50" w:after="50" w:line="240" w:lineRule="auto"/>
              <w:jc w:val="both"/>
              <w:rPr>
                <w:rFonts w:ascii="宋体" w:hAnsi="宋体"/>
                <w:b/>
                <w:bCs/>
                <w:color w:val="auto"/>
                <w:sz w:val="44"/>
                <w:szCs w:val="21"/>
                <w:highlight w:val="none"/>
              </w:rPr>
            </w:pPr>
          </w:p>
        </w:tc>
        <w:tc>
          <w:tcPr>
            <w:tcW w:w="1960" w:type="dxa"/>
            <w:tcBorders>
              <w:top w:val="single" w:color="auto" w:sz="4" w:space="0"/>
              <w:left w:val="nil"/>
              <w:bottom w:val="single" w:color="auto" w:sz="4" w:space="0"/>
              <w:right w:val="single" w:color="auto" w:sz="4" w:space="0"/>
            </w:tcBorders>
            <w:noWrap w:val="0"/>
            <w:vAlign w:val="top"/>
          </w:tcPr>
          <w:p w14:paraId="4C849103">
            <w:pPr>
              <w:widowControl w:val="0"/>
              <w:snapToGrid w:val="0"/>
              <w:spacing w:beforeLines="50" w:after="50" w:line="240" w:lineRule="auto"/>
              <w:jc w:val="both"/>
              <w:rPr>
                <w:rFonts w:ascii="宋体" w:hAnsi="宋体"/>
                <w:b/>
                <w:bCs/>
                <w:color w:val="auto"/>
                <w:sz w:val="44"/>
                <w:szCs w:val="21"/>
                <w:highlight w:val="none"/>
              </w:rPr>
            </w:pPr>
          </w:p>
        </w:tc>
        <w:tc>
          <w:tcPr>
            <w:tcW w:w="1254" w:type="dxa"/>
            <w:tcBorders>
              <w:top w:val="single" w:color="auto" w:sz="4" w:space="0"/>
              <w:left w:val="nil"/>
              <w:bottom w:val="single" w:color="auto" w:sz="4" w:space="0"/>
              <w:right w:val="single" w:color="auto" w:sz="4" w:space="0"/>
            </w:tcBorders>
            <w:noWrap w:val="0"/>
            <w:vAlign w:val="top"/>
          </w:tcPr>
          <w:p w14:paraId="1D7E5628">
            <w:pPr>
              <w:widowControl w:val="0"/>
              <w:snapToGrid w:val="0"/>
              <w:spacing w:beforeLines="50" w:after="50" w:line="240" w:lineRule="auto"/>
              <w:jc w:val="both"/>
              <w:rPr>
                <w:rFonts w:ascii="宋体" w:hAnsi="宋体"/>
                <w:b/>
                <w:bCs/>
                <w:color w:val="auto"/>
                <w:sz w:val="44"/>
                <w:szCs w:val="21"/>
                <w:highlight w:val="none"/>
              </w:rPr>
            </w:pPr>
          </w:p>
        </w:tc>
      </w:tr>
      <w:tr w14:paraId="6974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top"/>
          </w:tcPr>
          <w:p w14:paraId="5F12B548">
            <w:pPr>
              <w:widowControl w:val="0"/>
              <w:snapToGrid w:val="0"/>
              <w:spacing w:beforeLines="50" w:after="50" w:line="240" w:lineRule="auto"/>
              <w:jc w:val="both"/>
              <w:rPr>
                <w:rFonts w:ascii="宋体" w:hAnsi="宋体"/>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noWrap w:val="0"/>
            <w:vAlign w:val="top"/>
          </w:tcPr>
          <w:p w14:paraId="76876CF4">
            <w:pPr>
              <w:widowControl w:val="0"/>
              <w:snapToGrid w:val="0"/>
              <w:spacing w:beforeLines="50" w:after="50" w:line="240" w:lineRule="auto"/>
              <w:jc w:val="both"/>
              <w:rPr>
                <w:rFonts w:ascii="宋体" w:hAnsi="宋体"/>
                <w:b/>
                <w:bCs/>
                <w:color w:val="auto"/>
                <w:sz w:val="44"/>
                <w:szCs w:val="21"/>
                <w:highlight w:val="none"/>
              </w:rPr>
            </w:pPr>
          </w:p>
        </w:tc>
        <w:tc>
          <w:tcPr>
            <w:tcW w:w="2088" w:type="dxa"/>
            <w:tcBorders>
              <w:top w:val="single" w:color="auto" w:sz="4" w:space="0"/>
              <w:left w:val="nil"/>
              <w:bottom w:val="single" w:color="auto" w:sz="4" w:space="0"/>
              <w:right w:val="single" w:color="auto" w:sz="4" w:space="0"/>
            </w:tcBorders>
            <w:noWrap w:val="0"/>
            <w:vAlign w:val="top"/>
          </w:tcPr>
          <w:p w14:paraId="07AFA869">
            <w:pPr>
              <w:widowControl w:val="0"/>
              <w:snapToGrid w:val="0"/>
              <w:spacing w:beforeLines="50" w:after="50" w:line="240" w:lineRule="auto"/>
              <w:jc w:val="both"/>
              <w:rPr>
                <w:rFonts w:ascii="宋体" w:hAnsi="宋体"/>
                <w:b/>
                <w:bCs/>
                <w:color w:val="auto"/>
                <w:sz w:val="44"/>
                <w:szCs w:val="21"/>
                <w:highlight w:val="none"/>
              </w:rPr>
            </w:pPr>
          </w:p>
        </w:tc>
        <w:tc>
          <w:tcPr>
            <w:tcW w:w="1960" w:type="dxa"/>
            <w:tcBorders>
              <w:top w:val="single" w:color="auto" w:sz="4" w:space="0"/>
              <w:left w:val="nil"/>
              <w:bottom w:val="single" w:color="auto" w:sz="4" w:space="0"/>
              <w:right w:val="single" w:color="auto" w:sz="4" w:space="0"/>
            </w:tcBorders>
            <w:noWrap w:val="0"/>
            <w:vAlign w:val="top"/>
          </w:tcPr>
          <w:p w14:paraId="2BDFDF0F">
            <w:pPr>
              <w:widowControl w:val="0"/>
              <w:snapToGrid w:val="0"/>
              <w:spacing w:beforeLines="50" w:after="50" w:line="240" w:lineRule="auto"/>
              <w:jc w:val="both"/>
              <w:rPr>
                <w:rFonts w:ascii="宋体" w:hAnsi="宋体"/>
                <w:b/>
                <w:bCs/>
                <w:color w:val="auto"/>
                <w:sz w:val="44"/>
                <w:szCs w:val="21"/>
                <w:highlight w:val="none"/>
              </w:rPr>
            </w:pPr>
          </w:p>
        </w:tc>
        <w:tc>
          <w:tcPr>
            <w:tcW w:w="1254" w:type="dxa"/>
            <w:tcBorders>
              <w:top w:val="single" w:color="auto" w:sz="4" w:space="0"/>
              <w:left w:val="nil"/>
              <w:bottom w:val="single" w:color="auto" w:sz="4" w:space="0"/>
              <w:right w:val="single" w:color="auto" w:sz="4" w:space="0"/>
            </w:tcBorders>
            <w:noWrap w:val="0"/>
            <w:vAlign w:val="top"/>
          </w:tcPr>
          <w:p w14:paraId="54A4EB54">
            <w:pPr>
              <w:widowControl w:val="0"/>
              <w:snapToGrid w:val="0"/>
              <w:spacing w:beforeLines="50" w:after="50" w:line="240" w:lineRule="auto"/>
              <w:jc w:val="both"/>
              <w:rPr>
                <w:rFonts w:ascii="宋体" w:hAnsi="宋体"/>
                <w:b/>
                <w:bCs/>
                <w:color w:val="auto"/>
                <w:sz w:val="44"/>
                <w:szCs w:val="21"/>
                <w:highlight w:val="none"/>
              </w:rPr>
            </w:pPr>
          </w:p>
        </w:tc>
      </w:tr>
    </w:tbl>
    <w:p w14:paraId="53B1A78F">
      <w:pPr>
        <w:pStyle w:val="13"/>
        <w:keepNext w:val="0"/>
        <w:keepLines w:val="0"/>
        <w:pageBreakBefore w:val="0"/>
        <w:widowControl/>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注：供应商须提供类似业绩的中标（成交）通知书或合同复印件,并加盖磋商供应商公章,否则不得分。</w:t>
      </w:r>
    </w:p>
    <w:p w14:paraId="1B13B556">
      <w:pPr>
        <w:pStyle w:val="13"/>
        <w:spacing w:line="600" w:lineRule="exact"/>
        <w:ind w:firstLine="3465" w:firstLineChars="1650"/>
        <w:rPr>
          <w:rFonts w:hint="eastAsia" w:hAnsi="宋体"/>
          <w:color w:val="auto"/>
          <w:sz w:val="21"/>
          <w:highlight w:val="none"/>
        </w:rPr>
      </w:pPr>
    </w:p>
    <w:p w14:paraId="3B76A331">
      <w:pPr>
        <w:pStyle w:val="13"/>
        <w:spacing w:line="600" w:lineRule="exact"/>
        <w:ind w:firstLine="3465" w:firstLineChars="1650"/>
        <w:rPr>
          <w:rFonts w:hint="eastAsia" w:hAnsi="宋体"/>
          <w:color w:val="auto"/>
          <w:sz w:val="21"/>
          <w:highlight w:val="none"/>
        </w:rPr>
      </w:pPr>
    </w:p>
    <w:p w14:paraId="44B30D42">
      <w:pPr>
        <w:pStyle w:val="13"/>
        <w:spacing w:line="600" w:lineRule="exact"/>
        <w:ind w:firstLine="3465" w:firstLineChars="1650"/>
        <w:rPr>
          <w:rFonts w:hAnsi="宋体"/>
          <w:color w:val="auto"/>
          <w:sz w:val="21"/>
          <w:highlight w:val="none"/>
          <w:u w:val="single"/>
        </w:rPr>
      </w:pPr>
      <w:r>
        <w:rPr>
          <w:rFonts w:hint="eastAsia" w:hAnsi="宋体"/>
          <w:color w:val="auto"/>
          <w:sz w:val="21"/>
          <w:highlight w:val="none"/>
        </w:rPr>
        <w:t>供应商</w:t>
      </w:r>
      <w:r>
        <w:rPr>
          <w:rFonts w:hint="eastAsia" w:hAnsi="宋体" w:cs="宋体;SimSun"/>
          <w:color w:val="auto"/>
          <w:sz w:val="21"/>
          <w:highlight w:val="none"/>
        </w:rPr>
        <w:t>名称</w:t>
      </w:r>
      <w:r>
        <w:rPr>
          <w:rFonts w:hint="eastAsia" w:hAnsi="宋体"/>
          <w:color w:val="auto"/>
          <w:sz w:val="21"/>
          <w:highlight w:val="none"/>
        </w:rPr>
        <w:t>（盖单位公章）：</w:t>
      </w:r>
    </w:p>
    <w:p w14:paraId="68906337">
      <w:pPr>
        <w:pStyle w:val="13"/>
        <w:spacing w:line="500" w:lineRule="exact"/>
        <w:ind w:firstLine="3465" w:firstLineChars="1650"/>
        <w:rPr>
          <w:rFonts w:hAnsi="宋体"/>
          <w:color w:val="auto"/>
          <w:sz w:val="21"/>
          <w:highlight w:val="none"/>
        </w:rPr>
      </w:pPr>
      <w:r>
        <w:rPr>
          <w:rFonts w:hint="eastAsia" w:hAnsi="宋体"/>
          <w:color w:val="auto"/>
          <w:sz w:val="21"/>
          <w:highlight w:val="none"/>
        </w:rPr>
        <w:t>法定代表人或其委托代理人（签字或盖章）：</w:t>
      </w:r>
    </w:p>
    <w:p w14:paraId="54CF5DA6">
      <w:pPr>
        <w:pStyle w:val="13"/>
        <w:spacing w:line="500" w:lineRule="exact"/>
        <w:jc w:val="both"/>
        <w:rPr>
          <w:rFonts w:hAnsi="宋体"/>
          <w:color w:val="auto"/>
          <w:sz w:val="21"/>
          <w:highlight w:val="none"/>
        </w:rPr>
      </w:pPr>
      <w:r>
        <w:rPr>
          <w:rFonts w:hint="eastAsia" w:hAnsi="宋体"/>
          <w:color w:val="auto"/>
          <w:sz w:val="21"/>
          <w:highlight w:val="none"/>
        </w:rPr>
        <w:t xml:space="preserve">                                 日期：年   月   日</w:t>
      </w:r>
    </w:p>
    <w:p w14:paraId="7AF07FAD">
      <w:pPr>
        <w:rPr>
          <w:rFonts w:hint="eastAsia" w:ascii="宋体" w:hAnsi="宋体" w:cs="宋体"/>
          <w:b/>
          <w:szCs w:val="21"/>
        </w:rPr>
      </w:pPr>
    </w:p>
    <w:p w14:paraId="0B4C03EE">
      <w:pPr>
        <w:rPr>
          <w:rFonts w:hint="eastAsia" w:ascii="宋体" w:hAnsi="宋体" w:cs="宋体"/>
          <w:b/>
          <w:szCs w:val="21"/>
        </w:rPr>
      </w:pPr>
    </w:p>
    <w:p w14:paraId="734DA1DA">
      <w:pPr>
        <w:rPr>
          <w:rFonts w:hint="eastAsia" w:ascii="宋体" w:hAnsi="宋体" w:cs="宋体"/>
          <w:b/>
          <w:szCs w:val="21"/>
        </w:rPr>
      </w:pPr>
    </w:p>
    <w:p w14:paraId="1A1C19AB">
      <w:pPr>
        <w:rPr>
          <w:rFonts w:hint="eastAsia" w:ascii="宋体" w:hAnsi="宋体" w:cs="宋体"/>
          <w:b/>
          <w:szCs w:val="21"/>
        </w:rPr>
      </w:pPr>
    </w:p>
    <w:p w14:paraId="09A8C2C2">
      <w:pPr>
        <w:rPr>
          <w:rFonts w:hint="eastAsia" w:ascii="宋体" w:hAnsi="宋体" w:cs="宋体"/>
          <w:b/>
          <w:szCs w:val="21"/>
        </w:rPr>
      </w:pPr>
    </w:p>
    <w:p w14:paraId="5FC9D30E">
      <w:pPr>
        <w:rPr>
          <w:rFonts w:hint="eastAsia" w:ascii="宋体" w:hAnsi="宋体" w:cs="宋体"/>
          <w:b/>
          <w:szCs w:val="21"/>
        </w:rPr>
      </w:pPr>
    </w:p>
    <w:p w14:paraId="55C04DE5">
      <w:pPr>
        <w:pStyle w:val="2"/>
        <w:rPr>
          <w:rFonts w:hint="eastAsia" w:ascii="宋体" w:hAnsi="宋体" w:cs="宋体"/>
          <w:b/>
          <w:szCs w:val="21"/>
        </w:rPr>
      </w:pPr>
    </w:p>
    <w:p w14:paraId="7C0BD7E9">
      <w:pPr>
        <w:pStyle w:val="26"/>
        <w:rPr>
          <w:rFonts w:hint="eastAsia" w:ascii="宋体" w:hAnsi="宋体" w:cs="宋体"/>
          <w:b/>
          <w:szCs w:val="21"/>
        </w:rPr>
      </w:pPr>
    </w:p>
    <w:p w14:paraId="3D84BB6B">
      <w:pPr>
        <w:rPr>
          <w:rFonts w:hint="eastAsia" w:ascii="宋体" w:hAnsi="宋体" w:cs="宋体"/>
          <w:b/>
          <w:szCs w:val="21"/>
        </w:rPr>
      </w:pPr>
    </w:p>
    <w:p w14:paraId="41A7423B">
      <w:pPr>
        <w:pStyle w:val="2"/>
        <w:rPr>
          <w:rFonts w:hint="eastAsia" w:ascii="宋体" w:hAnsi="宋体" w:cs="宋体"/>
          <w:b/>
          <w:szCs w:val="21"/>
        </w:rPr>
      </w:pPr>
    </w:p>
    <w:p w14:paraId="4E7EDC0E">
      <w:pPr>
        <w:pStyle w:val="26"/>
        <w:rPr>
          <w:rFonts w:hint="eastAsia"/>
        </w:rPr>
      </w:pPr>
    </w:p>
    <w:p w14:paraId="6B28ABCB">
      <w:pPr>
        <w:pStyle w:val="17"/>
        <w:rPr>
          <w:rFonts w:hint="eastAsia" w:ascii="宋体" w:hAnsi="宋体" w:cs="宋体"/>
          <w:b/>
          <w:szCs w:val="21"/>
        </w:rPr>
      </w:pPr>
    </w:p>
    <w:p w14:paraId="35FEAE63">
      <w:pPr>
        <w:pStyle w:val="17"/>
        <w:rPr>
          <w:rFonts w:hint="eastAsia" w:ascii="宋体" w:hAnsi="宋体" w:cs="宋体"/>
          <w:b/>
          <w:szCs w:val="21"/>
        </w:rPr>
      </w:pPr>
    </w:p>
    <w:p w14:paraId="03AAB9BF">
      <w:pPr>
        <w:pStyle w:val="13"/>
        <w:spacing w:line="360" w:lineRule="auto"/>
        <w:rPr>
          <w:rFonts w:hAnsi="宋体" w:cs="宋体"/>
          <w:b/>
        </w:rPr>
      </w:pPr>
      <w:r>
        <w:rPr>
          <w:rFonts w:hint="eastAsia" w:hAnsi="宋体" w:cs="宋体"/>
          <w:b/>
        </w:rPr>
        <w:t>格式</w:t>
      </w:r>
      <w:r>
        <w:rPr>
          <w:rFonts w:hint="eastAsia" w:hAnsi="宋体" w:cs="宋体"/>
          <w:b/>
          <w:lang w:val="en-US" w:eastAsia="zh-CN"/>
        </w:rPr>
        <w:t>11</w:t>
      </w:r>
      <w:r>
        <w:rPr>
          <w:rFonts w:hint="eastAsia" w:hAnsi="宋体" w:cs="宋体"/>
          <w:b/>
        </w:rPr>
        <w:t>：</w:t>
      </w:r>
    </w:p>
    <w:p w14:paraId="230B752C">
      <w:pPr>
        <w:snapToGrid w:val="0"/>
        <w:spacing w:before="50" w:after="165" w:afterLines="50" w:line="360" w:lineRule="auto"/>
        <w:jc w:val="center"/>
        <w:rPr>
          <w:rFonts w:hint="eastAsia" w:ascii="宋体" w:hAnsi="宋体" w:cs="宋体"/>
          <w:b/>
          <w:kern w:val="0"/>
          <w:sz w:val="32"/>
          <w:szCs w:val="32"/>
        </w:rPr>
      </w:pPr>
      <w:r>
        <w:rPr>
          <w:rFonts w:hint="eastAsia" w:ascii="宋体" w:hAnsi="宋体" w:cs="宋体"/>
          <w:b/>
          <w:kern w:val="0"/>
          <w:sz w:val="32"/>
          <w:szCs w:val="32"/>
          <w:lang w:eastAsia="zh-CN"/>
        </w:rPr>
        <w:t>供应商</w:t>
      </w:r>
      <w:r>
        <w:rPr>
          <w:rFonts w:hint="eastAsia" w:ascii="宋体" w:hAnsi="宋体" w:cs="宋体"/>
          <w:b/>
          <w:kern w:val="0"/>
          <w:sz w:val="32"/>
          <w:szCs w:val="32"/>
        </w:rPr>
        <w:t>直接控股股东信息表</w:t>
      </w:r>
    </w:p>
    <w:tbl>
      <w:tblPr>
        <w:tblStyle w:val="28"/>
        <w:tblW w:w="9476" w:type="dxa"/>
        <w:jc w:val="center"/>
        <w:shd w:val="clear" w:color="auto" w:fill="FBFBFB"/>
        <w:tblLayout w:type="fixed"/>
        <w:tblCellMar>
          <w:top w:w="0" w:type="dxa"/>
          <w:left w:w="0" w:type="dxa"/>
          <w:bottom w:w="0" w:type="dxa"/>
          <w:right w:w="0" w:type="dxa"/>
        </w:tblCellMar>
      </w:tblPr>
      <w:tblGrid>
        <w:gridCol w:w="828"/>
        <w:gridCol w:w="2269"/>
        <w:gridCol w:w="1239"/>
        <w:gridCol w:w="3355"/>
        <w:gridCol w:w="1785"/>
      </w:tblGrid>
      <w:tr w14:paraId="6D1B9B67">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D93E7AD">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20E871">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55BB7E">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出资比例</w:t>
            </w:r>
          </w:p>
        </w:tc>
        <w:tc>
          <w:tcPr>
            <w:tcW w:w="33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756A5AE">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身份证号码或者统一社会信用代码</w:t>
            </w:r>
          </w:p>
        </w:tc>
        <w:tc>
          <w:tcPr>
            <w:tcW w:w="178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1F6FDB">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备注</w:t>
            </w:r>
          </w:p>
        </w:tc>
      </w:tr>
      <w:tr w14:paraId="66DE7E0B">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CE0932">
            <w:pPr>
              <w:spacing w:line="360" w:lineRule="auto"/>
              <w:jc w:val="center"/>
              <w:rPr>
                <w:rFonts w:hint="eastAsia" w:ascii="宋体" w:hAnsi="宋体" w:cs="宋体"/>
                <w:kern w:val="0"/>
                <w:sz w:val="21"/>
                <w:szCs w:val="21"/>
              </w:rPr>
            </w:pPr>
            <w:r>
              <w:rPr>
                <w:rFonts w:hint="eastAsia" w:ascii="宋体" w:hAnsi="宋体" w:cs="宋体"/>
                <w:kern w:val="0"/>
                <w:sz w:val="21"/>
                <w:szCs w:val="21"/>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299DBD">
            <w:pPr>
              <w:spacing w:line="360" w:lineRule="auto"/>
              <w:jc w:val="center"/>
              <w:rPr>
                <w:rFonts w:hint="eastAsia" w:ascii="宋体" w:hAnsi="宋体" w:cs="宋体"/>
                <w:kern w:val="0"/>
                <w:sz w:val="21"/>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E200D">
            <w:pPr>
              <w:spacing w:line="360" w:lineRule="auto"/>
              <w:jc w:val="center"/>
              <w:rPr>
                <w:rFonts w:hint="eastAsia" w:ascii="宋体" w:hAnsi="宋体" w:cs="宋体"/>
                <w:kern w:val="0"/>
                <w:sz w:val="21"/>
                <w:szCs w:val="21"/>
              </w:rPr>
            </w:pPr>
          </w:p>
        </w:tc>
        <w:tc>
          <w:tcPr>
            <w:tcW w:w="33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A572B4">
            <w:pPr>
              <w:spacing w:line="360" w:lineRule="auto"/>
              <w:jc w:val="center"/>
              <w:rPr>
                <w:rFonts w:hint="eastAsia" w:ascii="宋体" w:hAnsi="宋体" w:cs="宋体"/>
                <w:kern w:val="0"/>
                <w:sz w:val="21"/>
                <w:szCs w:val="21"/>
              </w:rPr>
            </w:pPr>
          </w:p>
        </w:tc>
        <w:tc>
          <w:tcPr>
            <w:tcW w:w="178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DA642">
            <w:pPr>
              <w:spacing w:line="360" w:lineRule="auto"/>
              <w:jc w:val="center"/>
              <w:rPr>
                <w:rFonts w:hint="eastAsia" w:ascii="宋体" w:hAnsi="宋体" w:cs="宋体"/>
                <w:kern w:val="0"/>
                <w:sz w:val="21"/>
                <w:szCs w:val="21"/>
              </w:rPr>
            </w:pPr>
          </w:p>
        </w:tc>
      </w:tr>
      <w:tr w14:paraId="208BDAC5">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8CFEFF">
            <w:pPr>
              <w:spacing w:line="360" w:lineRule="auto"/>
              <w:jc w:val="center"/>
              <w:rPr>
                <w:rFonts w:hint="eastAsia" w:ascii="宋体" w:hAnsi="宋体" w:cs="宋体"/>
                <w:kern w:val="0"/>
                <w:sz w:val="21"/>
                <w:szCs w:val="21"/>
              </w:rPr>
            </w:pPr>
            <w:r>
              <w:rPr>
                <w:rFonts w:hint="eastAsia" w:ascii="宋体" w:hAnsi="宋体" w:cs="宋体"/>
                <w:kern w:val="0"/>
                <w:sz w:val="21"/>
                <w:szCs w:val="21"/>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530167">
            <w:pPr>
              <w:spacing w:line="360" w:lineRule="auto"/>
              <w:jc w:val="center"/>
              <w:rPr>
                <w:rFonts w:hint="eastAsia" w:ascii="宋体" w:hAnsi="宋体" w:cs="宋体"/>
                <w:kern w:val="0"/>
                <w:sz w:val="21"/>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214631">
            <w:pPr>
              <w:spacing w:line="360" w:lineRule="auto"/>
              <w:jc w:val="center"/>
              <w:rPr>
                <w:rFonts w:hint="eastAsia" w:ascii="宋体" w:hAnsi="宋体" w:cs="宋体"/>
                <w:kern w:val="0"/>
                <w:sz w:val="21"/>
                <w:szCs w:val="21"/>
              </w:rPr>
            </w:pPr>
          </w:p>
        </w:tc>
        <w:tc>
          <w:tcPr>
            <w:tcW w:w="33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19F80A">
            <w:pPr>
              <w:spacing w:line="360" w:lineRule="auto"/>
              <w:jc w:val="center"/>
              <w:rPr>
                <w:rFonts w:hint="eastAsia" w:ascii="宋体" w:hAnsi="宋体" w:cs="宋体"/>
                <w:kern w:val="0"/>
                <w:sz w:val="21"/>
                <w:szCs w:val="21"/>
              </w:rPr>
            </w:pPr>
          </w:p>
        </w:tc>
        <w:tc>
          <w:tcPr>
            <w:tcW w:w="178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0C120B">
            <w:pPr>
              <w:spacing w:line="360" w:lineRule="auto"/>
              <w:jc w:val="center"/>
              <w:rPr>
                <w:rFonts w:hint="eastAsia" w:ascii="宋体" w:hAnsi="宋体" w:cs="宋体"/>
                <w:kern w:val="0"/>
                <w:sz w:val="21"/>
                <w:szCs w:val="21"/>
              </w:rPr>
            </w:pPr>
          </w:p>
        </w:tc>
      </w:tr>
      <w:tr w14:paraId="77980B29">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2EF408">
            <w:pPr>
              <w:spacing w:line="360" w:lineRule="auto"/>
              <w:jc w:val="center"/>
              <w:rPr>
                <w:rFonts w:hint="eastAsia" w:ascii="宋体" w:hAnsi="宋体" w:cs="宋体"/>
                <w:kern w:val="0"/>
                <w:sz w:val="21"/>
                <w:szCs w:val="21"/>
              </w:rPr>
            </w:pPr>
            <w:r>
              <w:rPr>
                <w:rFonts w:hint="eastAsia" w:ascii="宋体" w:hAnsi="宋体" w:cs="宋体"/>
                <w:kern w:val="0"/>
                <w:sz w:val="21"/>
                <w:szCs w:val="21"/>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6C4201">
            <w:pPr>
              <w:spacing w:line="360" w:lineRule="auto"/>
              <w:jc w:val="center"/>
              <w:rPr>
                <w:rFonts w:hint="eastAsia" w:ascii="宋体" w:hAnsi="宋体" w:cs="宋体"/>
                <w:kern w:val="0"/>
                <w:sz w:val="21"/>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017ACD">
            <w:pPr>
              <w:spacing w:line="360" w:lineRule="auto"/>
              <w:jc w:val="center"/>
              <w:rPr>
                <w:rFonts w:hint="eastAsia" w:ascii="宋体" w:hAnsi="宋体" w:cs="宋体"/>
                <w:kern w:val="0"/>
                <w:sz w:val="21"/>
                <w:szCs w:val="21"/>
              </w:rPr>
            </w:pPr>
          </w:p>
        </w:tc>
        <w:tc>
          <w:tcPr>
            <w:tcW w:w="33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711D00">
            <w:pPr>
              <w:spacing w:line="360" w:lineRule="auto"/>
              <w:jc w:val="center"/>
              <w:rPr>
                <w:rFonts w:hint="eastAsia" w:ascii="宋体" w:hAnsi="宋体" w:cs="宋体"/>
                <w:kern w:val="0"/>
                <w:sz w:val="21"/>
                <w:szCs w:val="21"/>
              </w:rPr>
            </w:pPr>
          </w:p>
        </w:tc>
        <w:tc>
          <w:tcPr>
            <w:tcW w:w="178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55B94A">
            <w:pPr>
              <w:spacing w:line="360" w:lineRule="auto"/>
              <w:jc w:val="center"/>
              <w:rPr>
                <w:rFonts w:hint="eastAsia" w:ascii="宋体" w:hAnsi="宋体" w:cs="宋体"/>
                <w:kern w:val="0"/>
                <w:sz w:val="21"/>
                <w:szCs w:val="21"/>
              </w:rPr>
            </w:pPr>
          </w:p>
        </w:tc>
      </w:tr>
      <w:tr w14:paraId="0A57F629">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893D85">
            <w:pPr>
              <w:spacing w:line="360" w:lineRule="auto"/>
              <w:jc w:val="center"/>
              <w:rPr>
                <w:rFonts w:hint="eastAsia" w:ascii="宋体" w:hAnsi="宋体" w:cs="宋体"/>
                <w:kern w:val="0"/>
                <w:sz w:val="21"/>
                <w:szCs w:val="21"/>
              </w:rPr>
            </w:pPr>
            <w:r>
              <w:rPr>
                <w:rFonts w:hint="eastAsia" w:ascii="宋体" w:hAnsi="宋体" w:cs="宋体"/>
                <w:kern w:val="0"/>
                <w:sz w:val="21"/>
                <w:szCs w:val="21"/>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8F0119">
            <w:pPr>
              <w:spacing w:line="360" w:lineRule="auto"/>
              <w:jc w:val="center"/>
              <w:rPr>
                <w:rFonts w:hint="eastAsia" w:ascii="宋体" w:hAnsi="宋体" w:cs="宋体"/>
                <w:kern w:val="0"/>
                <w:sz w:val="21"/>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D3983C">
            <w:pPr>
              <w:spacing w:line="360" w:lineRule="auto"/>
              <w:jc w:val="center"/>
              <w:rPr>
                <w:rFonts w:hint="eastAsia" w:ascii="宋体" w:hAnsi="宋体" w:cs="宋体"/>
                <w:kern w:val="0"/>
                <w:sz w:val="21"/>
                <w:szCs w:val="21"/>
              </w:rPr>
            </w:pPr>
          </w:p>
        </w:tc>
        <w:tc>
          <w:tcPr>
            <w:tcW w:w="33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65BC37">
            <w:pPr>
              <w:spacing w:line="360" w:lineRule="auto"/>
              <w:jc w:val="center"/>
              <w:rPr>
                <w:rFonts w:hint="eastAsia" w:ascii="宋体" w:hAnsi="宋体" w:cs="宋体"/>
                <w:kern w:val="0"/>
                <w:sz w:val="21"/>
                <w:szCs w:val="21"/>
              </w:rPr>
            </w:pPr>
          </w:p>
        </w:tc>
        <w:tc>
          <w:tcPr>
            <w:tcW w:w="178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B2DEC6">
            <w:pPr>
              <w:spacing w:line="360" w:lineRule="auto"/>
              <w:jc w:val="center"/>
              <w:rPr>
                <w:rFonts w:hint="eastAsia" w:ascii="宋体" w:hAnsi="宋体" w:cs="宋体"/>
                <w:kern w:val="0"/>
                <w:sz w:val="21"/>
                <w:szCs w:val="21"/>
              </w:rPr>
            </w:pPr>
          </w:p>
        </w:tc>
      </w:tr>
    </w:tbl>
    <w:p w14:paraId="7293D76F">
      <w:pPr>
        <w:snapToGrid w:val="0"/>
        <w:spacing w:line="360" w:lineRule="auto"/>
        <w:jc w:val="left"/>
        <w:rPr>
          <w:rFonts w:hint="eastAsia" w:ascii="宋体" w:hAnsi="宋体" w:cs="宋体"/>
          <w:sz w:val="21"/>
          <w:szCs w:val="21"/>
        </w:rPr>
      </w:pPr>
      <w:r>
        <w:rPr>
          <w:rFonts w:hint="eastAsia" w:ascii="宋体" w:hAnsi="宋体" w:cs="宋体"/>
          <w:sz w:val="21"/>
          <w:szCs w:val="21"/>
        </w:rPr>
        <w:t>注：</w:t>
      </w:r>
    </w:p>
    <w:p w14:paraId="5FCFA36B">
      <w:pPr>
        <w:snapToGrid w:val="0"/>
        <w:spacing w:line="360" w:lineRule="auto"/>
        <w:jc w:val="left"/>
        <w:rPr>
          <w:rFonts w:hint="eastAsia" w:ascii="宋体" w:hAnsi="宋体" w:cs="宋体"/>
          <w:sz w:val="21"/>
          <w:szCs w:val="21"/>
        </w:rPr>
      </w:pPr>
      <w:r>
        <w:rPr>
          <w:rFonts w:hint="eastAsia" w:ascii="宋体" w:hAnsi="宋体" w:cs="宋体"/>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220DB18">
      <w:pPr>
        <w:snapToGrid w:val="0"/>
        <w:spacing w:line="360" w:lineRule="auto"/>
        <w:jc w:val="left"/>
        <w:rPr>
          <w:rFonts w:hint="eastAsia" w:ascii="宋体" w:hAnsi="宋体" w:cs="宋体"/>
          <w:sz w:val="21"/>
          <w:szCs w:val="21"/>
        </w:rPr>
      </w:pPr>
      <w:r>
        <w:rPr>
          <w:rFonts w:hint="eastAsia" w:ascii="宋体" w:hAnsi="宋体" w:cs="宋体"/>
          <w:sz w:val="21"/>
          <w:szCs w:val="21"/>
        </w:rPr>
        <w:t>2.本表所指的控股关系仅限于直接控股关系，不包括间接的控股关系。公司实际控制人与公司之间的关系不属于本表所指的直接控股关系。</w:t>
      </w:r>
    </w:p>
    <w:p w14:paraId="090C3CD5">
      <w:pPr>
        <w:snapToGrid w:val="0"/>
        <w:spacing w:line="360" w:lineRule="auto"/>
        <w:jc w:val="left"/>
        <w:rPr>
          <w:rFonts w:hint="eastAsia" w:ascii="宋体" w:hAnsi="宋体" w:cs="宋体"/>
          <w:sz w:val="21"/>
          <w:szCs w:val="21"/>
        </w:rPr>
      </w:pPr>
      <w:r>
        <w:rPr>
          <w:rFonts w:hint="eastAsia" w:ascii="宋体" w:hAnsi="宋体" w:cs="宋体"/>
          <w:sz w:val="21"/>
          <w:szCs w:val="21"/>
        </w:rPr>
        <w:t>3.供应商不存在直接控股股东的，则填“无”。</w:t>
      </w:r>
    </w:p>
    <w:p w14:paraId="6DD8A785">
      <w:pPr>
        <w:snapToGrid w:val="0"/>
        <w:spacing w:line="360" w:lineRule="auto"/>
        <w:jc w:val="left"/>
        <w:rPr>
          <w:rFonts w:hint="eastAsia" w:ascii="宋体" w:hAnsi="宋体" w:cs="宋体"/>
          <w:sz w:val="21"/>
          <w:szCs w:val="21"/>
        </w:rPr>
      </w:pPr>
    </w:p>
    <w:p w14:paraId="5523C5D7">
      <w:pPr>
        <w:snapToGrid w:val="0"/>
        <w:spacing w:line="360" w:lineRule="auto"/>
        <w:jc w:val="left"/>
        <w:rPr>
          <w:rFonts w:hint="eastAsia" w:ascii="宋体" w:hAnsi="宋体" w:cs="宋体"/>
          <w:sz w:val="21"/>
          <w:szCs w:val="21"/>
        </w:rPr>
      </w:pPr>
    </w:p>
    <w:p w14:paraId="28BA4613">
      <w:pPr>
        <w:snapToGrid w:val="0"/>
        <w:spacing w:line="360" w:lineRule="auto"/>
        <w:jc w:val="left"/>
        <w:rPr>
          <w:rFonts w:hint="eastAsia" w:ascii="宋体" w:hAnsi="宋体" w:cs="宋体"/>
          <w:sz w:val="21"/>
          <w:szCs w:val="21"/>
        </w:rPr>
      </w:pPr>
    </w:p>
    <w:p w14:paraId="3F4AA984">
      <w:pPr>
        <w:pStyle w:val="13"/>
        <w:spacing w:line="600" w:lineRule="exact"/>
        <w:ind w:firstLine="3465" w:firstLineChars="1650"/>
        <w:rPr>
          <w:rFonts w:hAnsi="宋体"/>
          <w:color w:val="auto"/>
          <w:sz w:val="21"/>
          <w:highlight w:val="none"/>
          <w:u w:val="single"/>
        </w:rPr>
      </w:pPr>
      <w:r>
        <w:rPr>
          <w:rFonts w:hint="eastAsia" w:hAnsi="宋体"/>
          <w:color w:val="auto"/>
          <w:sz w:val="21"/>
          <w:highlight w:val="none"/>
        </w:rPr>
        <w:t>供应商</w:t>
      </w:r>
      <w:r>
        <w:rPr>
          <w:rFonts w:hint="eastAsia" w:hAnsi="宋体" w:cs="宋体;SimSun"/>
          <w:color w:val="auto"/>
          <w:sz w:val="21"/>
          <w:highlight w:val="none"/>
        </w:rPr>
        <w:t>名称</w:t>
      </w:r>
      <w:r>
        <w:rPr>
          <w:rFonts w:hint="eastAsia" w:hAnsi="宋体"/>
          <w:color w:val="auto"/>
          <w:sz w:val="21"/>
          <w:highlight w:val="none"/>
        </w:rPr>
        <w:t>（盖单位公章）：</w:t>
      </w:r>
    </w:p>
    <w:p w14:paraId="5B1ECB26">
      <w:pPr>
        <w:pStyle w:val="13"/>
        <w:spacing w:line="500" w:lineRule="exact"/>
        <w:ind w:firstLine="3465" w:firstLineChars="1650"/>
        <w:rPr>
          <w:rFonts w:hAnsi="宋体"/>
          <w:color w:val="auto"/>
          <w:sz w:val="21"/>
          <w:highlight w:val="none"/>
        </w:rPr>
      </w:pPr>
      <w:r>
        <w:rPr>
          <w:rFonts w:hint="eastAsia" w:hAnsi="宋体"/>
          <w:color w:val="auto"/>
          <w:sz w:val="21"/>
          <w:highlight w:val="none"/>
        </w:rPr>
        <w:t>法定代表人或其委托代理人（签字或盖章）：</w:t>
      </w:r>
    </w:p>
    <w:p w14:paraId="78547B93">
      <w:pPr>
        <w:pStyle w:val="13"/>
        <w:spacing w:line="500" w:lineRule="exact"/>
        <w:jc w:val="both"/>
        <w:rPr>
          <w:rFonts w:hAnsi="宋体"/>
          <w:color w:val="auto"/>
          <w:sz w:val="21"/>
          <w:highlight w:val="none"/>
        </w:rPr>
      </w:pPr>
      <w:r>
        <w:rPr>
          <w:rFonts w:hint="eastAsia" w:hAnsi="宋体"/>
          <w:color w:val="auto"/>
          <w:sz w:val="21"/>
          <w:highlight w:val="none"/>
        </w:rPr>
        <w:t xml:space="preserve">                                 日期：年   月   日</w:t>
      </w:r>
    </w:p>
    <w:p w14:paraId="57FC922F">
      <w:pPr>
        <w:snapToGrid w:val="0"/>
        <w:spacing w:line="360" w:lineRule="auto"/>
        <w:ind w:firstLine="5775" w:firstLineChars="2750"/>
        <w:rPr>
          <w:rFonts w:hint="eastAsia" w:ascii="宋体" w:hAnsi="宋体" w:cs="宋体"/>
          <w:kern w:val="0"/>
          <w:sz w:val="21"/>
          <w:szCs w:val="21"/>
          <w:lang w:val="zh-CN"/>
        </w:rPr>
      </w:pPr>
    </w:p>
    <w:p w14:paraId="2C63281E">
      <w:pPr>
        <w:snapToGrid w:val="0"/>
        <w:jc w:val="center"/>
        <w:rPr>
          <w:rFonts w:hint="eastAsia" w:ascii="宋体" w:hAnsi="宋体" w:cs="宋体"/>
          <w:b/>
          <w:sz w:val="28"/>
          <w:szCs w:val="28"/>
        </w:rPr>
      </w:pPr>
      <w:r>
        <w:rPr>
          <w:rFonts w:hint="eastAsia" w:ascii="宋体" w:hAnsi="宋体" w:cs="宋体"/>
          <w:b/>
          <w:sz w:val="21"/>
          <w:szCs w:val="21"/>
        </w:rPr>
        <w:br w:type="page"/>
      </w:r>
    </w:p>
    <w:p w14:paraId="15FDB424">
      <w:pPr>
        <w:snapToGrid w:val="0"/>
        <w:spacing w:line="360" w:lineRule="auto"/>
        <w:jc w:val="center"/>
        <w:rPr>
          <w:rFonts w:hint="eastAsia" w:ascii="宋体" w:hAnsi="宋体" w:cs="宋体"/>
          <w:sz w:val="32"/>
          <w:szCs w:val="32"/>
        </w:rPr>
      </w:pPr>
      <w:r>
        <w:rPr>
          <w:rFonts w:hint="eastAsia" w:ascii="宋体" w:hAnsi="宋体" w:cs="宋体"/>
          <w:b/>
          <w:kern w:val="0"/>
          <w:sz w:val="32"/>
          <w:szCs w:val="32"/>
          <w:lang w:eastAsia="zh-CN"/>
        </w:rPr>
        <w:t>供应商</w:t>
      </w:r>
      <w:r>
        <w:rPr>
          <w:rFonts w:hint="eastAsia" w:ascii="宋体" w:hAnsi="宋体" w:cs="宋体"/>
          <w:b/>
          <w:sz w:val="32"/>
          <w:szCs w:val="32"/>
        </w:rPr>
        <w:t>直接管理关系信息表</w:t>
      </w:r>
    </w:p>
    <w:tbl>
      <w:tblPr>
        <w:tblStyle w:val="28"/>
        <w:tblW w:w="8697" w:type="dxa"/>
        <w:jc w:val="center"/>
        <w:shd w:val="clear" w:color="auto" w:fill="FBFBFB"/>
        <w:tblLayout w:type="fixed"/>
        <w:tblCellMar>
          <w:top w:w="0" w:type="dxa"/>
          <w:left w:w="0" w:type="dxa"/>
          <w:bottom w:w="0" w:type="dxa"/>
          <w:right w:w="0" w:type="dxa"/>
        </w:tblCellMar>
      </w:tblPr>
      <w:tblGrid>
        <w:gridCol w:w="905"/>
        <w:gridCol w:w="2396"/>
        <w:gridCol w:w="3536"/>
        <w:gridCol w:w="1860"/>
      </w:tblGrid>
      <w:tr w14:paraId="114FA675">
        <w:tblPrEx>
          <w:shd w:val="clear" w:color="auto" w:fill="FBFBFB"/>
          <w:tblCellMar>
            <w:top w:w="0" w:type="dxa"/>
            <w:left w:w="0" w:type="dxa"/>
            <w:bottom w:w="0" w:type="dxa"/>
            <w:right w:w="0" w:type="dxa"/>
          </w:tblCellMar>
        </w:tblPrEx>
        <w:trPr>
          <w:trHeight w:val="644" w:hRule="atLeast"/>
          <w:tblHeader/>
          <w:jc w:val="center"/>
        </w:trPr>
        <w:tc>
          <w:tcPr>
            <w:tcW w:w="9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FBDB71">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序号</w:t>
            </w:r>
          </w:p>
        </w:tc>
        <w:tc>
          <w:tcPr>
            <w:tcW w:w="239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A0ECE0">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直接管理关系单位名称</w:t>
            </w:r>
          </w:p>
        </w:tc>
        <w:tc>
          <w:tcPr>
            <w:tcW w:w="353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BC77168">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统一社会信用代码</w:t>
            </w:r>
          </w:p>
        </w:tc>
        <w:tc>
          <w:tcPr>
            <w:tcW w:w="186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2ADEEB">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备注</w:t>
            </w:r>
          </w:p>
        </w:tc>
      </w:tr>
      <w:tr w14:paraId="49177F6F">
        <w:tblPrEx>
          <w:tblCellMar>
            <w:top w:w="0" w:type="dxa"/>
            <w:left w:w="0" w:type="dxa"/>
            <w:bottom w:w="0" w:type="dxa"/>
            <w:right w:w="0" w:type="dxa"/>
          </w:tblCellMar>
        </w:tblPrEx>
        <w:trPr>
          <w:trHeight w:val="644"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A7B045">
            <w:pPr>
              <w:spacing w:line="360" w:lineRule="auto"/>
              <w:jc w:val="center"/>
              <w:rPr>
                <w:rFonts w:hint="eastAsia" w:ascii="宋体" w:hAnsi="宋体" w:cs="宋体"/>
                <w:kern w:val="0"/>
                <w:sz w:val="21"/>
                <w:szCs w:val="21"/>
              </w:rPr>
            </w:pPr>
            <w:r>
              <w:rPr>
                <w:rFonts w:hint="eastAsia" w:ascii="宋体" w:hAnsi="宋体" w:cs="宋体"/>
                <w:kern w:val="0"/>
                <w:sz w:val="21"/>
                <w:szCs w:val="21"/>
              </w:rPr>
              <w:t>1</w:t>
            </w:r>
          </w:p>
        </w:tc>
        <w:tc>
          <w:tcPr>
            <w:tcW w:w="239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A4B77B">
            <w:pPr>
              <w:spacing w:line="360" w:lineRule="auto"/>
              <w:jc w:val="center"/>
              <w:rPr>
                <w:rFonts w:hint="eastAsia" w:ascii="宋体" w:hAnsi="宋体" w:cs="宋体"/>
                <w:kern w:val="0"/>
                <w:sz w:val="21"/>
                <w:szCs w:val="21"/>
              </w:rPr>
            </w:pPr>
          </w:p>
        </w:tc>
        <w:tc>
          <w:tcPr>
            <w:tcW w:w="353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75415B">
            <w:pPr>
              <w:spacing w:line="360" w:lineRule="auto"/>
              <w:jc w:val="center"/>
              <w:rPr>
                <w:rFonts w:hint="eastAsia" w:ascii="宋体" w:hAnsi="宋体" w:cs="宋体"/>
                <w:kern w:val="0"/>
                <w:sz w:val="21"/>
                <w:szCs w:val="21"/>
              </w:rPr>
            </w:pPr>
          </w:p>
        </w:tc>
        <w:tc>
          <w:tcPr>
            <w:tcW w:w="18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7771BA">
            <w:pPr>
              <w:spacing w:line="360" w:lineRule="auto"/>
              <w:jc w:val="center"/>
              <w:rPr>
                <w:rFonts w:hint="eastAsia" w:ascii="宋体" w:hAnsi="宋体" w:cs="宋体"/>
                <w:kern w:val="0"/>
                <w:sz w:val="21"/>
                <w:szCs w:val="21"/>
              </w:rPr>
            </w:pPr>
          </w:p>
        </w:tc>
      </w:tr>
      <w:tr w14:paraId="1DA3866F">
        <w:tblPrEx>
          <w:shd w:val="clear" w:color="auto" w:fill="FBFBFB"/>
          <w:tblCellMar>
            <w:top w:w="0" w:type="dxa"/>
            <w:left w:w="0" w:type="dxa"/>
            <w:bottom w:w="0" w:type="dxa"/>
            <w:right w:w="0" w:type="dxa"/>
          </w:tblCellMar>
        </w:tblPrEx>
        <w:trPr>
          <w:trHeight w:val="644"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C09369">
            <w:pPr>
              <w:spacing w:line="360" w:lineRule="auto"/>
              <w:jc w:val="center"/>
              <w:rPr>
                <w:rFonts w:hint="eastAsia" w:ascii="宋体" w:hAnsi="宋体" w:cs="宋体"/>
                <w:kern w:val="0"/>
                <w:sz w:val="21"/>
                <w:szCs w:val="21"/>
              </w:rPr>
            </w:pPr>
            <w:r>
              <w:rPr>
                <w:rFonts w:hint="eastAsia" w:ascii="宋体" w:hAnsi="宋体" w:cs="宋体"/>
                <w:kern w:val="0"/>
                <w:sz w:val="21"/>
                <w:szCs w:val="21"/>
              </w:rPr>
              <w:t>2</w:t>
            </w:r>
          </w:p>
        </w:tc>
        <w:tc>
          <w:tcPr>
            <w:tcW w:w="239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DE244C">
            <w:pPr>
              <w:spacing w:line="360" w:lineRule="auto"/>
              <w:jc w:val="center"/>
              <w:rPr>
                <w:rFonts w:hint="eastAsia" w:ascii="宋体" w:hAnsi="宋体" w:cs="宋体"/>
                <w:kern w:val="0"/>
                <w:sz w:val="21"/>
                <w:szCs w:val="21"/>
              </w:rPr>
            </w:pPr>
          </w:p>
        </w:tc>
        <w:tc>
          <w:tcPr>
            <w:tcW w:w="353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6D6B83">
            <w:pPr>
              <w:spacing w:line="360" w:lineRule="auto"/>
              <w:jc w:val="center"/>
              <w:rPr>
                <w:rFonts w:hint="eastAsia" w:ascii="宋体" w:hAnsi="宋体" w:cs="宋体"/>
                <w:kern w:val="0"/>
                <w:sz w:val="21"/>
                <w:szCs w:val="21"/>
              </w:rPr>
            </w:pPr>
          </w:p>
        </w:tc>
        <w:tc>
          <w:tcPr>
            <w:tcW w:w="18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AB1E5B">
            <w:pPr>
              <w:spacing w:line="360" w:lineRule="auto"/>
              <w:jc w:val="center"/>
              <w:rPr>
                <w:rFonts w:hint="eastAsia" w:ascii="宋体" w:hAnsi="宋体" w:cs="宋体"/>
                <w:kern w:val="0"/>
                <w:sz w:val="21"/>
                <w:szCs w:val="21"/>
              </w:rPr>
            </w:pPr>
          </w:p>
        </w:tc>
      </w:tr>
      <w:tr w14:paraId="33ED398E">
        <w:tblPrEx>
          <w:tblCellMar>
            <w:top w:w="0" w:type="dxa"/>
            <w:left w:w="0" w:type="dxa"/>
            <w:bottom w:w="0" w:type="dxa"/>
            <w:right w:w="0" w:type="dxa"/>
          </w:tblCellMar>
        </w:tblPrEx>
        <w:trPr>
          <w:trHeight w:val="644"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2879E1">
            <w:pPr>
              <w:spacing w:line="360" w:lineRule="auto"/>
              <w:jc w:val="center"/>
              <w:rPr>
                <w:rFonts w:hint="eastAsia" w:ascii="宋体" w:hAnsi="宋体" w:cs="宋体"/>
                <w:kern w:val="0"/>
                <w:sz w:val="21"/>
                <w:szCs w:val="21"/>
              </w:rPr>
            </w:pPr>
            <w:r>
              <w:rPr>
                <w:rFonts w:hint="eastAsia" w:ascii="宋体" w:hAnsi="宋体" w:cs="宋体"/>
                <w:kern w:val="0"/>
                <w:sz w:val="21"/>
                <w:szCs w:val="21"/>
              </w:rPr>
              <w:t>3</w:t>
            </w:r>
          </w:p>
        </w:tc>
        <w:tc>
          <w:tcPr>
            <w:tcW w:w="239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682D59">
            <w:pPr>
              <w:spacing w:line="360" w:lineRule="auto"/>
              <w:jc w:val="center"/>
              <w:rPr>
                <w:rFonts w:hint="eastAsia" w:ascii="宋体" w:hAnsi="宋体" w:cs="宋体"/>
                <w:kern w:val="0"/>
                <w:sz w:val="21"/>
                <w:szCs w:val="21"/>
              </w:rPr>
            </w:pPr>
          </w:p>
        </w:tc>
        <w:tc>
          <w:tcPr>
            <w:tcW w:w="353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664238">
            <w:pPr>
              <w:spacing w:line="360" w:lineRule="auto"/>
              <w:jc w:val="center"/>
              <w:rPr>
                <w:rFonts w:hint="eastAsia" w:ascii="宋体" w:hAnsi="宋体" w:cs="宋体"/>
                <w:kern w:val="0"/>
                <w:sz w:val="21"/>
                <w:szCs w:val="21"/>
              </w:rPr>
            </w:pPr>
          </w:p>
        </w:tc>
        <w:tc>
          <w:tcPr>
            <w:tcW w:w="18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342E39">
            <w:pPr>
              <w:spacing w:line="360" w:lineRule="auto"/>
              <w:jc w:val="center"/>
              <w:rPr>
                <w:rFonts w:hint="eastAsia" w:ascii="宋体" w:hAnsi="宋体" w:cs="宋体"/>
                <w:kern w:val="0"/>
                <w:sz w:val="21"/>
                <w:szCs w:val="21"/>
              </w:rPr>
            </w:pPr>
          </w:p>
        </w:tc>
      </w:tr>
      <w:tr w14:paraId="17DE848C">
        <w:tblPrEx>
          <w:tblCellMar>
            <w:top w:w="0" w:type="dxa"/>
            <w:left w:w="0" w:type="dxa"/>
            <w:bottom w:w="0" w:type="dxa"/>
            <w:right w:w="0" w:type="dxa"/>
          </w:tblCellMar>
        </w:tblPrEx>
        <w:trPr>
          <w:trHeight w:val="653"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C6C201">
            <w:pPr>
              <w:spacing w:line="360" w:lineRule="auto"/>
              <w:jc w:val="center"/>
              <w:rPr>
                <w:rFonts w:hint="eastAsia" w:ascii="宋体" w:hAnsi="宋体" w:cs="宋体"/>
                <w:kern w:val="0"/>
                <w:sz w:val="21"/>
                <w:szCs w:val="21"/>
              </w:rPr>
            </w:pPr>
            <w:r>
              <w:rPr>
                <w:rFonts w:hint="eastAsia" w:ascii="宋体" w:hAnsi="宋体" w:cs="宋体"/>
                <w:kern w:val="0"/>
                <w:sz w:val="21"/>
                <w:szCs w:val="21"/>
              </w:rPr>
              <w:t>……</w:t>
            </w:r>
          </w:p>
        </w:tc>
        <w:tc>
          <w:tcPr>
            <w:tcW w:w="239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62A836">
            <w:pPr>
              <w:spacing w:line="360" w:lineRule="auto"/>
              <w:jc w:val="center"/>
              <w:rPr>
                <w:rFonts w:hint="eastAsia" w:ascii="宋体" w:hAnsi="宋体" w:cs="宋体"/>
                <w:kern w:val="0"/>
                <w:sz w:val="21"/>
                <w:szCs w:val="21"/>
              </w:rPr>
            </w:pPr>
          </w:p>
        </w:tc>
        <w:tc>
          <w:tcPr>
            <w:tcW w:w="353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E87677">
            <w:pPr>
              <w:spacing w:line="360" w:lineRule="auto"/>
              <w:jc w:val="center"/>
              <w:rPr>
                <w:rFonts w:hint="eastAsia" w:ascii="宋体" w:hAnsi="宋体" w:cs="宋体"/>
                <w:kern w:val="0"/>
                <w:sz w:val="21"/>
                <w:szCs w:val="21"/>
              </w:rPr>
            </w:pPr>
          </w:p>
        </w:tc>
        <w:tc>
          <w:tcPr>
            <w:tcW w:w="18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D50E22">
            <w:pPr>
              <w:spacing w:line="360" w:lineRule="auto"/>
              <w:jc w:val="center"/>
              <w:rPr>
                <w:rFonts w:hint="eastAsia" w:ascii="宋体" w:hAnsi="宋体" w:cs="宋体"/>
                <w:kern w:val="0"/>
                <w:sz w:val="21"/>
                <w:szCs w:val="21"/>
              </w:rPr>
            </w:pPr>
          </w:p>
        </w:tc>
      </w:tr>
    </w:tbl>
    <w:p w14:paraId="1C3EE7BF">
      <w:pPr>
        <w:snapToGrid w:val="0"/>
        <w:spacing w:line="360" w:lineRule="auto"/>
        <w:jc w:val="left"/>
        <w:rPr>
          <w:rFonts w:hint="eastAsia" w:ascii="宋体" w:hAnsi="宋体" w:cs="宋体"/>
          <w:sz w:val="21"/>
          <w:szCs w:val="21"/>
        </w:rPr>
      </w:pPr>
      <w:r>
        <w:rPr>
          <w:rFonts w:hint="eastAsia" w:ascii="宋体" w:hAnsi="宋体" w:cs="宋体"/>
          <w:sz w:val="21"/>
          <w:szCs w:val="21"/>
        </w:rPr>
        <w:t>注：</w:t>
      </w:r>
    </w:p>
    <w:p w14:paraId="5313E7E3">
      <w:pPr>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1.管理关系：是指不具有出资持股关系的其他单位之间存在的管理与被管理关系，如一些上下级关系的事业单位和团体组织。</w:t>
      </w:r>
    </w:p>
    <w:p w14:paraId="221864BE">
      <w:pPr>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2.</w:t>
      </w:r>
      <w:r>
        <w:rPr>
          <w:rFonts w:hint="eastAsia" w:ascii="宋体" w:hAnsi="宋体" w:cs="宋体"/>
          <w:spacing w:val="-6"/>
          <w:sz w:val="21"/>
          <w:szCs w:val="21"/>
        </w:rPr>
        <w:t>本表所指的管理关系仅限于直接管理关系，不包括间接的管理关系。</w:t>
      </w:r>
    </w:p>
    <w:p w14:paraId="663A1B2F">
      <w:pPr>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3.供应商不存在直接管理关系的，则填“无”。</w:t>
      </w:r>
    </w:p>
    <w:p w14:paraId="78BEE03B">
      <w:pPr>
        <w:snapToGrid w:val="0"/>
        <w:spacing w:line="360" w:lineRule="auto"/>
        <w:jc w:val="left"/>
        <w:rPr>
          <w:rFonts w:hint="eastAsia" w:ascii="宋体" w:hAnsi="宋体" w:cs="宋体"/>
          <w:sz w:val="21"/>
          <w:szCs w:val="21"/>
        </w:rPr>
      </w:pPr>
    </w:p>
    <w:p w14:paraId="6DC225B0">
      <w:pPr>
        <w:snapToGrid w:val="0"/>
        <w:spacing w:line="360" w:lineRule="auto"/>
        <w:jc w:val="left"/>
        <w:rPr>
          <w:rFonts w:hint="eastAsia" w:ascii="宋体" w:hAnsi="宋体" w:cs="宋体"/>
          <w:sz w:val="21"/>
          <w:szCs w:val="21"/>
        </w:rPr>
      </w:pPr>
    </w:p>
    <w:p w14:paraId="44858E2D">
      <w:pPr>
        <w:pStyle w:val="13"/>
        <w:spacing w:line="600" w:lineRule="exact"/>
        <w:ind w:firstLine="3465" w:firstLineChars="1650"/>
        <w:rPr>
          <w:rFonts w:hAnsi="宋体"/>
          <w:color w:val="auto"/>
          <w:sz w:val="21"/>
          <w:highlight w:val="none"/>
          <w:u w:val="single"/>
        </w:rPr>
      </w:pPr>
      <w:r>
        <w:rPr>
          <w:rFonts w:hint="eastAsia" w:hAnsi="宋体"/>
          <w:color w:val="auto"/>
          <w:sz w:val="21"/>
          <w:highlight w:val="none"/>
        </w:rPr>
        <w:t>供应商</w:t>
      </w:r>
      <w:r>
        <w:rPr>
          <w:rFonts w:hint="eastAsia" w:hAnsi="宋体" w:cs="宋体;SimSun"/>
          <w:color w:val="auto"/>
          <w:sz w:val="21"/>
          <w:highlight w:val="none"/>
        </w:rPr>
        <w:t>名称</w:t>
      </w:r>
      <w:r>
        <w:rPr>
          <w:rFonts w:hint="eastAsia" w:hAnsi="宋体"/>
          <w:color w:val="auto"/>
          <w:sz w:val="21"/>
          <w:highlight w:val="none"/>
        </w:rPr>
        <w:t>（盖单位公章）：</w:t>
      </w:r>
    </w:p>
    <w:p w14:paraId="38F064C9">
      <w:pPr>
        <w:pStyle w:val="13"/>
        <w:spacing w:line="500" w:lineRule="exact"/>
        <w:ind w:firstLine="3465" w:firstLineChars="1650"/>
        <w:rPr>
          <w:rFonts w:hAnsi="宋体"/>
          <w:color w:val="auto"/>
          <w:sz w:val="21"/>
          <w:highlight w:val="none"/>
        </w:rPr>
      </w:pPr>
      <w:r>
        <w:rPr>
          <w:rFonts w:hint="eastAsia" w:hAnsi="宋体"/>
          <w:color w:val="auto"/>
          <w:sz w:val="21"/>
          <w:highlight w:val="none"/>
        </w:rPr>
        <w:t>法定代表人或其委托代理人（签字或盖章）：</w:t>
      </w:r>
    </w:p>
    <w:p w14:paraId="3100106F">
      <w:pPr>
        <w:pStyle w:val="13"/>
        <w:spacing w:line="500" w:lineRule="exact"/>
        <w:jc w:val="both"/>
        <w:rPr>
          <w:rFonts w:hAnsi="宋体"/>
          <w:color w:val="auto"/>
          <w:sz w:val="21"/>
          <w:highlight w:val="none"/>
        </w:rPr>
      </w:pPr>
      <w:r>
        <w:rPr>
          <w:rFonts w:hint="eastAsia" w:hAnsi="宋体"/>
          <w:color w:val="auto"/>
          <w:sz w:val="21"/>
          <w:highlight w:val="none"/>
        </w:rPr>
        <w:t xml:space="preserve">                                 日期：年   月   日</w:t>
      </w:r>
    </w:p>
    <w:p w14:paraId="6732A817">
      <w:pPr>
        <w:rPr>
          <w:rFonts w:hint="eastAsia"/>
        </w:rPr>
      </w:pPr>
    </w:p>
    <w:p w14:paraId="490AA00A">
      <w:pPr>
        <w:rPr>
          <w:rFonts w:hint="eastAsia" w:ascii="宋体" w:hAnsi="宋体" w:cs="宋体"/>
          <w:b/>
          <w:szCs w:val="21"/>
        </w:rPr>
      </w:pPr>
    </w:p>
    <w:p w14:paraId="00F07CD5">
      <w:pPr>
        <w:rPr>
          <w:rFonts w:hint="eastAsia" w:ascii="宋体" w:hAnsi="宋体" w:cs="宋体"/>
          <w:b/>
          <w:szCs w:val="21"/>
        </w:rPr>
      </w:pPr>
    </w:p>
    <w:p w14:paraId="4262C4E7">
      <w:pPr>
        <w:rPr>
          <w:rFonts w:hint="eastAsia" w:ascii="宋体" w:hAnsi="宋体" w:cs="宋体"/>
          <w:b/>
          <w:szCs w:val="21"/>
        </w:rPr>
      </w:pPr>
    </w:p>
    <w:p w14:paraId="0E77EDE3">
      <w:pPr>
        <w:rPr>
          <w:rFonts w:hint="eastAsia" w:ascii="宋体" w:hAnsi="宋体" w:cs="宋体"/>
          <w:b/>
          <w:szCs w:val="21"/>
        </w:rPr>
      </w:pPr>
    </w:p>
    <w:p w14:paraId="7CEFB515">
      <w:pPr>
        <w:rPr>
          <w:rFonts w:hint="eastAsia" w:ascii="宋体" w:hAnsi="宋体" w:cs="宋体"/>
          <w:b/>
          <w:szCs w:val="21"/>
        </w:rPr>
      </w:pPr>
    </w:p>
    <w:p w14:paraId="42406658">
      <w:pPr>
        <w:rPr>
          <w:rFonts w:hint="eastAsia" w:ascii="宋体" w:hAnsi="宋体" w:cs="宋体"/>
          <w:b/>
          <w:szCs w:val="21"/>
        </w:rPr>
      </w:pPr>
    </w:p>
    <w:p w14:paraId="246A6C81">
      <w:pPr>
        <w:rPr>
          <w:rFonts w:hint="eastAsia" w:ascii="宋体" w:hAnsi="宋体" w:cs="宋体"/>
          <w:b/>
          <w:szCs w:val="21"/>
        </w:rPr>
      </w:pPr>
    </w:p>
    <w:p w14:paraId="759E7A79">
      <w:pPr>
        <w:rPr>
          <w:rFonts w:hint="eastAsia" w:ascii="宋体" w:hAnsi="宋体" w:cs="宋体"/>
          <w:b/>
          <w:szCs w:val="21"/>
        </w:rPr>
      </w:pPr>
    </w:p>
    <w:p w14:paraId="68BABD51">
      <w:pPr>
        <w:rPr>
          <w:rFonts w:hint="eastAsia" w:ascii="宋体" w:hAnsi="宋体" w:cs="宋体"/>
          <w:b/>
          <w:szCs w:val="21"/>
        </w:rPr>
      </w:pPr>
    </w:p>
    <w:p w14:paraId="400ADDC0">
      <w:pPr>
        <w:rPr>
          <w:rFonts w:hint="eastAsia" w:ascii="宋体" w:hAnsi="宋体" w:cs="宋体"/>
          <w:b/>
          <w:szCs w:val="21"/>
        </w:rPr>
      </w:pPr>
    </w:p>
    <w:p w14:paraId="2DD7465C">
      <w:pPr>
        <w:rPr>
          <w:rFonts w:hint="eastAsia" w:ascii="宋体" w:hAnsi="宋体" w:cs="宋体"/>
          <w:b/>
          <w:szCs w:val="21"/>
        </w:rPr>
      </w:pPr>
    </w:p>
    <w:p w14:paraId="2DEF7D1D">
      <w:pPr>
        <w:rPr>
          <w:rFonts w:hint="eastAsia" w:ascii="宋体" w:hAnsi="宋体" w:cs="宋体"/>
          <w:b/>
          <w:szCs w:val="21"/>
        </w:rPr>
      </w:pPr>
    </w:p>
    <w:p w14:paraId="3EDADD2E">
      <w:pPr>
        <w:pStyle w:val="2"/>
        <w:rPr>
          <w:rFonts w:hint="eastAsia" w:ascii="宋体" w:hAnsi="宋体" w:cs="宋体"/>
          <w:b/>
          <w:szCs w:val="21"/>
        </w:rPr>
      </w:pPr>
    </w:p>
    <w:p w14:paraId="01DBA470">
      <w:pPr>
        <w:rPr>
          <w:rFonts w:hint="eastAsia" w:ascii="宋体" w:hAnsi="宋体" w:cs="宋体"/>
          <w:b/>
          <w:szCs w:val="21"/>
        </w:rPr>
      </w:pPr>
    </w:p>
    <w:p w14:paraId="7E52A821">
      <w:pPr>
        <w:rPr>
          <w:rFonts w:hint="eastAsia" w:ascii="宋体" w:hAnsi="宋体" w:cs="宋体"/>
          <w:b/>
          <w:szCs w:val="21"/>
        </w:rPr>
      </w:pPr>
    </w:p>
    <w:p w14:paraId="7FA2ACC6">
      <w:pPr>
        <w:pStyle w:val="13"/>
        <w:spacing w:line="360" w:lineRule="auto"/>
        <w:rPr>
          <w:rFonts w:hAnsi="宋体" w:cs="宋体"/>
          <w:b/>
        </w:rPr>
      </w:pPr>
      <w:r>
        <w:rPr>
          <w:rFonts w:hint="eastAsia" w:hAnsi="宋体" w:cs="宋体"/>
          <w:b/>
        </w:rPr>
        <w:t>格式</w:t>
      </w:r>
      <w:r>
        <w:rPr>
          <w:rFonts w:hint="eastAsia" w:hAnsi="宋体" w:cs="宋体"/>
          <w:b/>
          <w:lang w:val="en-US" w:eastAsia="zh-CN"/>
        </w:rPr>
        <w:t>12</w:t>
      </w:r>
      <w:r>
        <w:rPr>
          <w:rFonts w:hint="eastAsia" w:hAnsi="宋体" w:cs="宋体"/>
          <w:b/>
        </w:rPr>
        <w:t>：</w:t>
      </w:r>
    </w:p>
    <w:p w14:paraId="3CA4998E">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150D7DC8">
      <w:pPr>
        <w:pStyle w:val="2"/>
        <w:keepNext w:val="0"/>
        <w:keepLines w:val="0"/>
        <w:pageBreakBefore w:val="0"/>
        <w:kinsoku/>
        <w:wordWrap/>
        <w:overflowPunct/>
        <w:topLinePunct w:val="0"/>
        <w:bidi w:val="0"/>
        <w:adjustRightInd/>
        <w:snapToGrid/>
        <w:spacing w:after="0" w:line="400" w:lineRule="exact"/>
        <w:ind w:left="-426" w:right="142" w:firstLine="6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rPr>
        <w:t>采购活动，提供的服务全部由符合政策要求的中小企业制造。相关企业（含联合体中的中小企业、签订分包意向协议的中小企业）的具体情况如下：</w:t>
      </w:r>
    </w:p>
    <w:p w14:paraId="53D5F33B">
      <w:pPr>
        <w:keepNext w:val="0"/>
        <w:keepLines w:val="0"/>
        <w:pageBreakBefore w:val="0"/>
        <w:tabs>
          <w:tab w:val="left" w:pos="1384"/>
          <w:tab w:val="left" w:pos="4562"/>
          <w:tab w:val="left" w:pos="6803"/>
        </w:tabs>
        <w:kinsoku/>
        <w:wordWrap/>
        <w:overflowPunct/>
        <w:topLinePunct w:val="0"/>
        <w:bidi w:val="0"/>
        <w:adjustRightInd/>
        <w:snapToGrid/>
        <w:spacing w:line="400" w:lineRule="exact"/>
        <w:ind w:left="-426" w:right="-58" w:firstLine="655"/>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28FD930">
      <w:pPr>
        <w:keepNext w:val="0"/>
        <w:keepLines w:val="0"/>
        <w:pageBreakBefore w:val="0"/>
        <w:tabs>
          <w:tab w:val="left" w:pos="1065"/>
          <w:tab w:val="left" w:pos="6477"/>
        </w:tabs>
        <w:kinsoku/>
        <w:wordWrap/>
        <w:overflowPunct/>
        <w:topLinePunct w:val="0"/>
        <w:bidi w:val="0"/>
        <w:adjustRightInd/>
        <w:snapToGrid/>
        <w:spacing w:line="400" w:lineRule="exact"/>
        <w:ind w:left="-426" w:right="-58" w:firstLine="655"/>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3F580F3">
      <w:pPr>
        <w:pStyle w:val="2"/>
        <w:keepNext w:val="0"/>
        <w:keepLines w:val="0"/>
        <w:pageBreakBefore w:val="0"/>
        <w:kinsoku/>
        <w:wordWrap/>
        <w:overflowPunct/>
        <w:topLinePunct w:val="0"/>
        <w:bidi w:val="0"/>
        <w:adjustRightInd/>
        <w:snapToGrid/>
        <w:spacing w:after="0" w:line="400" w:lineRule="exact"/>
        <w:ind w:left="142" w:right="142"/>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F919427">
      <w:pPr>
        <w:pStyle w:val="2"/>
        <w:keepNext w:val="0"/>
        <w:keepLines w:val="0"/>
        <w:pageBreakBefore w:val="0"/>
        <w:kinsoku/>
        <w:wordWrap/>
        <w:overflowPunct/>
        <w:topLinePunct w:val="0"/>
        <w:bidi w:val="0"/>
        <w:adjustRightInd/>
        <w:snapToGrid/>
        <w:spacing w:after="0" w:line="400" w:lineRule="exact"/>
        <w:ind w:left="-405" w:leftChars="-193" w:right="142" w:firstLine="396" w:firstLineChars="189"/>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0B15ED37">
      <w:pPr>
        <w:pStyle w:val="2"/>
        <w:keepNext w:val="0"/>
        <w:keepLines w:val="0"/>
        <w:pageBreakBefore w:val="0"/>
        <w:kinsoku/>
        <w:wordWrap/>
        <w:overflowPunct/>
        <w:topLinePunct w:val="0"/>
        <w:bidi w:val="0"/>
        <w:adjustRightInd/>
        <w:snapToGrid/>
        <w:spacing w:after="0" w:line="400" w:lineRule="exact"/>
        <w:ind w:left="-426" w:right="142" w:firstLine="56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319C404B">
      <w:pPr>
        <w:pStyle w:val="2"/>
        <w:keepNext w:val="0"/>
        <w:keepLines w:val="0"/>
        <w:pageBreakBefore w:val="0"/>
        <w:kinsoku/>
        <w:wordWrap/>
        <w:overflowPunct/>
        <w:topLinePunct w:val="0"/>
        <w:bidi w:val="0"/>
        <w:adjustRightInd/>
        <w:snapToGrid/>
        <w:spacing w:after="0" w:line="400" w:lineRule="exact"/>
        <w:ind w:left="3960" w:right="1808"/>
        <w:contextualSpacing/>
        <w:textAlignment w:val="auto"/>
        <w:rPr>
          <w:rFonts w:hint="eastAsia" w:ascii="宋体" w:hAnsi="宋体" w:eastAsia="宋体" w:cs="宋体"/>
          <w:color w:val="auto"/>
          <w:sz w:val="21"/>
          <w:szCs w:val="21"/>
          <w:highlight w:val="none"/>
        </w:rPr>
      </w:pPr>
    </w:p>
    <w:p w14:paraId="27B6A0B8">
      <w:pPr>
        <w:keepNext w:val="0"/>
        <w:keepLines w:val="0"/>
        <w:pageBreakBefore w:val="0"/>
        <w:kinsoku/>
        <w:wordWrap/>
        <w:overflowPunct/>
        <w:topLinePunct w:val="0"/>
        <w:autoSpaceDE w:val="0"/>
        <w:autoSpaceDN w:val="0"/>
        <w:bidi w:val="0"/>
        <w:adjustRightInd/>
        <w:snapToGrid/>
        <w:spacing w:line="400" w:lineRule="exact"/>
        <w:ind w:left="4305" w:leftChars="1950" w:hanging="210" w:hanging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3B840AA7">
      <w:pPr>
        <w:keepNext w:val="0"/>
        <w:keepLines w:val="0"/>
        <w:pageBreakBefore w:val="0"/>
        <w:kinsoku/>
        <w:wordWrap/>
        <w:overflowPunct/>
        <w:topLinePunct w:val="0"/>
        <w:autoSpaceDE w:val="0"/>
        <w:autoSpaceDN w:val="0"/>
        <w:bidi w:val="0"/>
        <w:adjustRightInd/>
        <w:snapToGrid/>
        <w:spacing w:line="400" w:lineRule="exact"/>
        <w:ind w:firstLine="5670" w:firstLineChars="27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37CB5695">
      <w:pPr>
        <w:pStyle w:val="2"/>
        <w:keepNext w:val="0"/>
        <w:keepLines w:val="0"/>
        <w:pageBreakBefore w:val="0"/>
        <w:kinsoku/>
        <w:wordWrap/>
        <w:overflowPunct/>
        <w:topLinePunct w:val="0"/>
        <w:bidi w:val="0"/>
        <w:adjustRightInd/>
        <w:snapToGrid/>
        <w:spacing w:after="0" w:line="400" w:lineRule="exact"/>
        <w:ind w:left="3960" w:right="1808"/>
        <w:contextualSpacing/>
        <w:textAlignment w:val="auto"/>
        <w:rPr>
          <w:rFonts w:hint="eastAsia" w:ascii="宋体" w:hAnsi="宋体" w:eastAsia="宋体" w:cs="宋体"/>
          <w:color w:val="auto"/>
          <w:sz w:val="21"/>
          <w:szCs w:val="21"/>
          <w:highlight w:val="none"/>
        </w:rPr>
      </w:pPr>
    </w:p>
    <w:p w14:paraId="1E84B1E4">
      <w:pPr>
        <w:keepNext w:val="0"/>
        <w:keepLines w:val="0"/>
        <w:pageBreakBefore w:val="0"/>
        <w:kinsoku/>
        <w:wordWrap/>
        <w:overflowPunct/>
        <w:topLinePunct w:val="0"/>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82B1B10">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b/>
          <w:bCs/>
          <w:color w:val="auto"/>
          <w:sz w:val="32"/>
          <w:szCs w:val="32"/>
          <w:highlight w:val="none"/>
        </w:rPr>
      </w:pPr>
    </w:p>
    <w:p w14:paraId="60486C80">
      <w:pPr>
        <w:pStyle w:val="2"/>
        <w:rPr>
          <w:rFonts w:hint="eastAsia" w:ascii="宋体" w:hAnsi="宋体" w:eastAsia="宋体" w:cs="宋体"/>
          <w:b/>
          <w:bCs/>
          <w:color w:val="auto"/>
          <w:sz w:val="32"/>
          <w:szCs w:val="32"/>
          <w:highlight w:val="none"/>
        </w:rPr>
      </w:pPr>
    </w:p>
    <w:p w14:paraId="1D4D1784">
      <w:pPr>
        <w:pStyle w:val="26"/>
        <w:rPr>
          <w:rFonts w:hint="eastAsia" w:ascii="宋体" w:hAnsi="宋体" w:eastAsia="宋体" w:cs="宋体"/>
          <w:b/>
          <w:bCs/>
          <w:color w:val="auto"/>
          <w:sz w:val="32"/>
          <w:szCs w:val="32"/>
          <w:highlight w:val="none"/>
        </w:rPr>
      </w:pPr>
    </w:p>
    <w:p w14:paraId="39D47BE5">
      <w:pPr>
        <w:rPr>
          <w:rFonts w:hint="eastAsia" w:ascii="宋体" w:hAnsi="宋体" w:eastAsia="宋体" w:cs="宋体"/>
          <w:b/>
          <w:bCs/>
          <w:color w:val="auto"/>
          <w:sz w:val="32"/>
          <w:szCs w:val="32"/>
          <w:highlight w:val="none"/>
        </w:rPr>
      </w:pPr>
    </w:p>
    <w:p w14:paraId="305988FF">
      <w:pPr>
        <w:pStyle w:val="2"/>
        <w:rPr>
          <w:rFonts w:hint="eastAsia" w:ascii="宋体" w:hAnsi="宋体" w:eastAsia="宋体" w:cs="宋体"/>
          <w:b/>
          <w:bCs/>
          <w:color w:val="auto"/>
          <w:sz w:val="32"/>
          <w:szCs w:val="32"/>
          <w:highlight w:val="none"/>
        </w:rPr>
      </w:pPr>
    </w:p>
    <w:p w14:paraId="4C6ADE2C">
      <w:pPr>
        <w:pStyle w:val="26"/>
        <w:rPr>
          <w:rFonts w:hint="eastAsia" w:ascii="宋体" w:hAnsi="宋体" w:eastAsia="宋体" w:cs="宋体"/>
          <w:b/>
          <w:bCs/>
          <w:color w:val="auto"/>
          <w:sz w:val="32"/>
          <w:szCs w:val="32"/>
          <w:highlight w:val="none"/>
        </w:rPr>
      </w:pPr>
    </w:p>
    <w:p w14:paraId="57EE93DF">
      <w:pPr>
        <w:rPr>
          <w:rFonts w:hint="eastAsia" w:ascii="宋体" w:hAnsi="宋体" w:eastAsia="宋体" w:cs="宋体"/>
          <w:b/>
          <w:bCs/>
          <w:color w:val="auto"/>
          <w:sz w:val="32"/>
          <w:szCs w:val="32"/>
          <w:highlight w:val="none"/>
        </w:rPr>
      </w:pPr>
    </w:p>
    <w:p w14:paraId="2D988575">
      <w:pPr>
        <w:pStyle w:val="2"/>
        <w:rPr>
          <w:rFonts w:hint="eastAsia" w:ascii="宋体" w:hAnsi="宋体" w:eastAsia="宋体" w:cs="宋体"/>
          <w:b/>
          <w:bCs/>
          <w:color w:val="auto"/>
          <w:sz w:val="32"/>
          <w:szCs w:val="32"/>
          <w:highlight w:val="none"/>
        </w:rPr>
      </w:pPr>
    </w:p>
    <w:p w14:paraId="1EFA773E">
      <w:pPr>
        <w:pStyle w:val="26"/>
        <w:rPr>
          <w:rFonts w:hint="eastAsia" w:ascii="宋体" w:hAnsi="宋体" w:eastAsia="宋体" w:cs="宋体"/>
          <w:b/>
          <w:bCs/>
          <w:color w:val="auto"/>
          <w:sz w:val="32"/>
          <w:szCs w:val="32"/>
          <w:highlight w:val="none"/>
        </w:rPr>
      </w:pPr>
    </w:p>
    <w:p w14:paraId="34133A2C">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06386D00">
      <w:pPr>
        <w:spacing w:line="520" w:lineRule="exact"/>
        <w:rPr>
          <w:rFonts w:hint="eastAsia" w:ascii="宋体" w:hAnsi="宋体" w:eastAsia="宋体" w:cs="宋体"/>
          <w:color w:val="auto"/>
          <w:sz w:val="32"/>
          <w:szCs w:val="32"/>
          <w:highlight w:val="none"/>
        </w:rPr>
      </w:pPr>
    </w:p>
    <w:p w14:paraId="6011F8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项目采购活动由本单位提供服务。</w:t>
      </w:r>
    </w:p>
    <w:p w14:paraId="110E80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5FB42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27A431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7FB2EF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77F88E6D">
      <w:pPr>
        <w:keepNext w:val="0"/>
        <w:keepLines w:val="0"/>
        <w:pageBreakBefore w:val="0"/>
        <w:widowControl w:val="0"/>
        <w:kinsoku/>
        <w:wordWrap/>
        <w:overflowPunct/>
        <w:topLinePunct w:val="0"/>
        <w:autoSpaceDE/>
        <w:autoSpaceDN/>
        <w:bidi w:val="0"/>
        <w:adjustRightInd/>
        <w:snapToGrid/>
        <w:spacing w:line="400" w:lineRule="exact"/>
        <w:ind w:firstLine="2100" w:firstLineChars="10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04AA645D">
      <w:pPr>
        <w:keepNext w:val="0"/>
        <w:keepLines w:val="0"/>
        <w:pageBreakBefore w:val="0"/>
        <w:widowControl w:val="0"/>
        <w:kinsoku/>
        <w:wordWrap/>
        <w:overflowPunct/>
        <w:topLinePunct w:val="0"/>
        <w:autoSpaceDE/>
        <w:autoSpaceDN/>
        <w:bidi w:val="0"/>
        <w:adjustRightInd/>
        <w:snapToGrid/>
        <w:spacing w:line="4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0F5BA4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0CE684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564838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1D0630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提供由省级以上监狱管理局、戒毒管理局（含新疆生产建设兵团）出具的属于监狱企业证明文件的，视同为小型和微型企业。</w:t>
      </w:r>
    </w:p>
    <w:p w14:paraId="355362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p w14:paraId="71462762">
      <w:pPr>
        <w:spacing w:line="520" w:lineRule="exact"/>
        <w:jc w:val="center"/>
        <w:rPr>
          <w:rFonts w:hint="eastAsia" w:ascii="宋体" w:hAnsi="宋体" w:eastAsia="宋体" w:cs="宋体"/>
          <w:color w:val="auto"/>
          <w:sz w:val="24"/>
          <w:highlight w:val="none"/>
        </w:rPr>
      </w:pPr>
    </w:p>
    <w:p w14:paraId="6D8749E9">
      <w:pPr>
        <w:rPr>
          <w:rFonts w:hint="eastAsia"/>
        </w:rPr>
        <w:sectPr>
          <w:pgSz w:w="11911" w:h="16838"/>
          <w:pgMar w:top="1440" w:right="1803" w:bottom="1440" w:left="1803" w:header="720" w:footer="720" w:gutter="0"/>
          <w:pgNumType w:fmt="decimal"/>
          <w:cols w:space="720" w:num="1"/>
          <w:rtlGutter w:val="0"/>
          <w:docGrid w:linePitch="0" w:charSpace="0"/>
        </w:sectPr>
      </w:pPr>
    </w:p>
    <w:p w14:paraId="0031E652">
      <w:pPr>
        <w:rPr>
          <w:rFonts w:hint="eastAsia" w:ascii="宋体" w:hAnsi="宋体" w:cs="宋体"/>
          <w:b/>
          <w:szCs w:val="21"/>
        </w:rPr>
      </w:pPr>
    </w:p>
    <w:p w14:paraId="5DF6053B">
      <w:pPr>
        <w:rPr>
          <w:rFonts w:hint="eastAsia" w:ascii="宋体" w:hAnsi="宋体" w:cs="宋体"/>
          <w:b/>
          <w:szCs w:val="21"/>
        </w:rPr>
      </w:pPr>
    </w:p>
    <w:p w14:paraId="53A01EB9">
      <w:pPr>
        <w:pStyle w:val="26"/>
        <w:rPr>
          <w:rFonts w:hint="eastAsia" w:ascii="宋体" w:hAnsi="宋体" w:eastAsia="宋体" w:cs="宋体"/>
          <w:sz w:val="24"/>
          <w:szCs w:val="24"/>
        </w:rPr>
      </w:pPr>
      <w:bookmarkStart w:id="119" w:name="_Toc16770"/>
      <w:bookmarkStart w:id="120" w:name="_Toc18117"/>
      <w:r>
        <w:rPr>
          <w:rFonts w:hint="eastAsia" w:ascii="宋体" w:hAnsi="宋体" w:cs="宋体"/>
        </w:rPr>
        <w:t>第五章  合同条款及格式</w:t>
      </w:r>
      <w:bookmarkEnd w:id="119"/>
      <w:bookmarkEnd w:id="120"/>
    </w:p>
    <w:p w14:paraId="4D164B5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8"/>
          <w:szCs w:val="28"/>
        </w:rPr>
      </w:pPr>
      <w:r>
        <w:rPr>
          <w:rFonts w:hint="eastAsia" w:hAnsi="宋体" w:cs="宋体"/>
          <w:b/>
          <w:bCs/>
          <w:sz w:val="32"/>
          <w:szCs w:val="32"/>
          <w:lang w:val="en-US" w:eastAsia="zh-CN"/>
        </w:rPr>
        <w:t xml:space="preserve"> </w:t>
      </w:r>
      <w:bookmarkStart w:id="121" w:name="_Toc7881"/>
      <w:bookmarkStart w:id="122" w:name="_Toc12075"/>
      <w:r>
        <w:rPr>
          <w:rFonts w:hint="default" w:ascii="Times New Roman" w:hAnsi="Times New Roman" w:eastAsia="仿宋" w:cs="Times New Roman"/>
          <w:color w:val="auto"/>
          <w:sz w:val="32"/>
          <w:szCs w:val="32"/>
        </w:rPr>
        <w:t>合同编号：</w:t>
      </w:r>
      <w:r>
        <w:rPr>
          <w:rFonts w:hint="default" w:ascii="Times New Roman" w:hAnsi="Times New Roman" w:eastAsia="仿宋" w:cs="Times New Roman"/>
          <w:color w:val="auto"/>
          <w:kern w:val="0"/>
          <w:sz w:val="32"/>
          <w:szCs w:val="32"/>
        </w:rPr>
        <w:t xml:space="preserve">            </w:t>
      </w:r>
    </w:p>
    <w:p w14:paraId="2CF4B6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政府采购技术服务合同</w:t>
      </w:r>
    </w:p>
    <w:p w14:paraId="4F7BFEF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color w:val="auto"/>
          <w:kern w:val="0"/>
          <w:sz w:val="44"/>
          <w:szCs w:val="44"/>
        </w:rPr>
      </w:pPr>
    </w:p>
    <w:p w14:paraId="4201C2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kern w:val="0"/>
          <w:sz w:val="32"/>
          <w:szCs w:val="32"/>
        </w:rPr>
      </w:pPr>
      <w:r>
        <w:rPr>
          <w:rFonts w:hint="default" w:ascii="Times New Roman" w:hAnsi="Times New Roman" w:eastAsia="仿宋" w:cs="Times New Roman"/>
          <w:color w:val="auto"/>
          <w:kern w:val="0"/>
          <w:sz w:val="32"/>
          <w:szCs w:val="32"/>
          <w:u w:val="none"/>
        </w:rPr>
        <w:t>采购计划号：</w:t>
      </w:r>
      <w:r>
        <w:rPr>
          <w:rFonts w:hint="eastAsia" w:ascii="仿宋" w:hAnsi="仿宋" w:eastAsia="仿宋" w:cs="仿宋"/>
          <w:color w:val="auto"/>
          <w:sz w:val="32"/>
          <w:szCs w:val="32"/>
          <w:u w:val="single"/>
          <w:lang w:val="en-US" w:eastAsia="zh-CN"/>
        </w:rPr>
        <w:t xml:space="preserve">   /   </w:t>
      </w:r>
    </w:p>
    <w:p w14:paraId="7F68268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kern w:val="0"/>
          <w:sz w:val="32"/>
          <w:szCs w:val="32"/>
          <w:lang w:val="en-US"/>
        </w:rPr>
      </w:pPr>
      <w:r>
        <w:rPr>
          <w:rFonts w:hint="default" w:ascii="Times New Roman" w:hAnsi="Times New Roman" w:eastAsia="仿宋" w:cs="Times New Roman"/>
          <w:color w:val="auto"/>
          <w:kern w:val="0"/>
          <w:sz w:val="32"/>
          <w:szCs w:val="32"/>
        </w:rPr>
        <w:t>项目名称：</w:t>
      </w:r>
      <w:r>
        <w:rPr>
          <w:rFonts w:hint="eastAsia" w:ascii="Times New Roman" w:hAnsi="Times New Roman" w:eastAsia="仿宋" w:cs="Times New Roman"/>
          <w:color w:val="auto"/>
          <w:sz w:val="32"/>
          <w:szCs w:val="32"/>
          <w:u w:val="single"/>
          <w:lang w:val="en-US" w:eastAsia="zh-CN"/>
        </w:rPr>
        <w:t xml:space="preserve"> 2025年12个直属单位内部审计服务</w:t>
      </w:r>
    </w:p>
    <w:p w14:paraId="27820DC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kern w:val="0"/>
          <w:sz w:val="32"/>
          <w:szCs w:val="32"/>
          <w:u w:val="single"/>
          <w:lang w:val="en-US" w:eastAsia="zh-CN"/>
        </w:rPr>
      </w:pPr>
      <w:r>
        <w:rPr>
          <w:rFonts w:hint="default" w:ascii="Times New Roman" w:hAnsi="Times New Roman" w:eastAsia="仿宋" w:cs="Times New Roman"/>
          <w:color w:val="auto"/>
          <w:kern w:val="0"/>
          <w:sz w:val="32"/>
          <w:szCs w:val="32"/>
        </w:rPr>
        <w:t>项目编号：</w:t>
      </w:r>
      <w:r>
        <w:rPr>
          <w:rFonts w:hint="eastAsia" w:ascii="Times New Roman" w:hAnsi="Times New Roman" w:eastAsia="仿宋" w:cs="Times New Roman"/>
          <w:color w:val="auto"/>
          <w:kern w:val="0"/>
          <w:sz w:val="32"/>
          <w:szCs w:val="32"/>
          <w:u w:val="single"/>
          <w:lang w:val="en-US" w:eastAsia="zh-CN"/>
        </w:rPr>
        <w:t xml:space="preserve"> </w:t>
      </w:r>
      <w:r>
        <w:rPr>
          <w:rFonts w:hint="eastAsia" w:ascii="Times New Roman" w:hAnsi="Times New Roman" w:eastAsia="仿宋" w:cs="Times New Roman"/>
          <w:color w:val="auto"/>
          <w:sz w:val="32"/>
          <w:szCs w:val="32"/>
          <w:u w:val="single"/>
          <w:lang w:val="en-US" w:eastAsia="zh-CN"/>
        </w:rPr>
        <w:t xml:space="preserve"> </w:t>
      </w:r>
      <w:r>
        <w:rPr>
          <w:rFonts w:hint="eastAsia" w:ascii="仿宋" w:hAnsi="仿宋" w:eastAsia="仿宋" w:cs="仿宋"/>
          <w:color w:val="auto"/>
          <w:sz w:val="32"/>
          <w:szCs w:val="32"/>
          <w:u w:val="single"/>
          <w:lang w:eastAsia="zh-CN"/>
        </w:rPr>
        <w:t>ZHGX-2025-029</w:t>
      </w:r>
      <w:r>
        <w:rPr>
          <w:rFonts w:hint="eastAsia" w:ascii="Times New Roman" w:hAnsi="Times New Roman" w:eastAsia="仿宋" w:cs="Times New Roman"/>
          <w:color w:val="auto"/>
          <w:sz w:val="32"/>
          <w:szCs w:val="32"/>
          <w:u w:val="single"/>
          <w:lang w:val="en-US" w:eastAsia="zh-CN"/>
        </w:rPr>
        <w:t xml:space="preserve">   </w:t>
      </w:r>
    </w:p>
    <w:p w14:paraId="69BC86F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kern w:val="0"/>
          <w:sz w:val="32"/>
          <w:szCs w:val="32"/>
          <w:lang w:val="en-US"/>
        </w:rPr>
      </w:pPr>
      <w:r>
        <w:rPr>
          <w:rFonts w:hint="default" w:ascii="Times New Roman" w:hAnsi="Times New Roman" w:eastAsia="仿宋" w:cs="Times New Roman"/>
          <w:color w:val="auto"/>
          <w:kern w:val="0"/>
          <w:sz w:val="32"/>
          <w:szCs w:val="32"/>
        </w:rPr>
        <w:t>签订地点：</w:t>
      </w:r>
      <w:r>
        <w:rPr>
          <w:rFonts w:hint="eastAsia" w:ascii="Times New Roman" w:hAnsi="Times New Roman" w:eastAsia="仿宋" w:cs="Times New Roman"/>
          <w:color w:val="auto"/>
          <w:sz w:val="32"/>
          <w:szCs w:val="32"/>
          <w:u w:val="single"/>
          <w:lang w:val="en-US" w:eastAsia="zh-CN"/>
        </w:rPr>
        <w:t xml:space="preserve">  </w:t>
      </w:r>
      <w:r>
        <w:rPr>
          <w:rFonts w:hint="eastAsia" w:eastAsia="仿宋" w:cs="Times New Roman"/>
          <w:color w:val="auto"/>
          <w:sz w:val="32"/>
          <w:szCs w:val="32"/>
          <w:u w:val="single"/>
          <w:lang w:val="en-US" w:eastAsia="zh-CN"/>
        </w:rPr>
        <w:t>广西壮族自治区南宁市</w:t>
      </w:r>
      <w:r>
        <w:rPr>
          <w:rFonts w:hint="eastAsia" w:ascii="Times New Roman" w:hAnsi="Times New Roman" w:eastAsia="仿宋" w:cs="Times New Roman"/>
          <w:color w:val="auto"/>
          <w:sz w:val="32"/>
          <w:szCs w:val="32"/>
          <w:u w:val="single"/>
          <w:lang w:val="en-US" w:eastAsia="zh-CN"/>
        </w:rPr>
        <w:t xml:space="preserve">                                      </w:t>
      </w:r>
    </w:p>
    <w:p w14:paraId="53D3651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签订时间：</w:t>
      </w:r>
      <w:r>
        <w:rPr>
          <w:rFonts w:hint="eastAsia" w:ascii="Times New Roman" w:hAnsi="Times New Roman" w:eastAsia="仿宋" w:cs="Times New Roman"/>
          <w:color w:val="auto"/>
          <w:sz w:val="32"/>
          <w:szCs w:val="32"/>
          <w:u w:val="single"/>
          <w:lang w:val="en-US" w:eastAsia="zh-CN"/>
        </w:rPr>
        <w:t xml:space="preserve">                                              </w:t>
      </w:r>
    </w:p>
    <w:p w14:paraId="1DE67DA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甲方（采购人）：</w:t>
      </w:r>
      <w:r>
        <w:rPr>
          <w:rFonts w:hint="eastAsia" w:ascii="Times New Roman" w:hAnsi="Times New Roman" w:eastAsia="仿宋" w:cs="Times New Roman"/>
          <w:color w:val="auto"/>
          <w:kern w:val="0"/>
          <w:sz w:val="32"/>
          <w:szCs w:val="32"/>
          <w:u w:val="single"/>
          <w:lang w:val="en-US" w:eastAsia="zh-CN"/>
        </w:rPr>
        <w:t xml:space="preserve"> </w:t>
      </w:r>
      <w:r>
        <w:rPr>
          <w:rFonts w:hint="eastAsia" w:ascii="仿宋" w:hAnsi="仿宋" w:eastAsia="仿宋" w:cs="仿宋"/>
          <w:color w:val="auto"/>
          <w:sz w:val="32"/>
          <w:szCs w:val="32"/>
          <w:highlight w:val="none"/>
          <w:u w:val="single"/>
          <w:lang w:eastAsia="zh-CN"/>
        </w:rPr>
        <w:t>广西壮族自治区生态环境厅</w:t>
      </w:r>
      <w:r>
        <w:rPr>
          <w:rFonts w:hint="eastAsia" w:ascii="仿宋" w:hAnsi="仿宋" w:eastAsia="仿宋" w:cs="仿宋"/>
          <w:color w:val="auto"/>
          <w:kern w:val="0"/>
          <w:sz w:val="32"/>
          <w:szCs w:val="32"/>
          <w:u w:val="single"/>
          <w:lang w:val="en-US" w:eastAsia="zh-CN"/>
        </w:rPr>
        <w:t xml:space="preserve"> </w:t>
      </w:r>
      <w:r>
        <w:rPr>
          <w:rFonts w:hint="eastAsia" w:ascii="Times New Roman" w:hAnsi="Times New Roman" w:eastAsia="仿宋" w:cs="Times New Roman"/>
          <w:color w:val="auto"/>
          <w:kern w:val="0"/>
          <w:sz w:val="32"/>
          <w:szCs w:val="32"/>
          <w:u w:val="single"/>
          <w:lang w:val="en-US" w:eastAsia="zh-CN"/>
        </w:rPr>
        <w:t xml:space="preserve"> </w:t>
      </w:r>
    </w:p>
    <w:p w14:paraId="3E44F88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lang w:val="en-US"/>
        </w:rPr>
      </w:pPr>
      <w:r>
        <w:rPr>
          <w:rFonts w:hint="default" w:ascii="Times New Roman" w:hAnsi="Times New Roman" w:eastAsia="仿宋" w:cs="Times New Roman"/>
          <w:color w:val="auto"/>
          <w:kern w:val="0"/>
          <w:sz w:val="32"/>
          <w:szCs w:val="32"/>
        </w:rPr>
        <w:t>住所地：</w:t>
      </w:r>
      <w:r>
        <w:rPr>
          <w:rFonts w:hint="eastAsia" w:ascii="Times New Roman" w:hAnsi="Times New Roman" w:eastAsia="仿宋" w:cs="Times New Roman"/>
          <w:color w:val="auto"/>
          <w:kern w:val="0"/>
          <w:sz w:val="32"/>
          <w:szCs w:val="32"/>
          <w:u w:val="single"/>
          <w:lang w:val="en-US" w:eastAsia="zh-CN"/>
        </w:rPr>
        <w:t xml:space="preserve">  </w:t>
      </w:r>
      <w:r>
        <w:rPr>
          <w:rFonts w:hint="eastAsia" w:ascii="仿宋" w:hAnsi="仿宋" w:eastAsia="仿宋" w:cs="仿宋"/>
          <w:color w:val="auto"/>
          <w:sz w:val="32"/>
          <w:szCs w:val="32"/>
          <w:highlight w:val="none"/>
          <w:u w:val="single"/>
        </w:rPr>
        <w:t>南宁市青秀区佛子岭路16号</w:t>
      </w:r>
      <w:r>
        <w:rPr>
          <w:rFonts w:hint="eastAsia" w:ascii="仿宋" w:hAnsi="仿宋" w:eastAsia="仿宋" w:cs="仿宋"/>
          <w:color w:val="auto"/>
          <w:kern w:val="0"/>
          <w:sz w:val="32"/>
          <w:szCs w:val="32"/>
          <w:u w:val="single"/>
          <w:lang w:val="en-US" w:eastAsia="zh-CN"/>
        </w:rPr>
        <w:t xml:space="preserve"> </w:t>
      </w:r>
      <w:r>
        <w:rPr>
          <w:rFonts w:hint="eastAsia" w:ascii="Times New Roman" w:hAnsi="Times New Roman" w:eastAsia="仿宋" w:cs="Times New Roman"/>
          <w:color w:val="auto"/>
          <w:kern w:val="0"/>
          <w:sz w:val="32"/>
          <w:szCs w:val="32"/>
          <w:u w:val="single"/>
          <w:lang w:val="en-US" w:eastAsia="zh-CN"/>
        </w:rPr>
        <w:t xml:space="preserve"> </w:t>
      </w:r>
    </w:p>
    <w:p w14:paraId="376F556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lang w:val="en-US"/>
        </w:rPr>
      </w:pPr>
      <w:r>
        <w:rPr>
          <w:rFonts w:hint="default" w:ascii="Times New Roman" w:hAnsi="Times New Roman" w:eastAsia="仿宋" w:cs="Times New Roman"/>
          <w:color w:val="auto"/>
          <w:kern w:val="0"/>
          <w:sz w:val="32"/>
          <w:szCs w:val="32"/>
        </w:rPr>
        <w:t>法定代表人：</w:t>
      </w:r>
      <w:r>
        <w:rPr>
          <w:rFonts w:hint="eastAsia" w:ascii="Times New Roman" w:hAnsi="Times New Roman" w:eastAsia="仿宋" w:cs="Times New Roman"/>
          <w:color w:val="auto"/>
          <w:kern w:val="0"/>
          <w:sz w:val="32"/>
          <w:szCs w:val="32"/>
          <w:u w:val="single"/>
          <w:lang w:val="en-US" w:eastAsia="zh-CN"/>
        </w:rPr>
        <w:t xml:space="preserve">          </w:t>
      </w:r>
    </w:p>
    <w:p w14:paraId="2256C30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pacing w:val="0"/>
          <w:kern w:val="0"/>
          <w:sz w:val="32"/>
          <w:szCs w:val="32"/>
        </w:rPr>
        <w:t>通讯地址</w:t>
      </w:r>
      <w:r>
        <w:rPr>
          <w:rFonts w:hint="eastAsia" w:ascii="Times New Roman" w:hAnsi="Times New Roman" w:eastAsia="仿宋" w:cs="Times New Roman"/>
          <w:color w:val="auto"/>
          <w:spacing w:val="0"/>
          <w:kern w:val="0"/>
          <w:sz w:val="32"/>
          <w:szCs w:val="32"/>
          <w:lang w:eastAsia="zh-CN"/>
        </w:rPr>
        <w:t>：</w:t>
      </w:r>
      <w:r>
        <w:rPr>
          <w:rFonts w:hint="eastAsia" w:ascii="Times New Roman" w:hAnsi="Times New Roman" w:eastAsia="仿宋" w:cs="Times New Roman"/>
          <w:color w:val="auto"/>
          <w:spacing w:val="0"/>
          <w:kern w:val="0"/>
          <w:sz w:val="32"/>
          <w:szCs w:val="32"/>
          <w:u w:val="single"/>
          <w:lang w:val="en-US" w:eastAsia="zh-CN"/>
        </w:rPr>
        <w:t xml:space="preserve">  </w:t>
      </w:r>
      <w:r>
        <w:rPr>
          <w:rFonts w:hint="eastAsia" w:ascii="仿宋" w:hAnsi="仿宋" w:eastAsia="仿宋" w:cs="仿宋"/>
          <w:color w:val="auto"/>
          <w:sz w:val="32"/>
          <w:szCs w:val="32"/>
          <w:highlight w:val="none"/>
          <w:u w:val="single"/>
        </w:rPr>
        <w:t>南宁市青秀区佛子岭路16号</w:t>
      </w:r>
      <w:r>
        <w:rPr>
          <w:rFonts w:hint="eastAsia" w:ascii="Times New Roman" w:hAnsi="Times New Roman" w:eastAsia="仿宋" w:cs="Times New Roman"/>
          <w:color w:val="auto"/>
          <w:spacing w:val="0"/>
          <w:kern w:val="0"/>
          <w:sz w:val="32"/>
          <w:szCs w:val="32"/>
          <w:u w:val="single"/>
          <w:lang w:val="en-US" w:eastAsia="zh-CN"/>
        </w:rPr>
        <w:t xml:space="preserve">  </w:t>
      </w:r>
    </w:p>
    <w:p w14:paraId="012003C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lang w:val="en-US"/>
        </w:rPr>
      </w:pPr>
      <w:r>
        <w:rPr>
          <w:rFonts w:hint="eastAsia" w:ascii="Times New Roman" w:hAnsi="Times New Roman" w:eastAsia="仿宋" w:cs="Times New Roman"/>
          <w:color w:val="auto"/>
          <w:spacing w:val="0"/>
          <w:kern w:val="0"/>
          <w:sz w:val="32"/>
          <w:szCs w:val="32"/>
          <w:lang w:eastAsia="zh-CN"/>
        </w:rPr>
        <w:t>联系</w:t>
      </w:r>
      <w:r>
        <w:rPr>
          <w:rFonts w:hint="default" w:ascii="Times New Roman" w:hAnsi="Times New Roman" w:eastAsia="仿宋" w:cs="Times New Roman"/>
          <w:color w:val="auto"/>
          <w:spacing w:val="0"/>
          <w:kern w:val="0"/>
          <w:sz w:val="32"/>
          <w:szCs w:val="32"/>
        </w:rPr>
        <w:t>电话：</w:t>
      </w:r>
      <w:r>
        <w:rPr>
          <w:rFonts w:hint="eastAsia" w:ascii="Times New Roman" w:hAnsi="Times New Roman" w:eastAsia="仿宋" w:cs="Times New Roman"/>
          <w:color w:val="auto"/>
          <w:spacing w:val="0"/>
          <w:kern w:val="0"/>
          <w:sz w:val="32"/>
          <w:szCs w:val="32"/>
          <w:u w:val="single"/>
          <w:lang w:val="en-US" w:eastAsia="zh-CN"/>
        </w:rPr>
        <w:t xml:space="preserve">                                      </w:t>
      </w:r>
    </w:p>
    <w:p w14:paraId="218391B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pacing w:val="0"/>
          <w:kern w:val="0"/>
          <w:sz w:val="32"/>
          <w:szCs w:val="32"/>
        </w:rPr>
        <w:t>电子邮箱：</w:t>
      </w:r>
      <w:r>
        <w:rPr>
          <w:rFonts w:hint="eastAsia" w:ascii="Times New Roman" w:hAnsi="Times New Roman" w:eastAsia="仿宋" w:cs="Times New Roman"/>
          <w:color w:val="auto"/>
          <w:spacing w:val="0"/>
          <w:kern w:val="0"/>
          <w:sz w:val="32"/>
          <w:szCs w:val="32"/>
          <w:u w:val="single"/>
          <w:lang w:val="en-US" w:eastAsia="zh-CN"/>
        </w:rPr>
        <w:t xml:space="preserve">                              </w:t>
      </w:r>
    </w:p>
    <w:p w14:paraId="19956A0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rPr>
      </w:pPr>
      <w:r>
        <w:rPr>
          <w:rFonts w:hint="default" w:ascii="Times New Roman" w:hAnsi="Times New Roman" w:eastAsia="仿宋" w:cs="Times New Roman"/>
          <w:color w:val="auto"/>
          <w:kern w:val="0"/>
          <w:sz w:val="32"/>
          <w:szCs w:val="32"/>
        </w:rPr>
        <w:t>乙方（供应商）：</w:t>
      </w:r>
      <w:r>
        <w:rPr>
          <w:rFonts w:hint="eastAsia" w:ascii="Times New Roman" w:hAnsi="Times New Roman" w:eastAsia="仿宋" w:cs="Times New Roman"/>
          <w:color w:val="auto"/>
          <w:kern w:val="0"/>
          <w:sz w:val="32"/>
          <w:szCs w:val="32"/>
          <w:u w:val="single"/>
          <w:lang w:val="en-US" w:eastAsia="zh-CN"/>
        </w:rPr>
        <w:t xml:space="preserve">                                        </w:t>
      </w:r>
    </w:p>
    <w:p w14:paraId="08989F0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rPr>
      </w:pPr>
      <w:r>
        <w:rPr>
          <w:rFonts w:hint="default" w:ascii="Times New Roman" w:hAnsi="Times New Roman" w:eastAsia="仿宋" w:cs="Times New Roman"/>
          <w:color w:val="auto"/>
          <w:kern w:val="0"/>
          <w:sz w:val="32"/>
          <w:szCs w:val="32"/>
        </w:rPr>
        <w:t>住所地：</w:t>
      </w:r>
      <w:r>
        <w:rPr>
          <w:rFonts w:hint="eastAsia" w:ascii="Times New Roman" w:hAnsi="Times New Roman" w:eastAsia="仿宋" w:cs="Times New Roman"/>
          <w:color w:val="auto"/>
          <w:kern w:val="0"/>
          <w:sz w:val="32"/>
          <w:szCs w:val="32"/>
          <w:u w:val="single"/>
          <w:lang w:val="en-US" w:eastAsia="zh-CN"/>
        </w:rPr>
        <w:t xml:space="preserve">                                                </w:t>
      </w:r>
    </w:p>
    <w:p w14:paraId="11A9FDC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lang w:val="en-US"/>
        </w:rPr>
      </w:pPr>
      <w:r>
        <w:rPr>
          <w:rFonts w:hint="default" w:ascii="Times New Roman" w:hAnsi="Times New Roman" w:eastAsia="仿宋" w:cs="Times New Roman"/>
          <w:color w:val="auto"/>
          <w:kern w:val="0"/>
          <w:sz w:val="32"/>
          <w:szCs w:val="32"/>
        </w:rPr>
        <w:t>法定代表人：</w:t>
      </w:r>
      <w:r>
        <w:rPr>
          <w:rFonts w:hint="eastAsia" w:ascii="Times New Roman" w:hAnsi="Times New Roman" w:eastAsia="仿宋" w:cs="Times New Roman"/>
          <w:color w:val="auto"/>
          <w:kern w:val="0"/>
          <w:sz w:val="32"/>
          <w:szCs w:val="32"/>
          <w:u w:val="single"/>
          <w:lang w:val="en-US" w:eastAsia="zh-CN"/>
        </w:rPr>
        <w:t xml:space="preserve">                                            </w:t>
      </w:r>
    </w:p>
    <w:p w14:paraId="1898F10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spacing w:val="0"/>
          <w:kern w:val="0"/>
          <w:sz w:val="32"/>
          <w:szCs w:val="32"/>
        </w:rPr>
        <w:t>通讯地址：</w:t>
      </w:r>
      <w:r>
        <w:rPr>
          <w:rFonts w:hint="eastAsia" w:ascii="Times New Roman" w:hAnsi="Times New Roman" w:eastAsia="仿宋" w:cs="Times New Roman"/>
          <w:color w:val="auto"/>
          <w:spacing w:val="0"/>
          <w:kern w:val="0"/>
          <w:sz w:val="32"/>
          <w:szCs w:val="32"/>
          <w:u w:val="single"/>
          <w:lang w:val="en-US" w:eastAsia="zh-CN"/>
        </w:rPr>
        <w:t xml:space="preserve">                                              </w:t>
      </w:r>
    </w:p>
    <w:p w14:paraId="03E935B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lang w:val="en-US"/>
        </w:rPr>
      </w:pPr>
      <w:r>
        <w:rPr>
          <w:rFonts w:hint="eastAsia" w:ascii="Times New Roman" w:hAnsi="Times New Roman" w:eastAsia="仿宋" w:cs="Times New Roman"/>
          <w:color w:val="auto"/>
          <w:spacing w:val="0"/>
          <w:kern w:val="0"/>
          <w:sz w:val="32"/>
          <w:szCs w:val="32"/>
          <w:lang w:eastAsia="zh-CN"/>
        </w:rPr>
        <w:t>联系</w:t>
      </w:r>
      <w:r>
        <w:rPr>
          <w:rFonts w:hint="default" w:ascii="Times New Roman" w:hAnsi="Times New Roman" w:eastAsia="仿宋" w:cs="Times New Roman"/>
          <w:color w:val="auto"/>
          <w:spacing w:val="0"/>
          <w:kern w:val="0"/>
          <w:sz w:val="32"/>
          <w:szCs w:val="32"/>
        </w:rPr>
        <w:t>电话：</w:t>
      </w:r>
      <w:r>
        <w:rPr>
          <w:rFonts w:hint="eastAsia" w:ascii="Times New Roman" w:hAnsi="Times New Roman" w:eastAsia="仿宋" w:cs="Times New Roman"/>
          <w:i w:val="0"/>
          <w:iCs w:val="0"/>
          <w:color w:val="auto"/>
          <w:spacing w:val="0"/>
          <w:kern w:val="0"/>
          <w:sz w:val="32"/>
          <w:szCs w:val="32"/>
          <w:u w:val="single"/>
          <w:lang w:val="en-US" w:eastAsia="zh-CN"/>
        </w:rPr>
        <w:t xml:space="preserve">                                              </w:t>
      </w:r>
    </w:p>
    <w:p w14:paraId="40F05C2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lang w:val="en-US"/>
        </w:rPr>
      </w:pPr>
      <w:r>
        <w:rPr>
          <w:rFonts w:hint="default" w:ascii="Times New Roman" w:hAnsi="Times New Roman" w:eastAsia="仿宋" w:cs="Times New Roman"/>
          <w:color w:val="auto"/>
          <w:spacing w:val="0"/>
          <w:kern w:val="0"/>
          <w:sz w:val="32"/>
          <w:szCs w:val="32"/>
        </w:rPr>
        <w:t>电子邮箱：</w:t>
      </w:r>
      <w:r>
        <w:rPr>
          <w:rFonts w:hint="eastAsia" w:ascii="Times New Roman" w:hAnsi="Times New Roman" w:eastAsia="仿宋" w:cs="Times New Roman"/>
          <w:color w:val="auto"/>
          <w:spacing w:val="0"/>
          <w:kern w:val="0"/>
          <w:sz w:val="32"/>
          <w:szCs w:val="32"/>
          <w:u w:val="single"/>
          <w:lang w:val="en-US" w:eastAsia="zh-CN"/>
        </w:rPr>
        <w:t xml:space="preserve">                                              </w:t>
      </w:r>
    </w:p>
    <w:p w14:paraId="6B9A0D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color w:val="auto"/>
          <w:sz w:val="32"/>
          <w:szCs w:val="32"/>
          <w:lang w:eastAsia="zh-CN"/>
        </w:rPr>
      </w:pPr>
    </w:p>
    <w:p w14:paraId="15CC7EC7">
      <w:pPr>
        <w:pStyle w:val="17"/>
        <w:rPr>
          <w:rFonts w:hint="default"/>
          <w:lang w:eastAsia="zh-CN"/>
        </w:rPr>
      </w:pPr>
    </w:p>
    <w:p w14:paraId="2C3116D7">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根据《中华人民共和国政府采购法》《中华人民共和国民法典》等法律、法规规定，按照招标文件（采购文件）规定条款和</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文件及承诺，甲乙双方签订本合同。</w:t>
      </w:r>
    </w:p>
    <w:p w14:paraId="12F13097">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Theme="majorEastAsia" w:hAnsiTheme="majorEastAsia" w:eastAsiaTheme="majorEastAsia" w:cstheme="majorEastAsia"/>
          <w:b/>
          <w:bCs w:val="0"/>
          <w:color w:val="auto"/>
          <w:sz w:val="21"/>
          <w:szCs w:val="21"/>
        </w:rPr>
      </w:pPr>
      <w:r>
        <w:rPr>
          <w:rFonts w:hint="eastAsia" w:asciiTheme="majorEastAsia" w:hAnsiTheme="majorEastAsia" w:eastAsiaTheme="majorEastAsia" w:cstheme="majorEastAsia"/>
          <w:b/>
          <w:bCs w:val="0"/>
          <w:color w:val="auto"/>
          <w:sz w:val="21"/>
          <w:szCs w:val="21"/>
        </w:rPr>
        <w:t>第一条　合同标的</w:t>
      </w:r>
    </w:p>
    <w:p w14:paraId="650CA54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服务一览表</w:t>
      </w:r>
    </w:p>
    <w:tbl>
      <w:tblPr>
        <w:tblStyle w:val="28"/>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086"/>
        <w:gridCol w:w="2578"/>
        <w:gridCol w:w="767"/>
        <w:gridCol w:w="946"/>
        <w:gridCol w:w="1357"/>
        <w:gridCol w:w="1262"/>
      </w:tblGrid>
      <w:tr w14:paraId="00BA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12092A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rPr>
              <w:t>序号</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7AB05A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rPr>
              <w:t>名称</w:t>
            </w:r>
          </w:p>
        </w:tc>
        <w:tc>
          <w:tcPr>
            <w:tcW w:w="2578" w:type="dxa"/>
            <w:tcBorders>
              <w:top w:val="single" w:color="auto" w:sz="4" w:space="0"/>
              <w:left w:val="single" w:color="auto" w:sz="4" w:space="0"/>
              <w:bottom w:val="single" w:color="auto" w:sz="4" w:space="0"/>
              <w:right w:val="single" w:color="auto" w:sz="4" w:space="0"/>
            </w:tcBorders>
            <w:noWrap w:val="0"/>
            <w:vAlign w:val="center"/>
          </w:tcPr>
          <w:p w14:paraId="0F5A40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rPr>
              <w:t>服务内容</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3D6675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rPr>
              <w:t>数量</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919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rPr>
              <w:t>单位</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577C8F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  价</w:t>
            </w:r>
          </w:p>
          <w:p w14:paraId="298C48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rPr>
              <w:t>（元）</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7950F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  价</w:t>
            </w:r>
          </w:p>
          <w:p w14:paraId="2FFB36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rPr>
              <w:t>（元）</w:t>
            </w:r>
          </w:p>
        </w:tc>
      </w:tr>
      <w:tr w14:paraId="2671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49A5C7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rPr>
              <w:t>1</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0CC4F56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14:paraId="24988D7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1E6F97B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C332E8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88FD9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lang w:val="en" w:eastAsia="zh-CN"/>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6936C7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r>
      <w:tr w14:paraId="7ED9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4225E8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rPr>
              <w:t>2</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4597A34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14:paraId="2F94D33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76F324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DF9562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6192EE4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1E87E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r>
      <w:tr w14:paraId="0E61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14:paraId="3E701F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r>
              <w:rPr>
                <w:rFonts w:hint="eastAsia" w:ascii="宋体" w:hAnsi="宋体" w:eastAsia="宋体" w:cs="宋体"/>
                <w:color w:val="auto"/>
                <w:szCs w:val="21"/>
              </w:rPr>
              <w:t>…</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4A98EC6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14:paraId="0FFD57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2E6272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05D9E8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B0D22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62474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p>
        </w:tc>
      </w:tr>
      <w:tr w14:paraId="08FE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9517" w:type="dxa"/>
            <w:gridSpan w:val="7"/>
            <w:tcBorders>
              <w:top w:val="single" w:color="auto" w:sz="4" w:space="0"/>
              <w:left w:val="single" w:color="auto" w:sz="4" w:space="0"/>
              <w:bottom w:val="single" w:color="auto" w:sz="4" w:space="0"/>
              <w:right w:val="single" w:color="auto" w:sz="4" w:space="0"/>
            </w:tcBorders>
            <w:noWrap w:val="0"/>
            <w:vAlign w:val="center"/>
          </w:tcPr>
          <w:p w14:paraId="7BE5C5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 w:val="21"/>
                <w:szCs w:val="21"/>
              </w:rPr>
              <w:t>合同合计金额（人民币，大写）：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）；其中不含税金额（人民币，大写）：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）；增值税金额（人民币，大写）：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tc>
      </w:tr>
    </w:tbl>
    <w:p w14:paraId="1BF45B7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合同合计金额包括但不限于满足本次招标全部采购需求所应提供的服务，以及伴随的货物和工程（如有）的价格</w:t>
      </w:r>
      <w:r>
        <w:rPr>
          <w:rFonts w:hint="eastAsia" w:ascii="宋体" w:hAnsi="宋体" w:eastAsia="宋体" w:cs="宋体"/>
          <w:color w:val="auto"/>
          <w:kern w:val="0"/>
          <w:sz w:val="21"/>
          <w:szCs w:val="21"/>
        </w:rPr>
        <w:t>，包括但不限于</w:t>
      </w:r>
      <w:r>
        <w:rPr>
          <w:rFonts w:hint="eastAsia" w:ascii="宋体" w:hAnsi="宋体" w:eastAsia="宋体" w:cs="宋体"/>
          <w:color w:val="auto"/>
          <w:sz w:val="21"/>
          <w:szCs w:val="21"/>
        </w:rPr>
        <w:t>服务、货物、工程的成本、运输（含保险）、安装（如有）、调试、检验、技术服务、培训、税费</w:t>
      </w:r>
      <w:r>
        <w:rPr>
          <w:rFonts w:hint="eastAsia" w:ascii="宋体" w:hAnsi="宋体" w:eastAsia="宋体" w:cs="宋体"/>
          <w:color w:val="auto"/>
          <w:sz w:val="21"/>
          <w:szCs w:val="21"/>
          <w:lang w:eastAsia="zh-CN"/>
        </w:rPr>
        <w:t>、版权使用费（如有）</w:t>
      </w:r>
      <w:r>
        <w:rPr>
          <w:rFonts w:hint="eastAsia" w:ascii="宋体" w:hAnsi="宋体" w:eastAsia="宋体" w:cs="宋体"/>
          <w:color w:val="auto"/>
          <w:sz w:val="21"/>
          <w:szCs w:val="21"/>
        </w:rPr>
        <w:t>等所有费用。</w:t>
      </w:r>
    </w:p>
    <w:p w14:paraId="2EF37648">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第二条　质量保证</w:t>
      </w:r>
    </w:p>
    <w:p w14:paraId="65BC6F62">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1.乙方应建立和完善履行合同的内部质量保证体系，并提供相关内部规章制度给甲方，以便甲方进行监督检查；</w:t>
      </w:r>
    </w:p>
    <w:p w14:paraId="7820F672">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2.乙方应保证履行合同的人员数量和素质、软件和硬件设备的配置、场地、环境和设施等满足全面履行合同的要求，并应接受甲方的监督检查。</w:t>
      </w:r>
    </w:p>
    <w:p w14:paraId="283D9DA4">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3.乙方所提供的服务、服务质量及服务内容必须与合同、采购文件、投标（响应）文件及承诺相一致。有国家强制性标准的，还必须符合国家强制性标准的规定；没有国家强制性标准但有其他标准的，必须符合其他标准的规定。</w:t>
      </w:r>
    </w:p>
    <w:p w14:paraId="4D79D06D">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第三条　权利保证</w:t>
      </w:r>
    </w:p>
    <w:p w14:paraId="769310E2">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1.甲方有权随时向乙方了解服务进度和对服务资金使用情况进行监督、检查，并要求乙方提供相关资料。</w:t>
      </w:r>
    </w:p>
    <w:p w14:paraId="4B7B4E61">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7338761F">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3.乙方应保证所提供服务在使用时不会侵犯任何第三方的专利权、商标权、工业设计权等知识产权及其他合法权利，且所有权、处分权等没有受到任何限制。</w:t>
      </w:r>
    </w:p>
    <w:p w14:paraId="6AE48353">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07852FAB">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66F3BFBD">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第四条　交付和验收</w:t>
      </w:r>
    </w:p>
    <w:p w14:paraId="679A0280">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1.服务时间：</w:t>
      </w:r>
      <w:r>
        <w:rPr>
          <w:rFonts w:hint="eastAsia" w:ascii="宋体" w:hAnsi="宋体" w:eastAsia="宋体" w:cs="宋体"/>
          <w:color w:val="0D0D0D"/>
          <w:sz w:val="21"/>
          <w:szCs w:val="21"/>
          <w:u w:val="single"/>
        </w:rPr>
        <w:t>项目计划于</w:t>
      </w:r>
      <w:r>
        <w:rPr>
          <w:rFonts w:hint="eastAsia" w:ascii="宋体" w:hAnsi="宋体" w:eastAsia="宋体" w:cs="宋体"/>
          <w:color w:val="0D0D0D"/>
          <w:sz w:val="21"/>
          <w:szCs w:val="21"/>
          <w:u w:val="single"/>
          <w:lang w:eastAsia="zh-CN"/>
        </w:rPr>
        <w:t>签合同之日起</w:t>
      </w:r>
      <w:r>
        <w:rPr>
          <w:rFonts w:hint="eastAsia" w:ascii="宋体" w:hAnsi="宋体" w:eastAsia="宋体" w:cs="宋体"/>
          <w:color w:val="0D0D0D"/>
          <w:sz w:val="21"/>
          <w:szCs w:val="21"/>
          <w:u w:val="single"/>
        </w:rPr>
        <w:t>开始工作，至2025年12月</w:t>
      </w:r>
      <w:r>
        <w:rPr>
          <w:rFonts w:hint="eastAsia" w:ascii="宋体" w:hAnsi="宋体" w:eastAsia="宋体" w:cs="宋体"/>
          <w:color w:val="0D0D0D"/>
          <w:sz w:val="21"/>
          <w:szCs w:val="21"/>
          <w:u w:val="single"/>
          <w:lang w:val="en-US" w:eastAsia="zh-CN"/>
        </w:rPr>
        <w:t>1日前</w:t>
      </w:r>
      <w:r>
        <w:rPr>
          <w:rFonts w:hint="eastAsia" w:ascii="宋体" w:hAnsi="宋体" w:eastAsia="宋体" w:cs="宋体"/>
          <w:color w:val="0D0D0D"/>
          <w:sz w:val="21"/>
          <w:szCs w:val="21"/>
          <w:u w:val="single"/>
        </w:rPr>
        <w:t>完成项目的全部工作任务</w:t>
      </w:r>
      <w:r>
        <w:rPr>
          <w:rFonts w:hint="eastAsia" w:ascii="宋体" w:hAnsi="宋体" w:eastAsia="宋体" w:cs="宋体"/>
          <w:color w:val="0D0D0D"/>
          <w:sz w:val="21"/>
          <w:szCs w:val="21"/>
          <w:u w:val="single"/>
          <w:lang w:val="en-US" w:eastAsia="zh-CN"/>
        </w:rPr>
        <w:t>，组织项目验收</w:t>
      </w:r>
      <w:r>
        <w:rPr>
          <w:rFonts w:hint="eastAsia" w:ascii="宋体" w:hAnsi="宋体" w:eastAsia="宋体" w:cs="宋体"/>
          <w:color w:val="0D0D0D"/>
          <w:sz w:val="21"/>
          <w:szCs w:val="21"/>
          <w:u w:val="single"/>
        </w:rPr>
        <w:t>并验收合格。</w:t>
      </w:r>
    </w:p>
    <w:p w14:paraId="26AC2A04">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2.服务地点：</w:t>
      </w:r>
      <w:r>
        <w:rPr>
          <w:rFonts w:hint="eastAsia" w:ascii="宋体" w:hAnsi="宋体" w:eastAsia="宋体" w:cs="宋体"/>
          <w:color w:val="0D0D0D"/>
          <w:sz w:val="21"/>
          <w:szCs w:val="21"/>
          <w:u w:val="single"/>
          <w:lang w:eastAsia="zh-CN"/>
        </w:rPr>
        <w:t>广西区内</w:t>
      </w:r>
      <w:r>
        <w:rPr>
          <w:rFonts w:hint="eastAsia" w:ascii="宋体" w:hAnsi="宋体" w:eastAsia="宋体" w:cs="宋体"/>
          <w:color w:val="0D0D0D"/>
          <w:sz w:val="21"/>
          <w:szCs w:val="21"/>
          <w:u w:val="single"/>
        </w:rPr>
        <w:t>指定地点</w:t>
      </w:r>
      <w:r>
        <w:rPr>
          <w:rFonts w:hint="eastAsia" w:ascii="宋体" w:hAnsi="宋体" w:eastAsia="宋体" w:cs="宋体"/>
          <w:color w:val="0D0D0D"/>
          <w:sz w:val="21"/>
          <w:szCs w:val="21"/>
        </w:rPr>
        <w:t>。</w:t>
      </w:r>
    </w:p>
    <w:p w14:paraId="10A7D151">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3.乙方应按合同、采购文件、投标（响应）文件及承诺向甲方提供相应的服务，并提供服务质量和服务内容的相关技术资料。</w:t>
      </w:r>
    </w:p>
    <w:p w14:paraId="64BE2A45">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4.乙方提供不符合合同、采购文件、投标（响应）文件规定的服务成果，甲方有权拒绝接受。</w:t>
      </w:r>
    </w:p>
    <w:p w14:paraId="1BF90D48">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5.乙方在完成服务前应对服务作出全面检查和对验收文件进行整理，并列出清单，作为甲方服务验收的技术依据，清单应随提交的服务成果交给甲方。</w:t>
      </w:r>
    </w:p>
    <w:p w14:paraId="4A5679B1">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6.乙方完成服务后应及时书面通知甲方进行验收，甲方应在收到通知后七个工作日内进行验收，逾期不开始验收的，乙方可视同验收合格。</w:t>
      </w:r>
    </w:p>
    <w:p w14:paraId="3788EE48">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7.甲乙双方应按照《广西壮族自治区政府采购项目履约验收管理办法》、合同、采购文件、投标（响应）文件验收，验收时乙方必须在现场，验收费用由乙方负责。服务质量和服务内容符合合同、采购文件、投标（响应）文件规定的要求的，由甲乙双方签署验收合格单并加盖甲方公章，甲乙双方各执一份。</w:t>
      </w:r>
    </w:p>
    <w:p w14:paraId="09A4C979">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8.甲方在初步验收或者最终验收过程中发现乙方提供的服务、服务质量或服务内容不满足合同、采购文件、投标文件（响应）规定的，可暂缓向乙方付款，直到乙方及时完善并提交相应的服务成果且经甲方验收合格后，方可办理付款。</w:t>
      </w:r>
    </w:p>
    <w:p w14:paraId="67EB1423">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9.甲方验收时发现乙方提供的服务、服务质量或服务内容不满足合同、采购文件、投标（响应）文件规定并以书面形式提出异议的，乙方应自收到甲方书面异议后五个工作日内予以解决，否则甲方有权不出具验收合格单。乙方因解决异议问题而造成逾期的，按乙方逾期交付处理。</w:t>
      </w:r>
    </w:p>
    <w:p w14:paraId="0E80B74F">
      <w:pPr>
        <w:spacing w:line="600" w:lineRule="exact"/>
        <w:ind w:firstLine="422" w:firstLineChars="200"/>
        <w:jc w:val="left"/>
        <w:rPr>
          <w:rFonts w:hint="eastAsia" w:ascii="宋体" w:hAnsi="宋体" w:eastAsia="宋体" w:cs="宋体"/>
          <w:b/>
          <w:bCs/>
          <w:color w:val="FF0000"/>
          <w:sz w:val="21"/>
          <w:szCs w:val="21"/>
        </w:rPr>
      </w:pPr>
      <w:r>
        <w:rPr>
          <w:rFonts w:hint="eastAsia" w:ascii="宋体" w:hAnsi="宋体" w:eastAsia="宋体" w:cs="宋体"/>
          <w:b/>
          <w:bCs/>
          <w:color w:val="0D0D0D"/>
          <w:sz w:val="21"/>
          <w:szCs w:val="21"/>
        </w:rPr>
        <w:t>第五条　售后服务、服务质量保证期</w:t>
      </w:r>
    </w:p>
    <w:p w14:paraId="577249F5">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1.乙方应按照国家有关法律法规、合同、采购文件、投标（响应）文件所附的《服务承诺》要求为甲方提供相应的服务。</w:t>
      </w:r>
    </w:p>
    <w:p w14:paraId="0DFFB6D2">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2.乙方提供服务的质量保证期按交付服务成果验收合格并签署验收合格单之日起计算，为</w:t>
      </w:r>
      <w:r>
        <w:rPr>
          <w:rFonts w:hint="eastAsia" w:ascii="宋体" w:hAnsi="宋体" w:eastAsia="宋体" w:cs="宋体"/>
          <w:color w:val="0D0D0D"/>
          <w:sz w:val="21"/>
          <w:szCs w:val="21"/>
          <w:u w:val="single"/>
        </w:rPr>
        <w:t>365</w:t>
      </w:r>
      <w:r>
        <w:rPr>
          <w:rFonts w:hint="eastAsia" w:ascii="宋体" w:hAnsi="宋体" w:eastAsia="宋体" w:cs="宋体"/>
          <w:color w:val="0D0D0D"/>
          <w:sz w:val="21"/>
          <w:szCs w:val="21"/>
        </w:rPr>
        <w:t>日，在质量保证期内因服务成果本身的技术问题，乙方应对服务出现的问题负责处理解决，并承担一切费用。</w:t>
      </w:r>
    </w:p>
    <w:p w14:paraId="6DE6F324">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3.在质量保证期内发生技术服务问题，乙方应在接到甲方通知后24小时内到达甲方现场，在甲方指定的期限内解决问题。</w:t>
      </w:r>
    </w:p>
    <w:p w14:paraId="20001299">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第六条　付款方式</w:t>
      </w:r>
    </w:p>
    <w:p w14:paraId="470F11DC">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1.资金性质：</w:t>
      </w:r>
      <w:r>
        <w:rPr>
          <w:rFonts w:hint="eastAsia" w:ascii="宋体" w:hAnsi="宋体" w:eastAsia="宋体" w:cs="宋体"/>
          <w:color w:val="0D0D0D"/>
          <w:sz w:val="21"/>
          <w:szCs w:val="21"/>
          <w:u w:val="single"/>
        </w:rPr>
        <w:t>财政资金</w:t>
      </w:r>
      <w:r>
        <w:rPr>
          <w:rFonts w:hint="eastAsia" w:ascii="宋体" w:hAnsi="宋体" w:eastAsia="宋体" w:cs="宋体"/>
          <w:color w:val="0D0D0D"/>
          <w:sz w:val="21"/>
          <w:szCs w:val="21"/>
        </w:rPr>
        <w:t>。</w:t>
      </w:r>
    </w:p>
    <w:p w14:paraId="5F8E5D2F">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2.付款方式</w:t>
      </w:r>
    </w:p>
    <w:p w14:paraId="2DE1C0DD">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u w:val="single"/>
        </w:rPr>
        <w:t>本合同总金额为人民币    元整（￥    元)</w:t>
      </w:r>
      <w:r>
        <w:rPr>
          <w:rFonts w:hint="eastAsia" w:ascii="宋体" w:hAnsi="宋体" w:eastAsia="宋体" w:cs="宋体"/>
          <w:color w:val="0D0D0D"/>
          <w:sz w:val="21"/>
          <w:szCs w:val="21"/>
        </w:rPr>
        <w:t>，甲乙双方同意按以下方式支付合同合计金额：</w:t>
      </w:r>
    </w:p>
    <w:p w14:paraId="31A93506">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lang w:eastAsia="zh-CN"/>
        </w:rPr>
        <w:t>（</w:t>
      </w:r>
      <w:r>
        <w:rPr>
          <w:rFonts w:hint="eastAsia" w:ascii="宋体" w:hAnsi="宋体" w:eastAsia="宋体" w:cs="宋体"/>
          <w:color w:val="0D0D0D"/>
          <w:sz w:val="21"/>
          <w:szCs w:val="21"/>
          <w:lang w:val="en-US" w:eastAsia="zh-CN"/>
        </w:rPr>
        <w:t>1）</w:t>
      </w:r>
      <w:r>
        <w:rPr>
          <w:rFonts w:hint="eastAsia" w:ascii="宋体" w:hAnsi="宋体" w:eastAsia="宋体" w:cs="宋体"/>
          <w:color w:val="0D0D0D"/>
          <w:sz w:val="21"/>
          <w:szCs w:val="21"/>
        </w:rPr>
        <w:t>签订合同后10个工作日内，采购人向成交供应商支付合同金额的</w:t>
      </w:r>
      <w:r>
        <w:rPr>
          <w:rFonts w:hint="eastAsia" w:ascii="宋体" w:hAnsi="宋体" w:eastAsia="宋体" w:cs="宋体"/>
          <w:color w:val="0D0D0D"/>
          <w:sz w:val="21"/>
          <w:szCs w:val="21"/>
          <w:lang w:val="en-US" w:eastAsia="zh-CN"/>
        </w:rPr>
        <w:t>50</w:t>
      </w:r>
      <w:r>
        <w:rPr>
          <w:rFonts w:hint="eastAsia" w:ascii="宋体" w:hAnsi="宋体" w:eastAsia="宋体" w:cs="宋体"/>
          <w:color w:val="0D0D0D"/>
          <w:sz w:val="21"/>
          <w:szCs w:val="21"/>
        </w:rPr>
        <w:t>%作为开展项目经费；</w:t>
      </w:r>
    </w:p>
    <w:p w14:paraId="6931568E">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lang w:eastAsia="zh-CN"/>
        </w:rPr>
        <w:t>（</w:t>
      </w:r>
      <w:r>
        <w:rPr>
          <w:rFonts w:hint="eastAsia" w:ascii="宋体" w:hAnsi="宋体" w:eastAsia="宋体" w:cs="宋体"/>
          <w:color w:val="0D0D0D"/>
          <w:sz w:val="21"/>
          <w:szCs w:val="21"/>
          <w:lang w:val="en-US" w:eastAsia="zh-CN"/>
        </w:rPr>
        <w:t>2）</w:t>
      </w:r>
      <w:r>
        <w:rPr>
          <w:rFonts w:hint="eastAsia" w:ascii="宋体" w:hAnsi="宋体" w:eastAsia="宋体" w:cs="宋体"/>
          <w:color w:val="0D0D0D"/>
          <w:sz w:val="21"/>
          <w:szCs w:val="21"/>
        </w:rPr>
        <w:t>成交供应商按要求完成</w:t>
      </w:r>
      <w:r>
        <w:rPr>
          <w:rFonts w:hint="eastAsia" w:ascii="宋体" w:hAnsi="宋体" w:eastAsia="宋体" w:cs="宋体"/>
          <w:color w:val="0D0D0D"/>
          <w:sz w:val="21"/>
          <w:szCs w:val="21"/>
          <w:lang w:eastAsia="zh-CN"/>
        </w:rPr>
        <w:t>全部项目</w:t>
      </w:r>
      <w:r>
        <w:rPr>
          <w:rFonts w:hint="eastAsia" w:ascii="宋体" w:hAnsi="宋体" w:eastAsia="宋体" w:cs="宋体"/>
          <w:color w:val="0D0D0D"/>
          <w:sz w:val="21"/>
          <w:szCs w:val="21"/>
          <w:lang w:val="en-US" w:eastAsia="zh-CN"/>
        </w:rPr>
        <w:t>且</w:t>
      </w:r>
      <w:r>
        <w:rPr>
          <w:rFonts w:hint="eastAsia" w:ascii="宋体" w:hAnsi="宋体" w:eastAsia="宋体" w:cs="宋体"/>
          <w:color w:val="0D0D0D"/>
          <w:sz w:val="21"/>
          <w:szCs w:val="21"/>
        </w:rPr>
        <w:t>验收合格后，采购人在10个工作日内一次性向成交供应商付清剩余应付合同款项（即合同金额的</w:t>
      </w:r>
      <w:r>
        <w:rPr>
          <w:rFonts w:hint="eastAsia" w:ascii="宋体" w:hAnsi="宋体" w:eastAsia="宋体" w:cs="宋体"/>
          <w:color w:val="0D0D0D"/>
          <w:sz w:val="21"/>
          <w:szCs w:val="21"/>
          <w:lang w:val="en-US" w:eastAsia="zh-CN"/>
        </w:rPr>
        <w:t>50</w:t>
      </w:r>
      <w:r>
        <w:rPr>
          <w:rFonts w:hint="eastAsia" w:ascii="宋体" w:hAnsi="宋体" w:eastAsia="宋体" w:cs="宋体"/>
          <w:color w:val="0D0D0D"/>
          <w:sz w:val="21"/>
          <w:szCs w:val="21"/>
        </w:rPr>
        <w:t>%）。</w:t>
      </w:r>
    </w:p>
    <w:p w14:paraId="286D6913">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w:t>
      </w:r>
      <w:r>
        <w:rPr>
          <w:rFonts w:hint="eastAsia" w:ascii="宋体" w:hAnsi="宋体" w:eastAsia="宋体" w:cs="宋体"/>
          <w:color w:val="0D0D0D"/>
          <w:sz w:val="21"/>
          <w:szCs w:val="21"/>
          <w:lang w:val="en-US" w:eastAsia="zh-CN"/>
        </w:rPr>
        <w:t>3</w:t>
      </w:r>
      <w:r>
        <w:rPr>
          <w:rFonts w:hint="eastAsia" w:ascii="宋体" w:hAnsi="宋体" w:eastAsia="宋体" w:cs="宋体"/>
          <w:color w:val="0D0D0D"/>
          <w:sz w:val="21"/>
          <w:szCs w:val="21"/>
        </w:rPr>
        <w:t>）甲方在支付每笔款项前，乙方应当提供可供政府审计并且符合税务规定的正式发票，否则甲方有权拒付相应款项直至乙方能提供符合规定的发票为止。</w:t>
      </w:r>
    </w:p>
    <w:p w14:paraId="0C0EA962">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w:t>
      </w:r>
      <w:r>
        <w:rPr>
          <w:rFonts w:hint="eastAsia" w:ascii="宋体" w:hAnsi="宋体" w:eastAsia="宋体" w:cs="宋体"/>
          <w:color w:val="0D0D0D"/>
          <w:sz w:val="21"/>
          <w:szCs w:val="21"/>
          <w:lang w:val="en-US" w:eastAsia="zh-CN"/>
        </w:rPr>
        <w:t>4</w:t>
      </w:r>
      <w:r>
        <w:rPr>
          <w:rFonts w:hint="eastAsia" w:ascii="宋体" w:hAnsi="宋体" w:eastAsia="宋体" w:cs="宋体"/>
          <w:color w:val="0D0D0D"/>
          <w:sz w:val="21"/>
          <w:szCs w:val="21"/>
        </w:rPr>
        <w:t>）乙方未在规定时间内完成任务，或经抽查发现服务质量不符合要求的，按照合同约定扣减相应费用。</w:t>
      </w:r>
    </w:p>
    <w:p w14:paraId="48AA29CA">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3.乙方指定以下账户为接受本合同价款的账户，并对其指定的下列账户信息真实性、安全性、准确性负责。</w:t>
      </w:r>
    </w:p>
    <w:p w14:paraId="275664F1">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账户名称：</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48EEFD04">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开户银行：</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649BF3F8">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银行账号：</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494B2FB5">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联系人：</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1C6DB69F">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联系电话：</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07408F67">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如乙方上述账户信息发生变更，乙方应提前向甲方发送书面通知，未能提前书面通知而产生的不利后果由乙方自行承担。</w:t>
      </w:r>
    </w:p>
    <w:p w14:paraId="29192A41">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4.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票重新计算。</w:t>
      </w:r>
    </w:p>
    <w:p w14:paraId="7E5CF4D5">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第七条　履约保证金</w:t>
      </w:r>
    </w:p>
    <w:p w14:paraId="463171B1">
      <w:pPr>
        <w:spacing w:line="6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b w:val="0"/>
          <w:bCs w:val="0"/>
          <w:color w:val="FF0000"/>
          <w:sz w:val="21"/>
          <w:szCs w:val="21"/>
          <w:highlight w:val="none"/>
          <w:lang w:eastAsia="zh-CN"/>
        </w:rPr>
        <w:t>本项目不收取</w:t>
      </w:r>
      <w:r>
        <w:rPr>
          <w:rFonts w:hint="eastAsia" w:ascii="宋体" w:hAnsi="宋体" w:eastAsia="宋体" w:cs="宋体"/>
          <w:b w:val="0"/>
          <w:bCs w:val="0"/>
          <w:color w:val="FF0000"/>
          <w:sz w:val="21"/>
          <w:szCs w:val="21"/>
          <w:highlight w:val="none"/>
        </w:rPr>
        <w:t>履约保证金</w:t>
      </w:r>
      <w:r>
        <w:rPr>
          <w:rFonts w:hint="eastAsia" w:ascii="宋体" w:hAnsi="宋体" w:eastAsia="宋体" w:cs="宋体"/>
          <w:b w:val="0"/>
          <w:bCs w:val="0"/>
          <w:color w:val="FF0000"/>
          <w:sz w:val="21"/>
          <w:szCs w:val="21"/>
          <w:highlight w:val="none"/>
          <w:lang w:eastAsia="zh-CN"/>
        </w:rPr>
        <w:t>。</w:t>
      </w:r>
    </w:p>
    <w:p w14:paraId="6874F927">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第八条　税费</w:t>
      </w:r>
    </w:p>
    <w:p w14:paraId="3411EFD2">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合同执行中相关的一切税费均由乙方负担。</w:t>
      </w:r>
    </w:p>
    <w:p w14:paraId="64B00DD0">
      <w:pPr>
        <w:spacing w:line="600" w:lineRule="exact"/>
        <w:ind w:firstLine="422" w:firstLineChars="200"/>
        <w:jc w:val="left"/>
        <w:rPr>
          <w:rFonts w:hint="eastAsia" w:ascii="宋体" w:hAnsi="宋体" w:eastAsia="宋体" w:cs="宋体"/>
          <w:color w:val="0D0D0D"/>
          <w:sz w:val="21"/>
          <w:szCs w:val="21"/>
        </w:rPr>
      </w:pPr>
      <w:r>
        <w:rPr>
          <w:rFonts w:hint="eastAsia" w:ascii="宋体" w:hAnsi="宋体" w:eastAsia="宋体" w:cs="宋体"/>
          <w:b/>
          <w:bCs/>
          <w:color w:val="0D0D0D"/>
          <w:sz w:val="21"/>
          <w:szCs w:val="21"/>
        </w:rPr>
        <w:t>第九条　违约责任</w:t>
      </w:r>
    </w:p>
    <w:p w14:paraId="45B1986A">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乙方没有按照合同、采购文件、投标（响应）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26FB75F3">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2.乙方所提供的服务、服务质量、服务内容等不符合合同、采购文件、投标（响应）文件规定的要求的，应按甲方的要求，在甲方指定的期限内予以更换或改进，未在甲方指定的期限内更换或改进的，按乙方逾期提供服务承担违约责任。</w:t>
      </w:r>
    </w:p>
    <w:p w14:paraId="30379181">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14:paraId="7920AD28">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4.乙方因履行合同所发生的其他违约行为，每违约一次，应按合同合计金额的5%向甲方支付违约金，并赔偿甲方因此所造成全部损失。</w:t>
      </w:r>
    </w:p>
    <w:p w14:paraId="791BE383">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5.乙方支付的违约金不足以弥补甲方损失的，应承担赔偿责任，甲方有权继续向乙方追偿。乙方应支付给甲方的任何款项，甲方有权从任何应支付未支付给乙方的款项中直接抵扣。</w:t>
      </w:r>
    </w:p>
    <w:p w14:paraId="36BDAF96">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6.本合同所称的甲方经济损失或者甲方损失，包括甲方遭受的全部直接经济损失及为此支出的合理费用（包括但不限于为此支出的调查费、诉讼费、保全费、保全保险费、垫付资金占用费、律师费、差旅费等）。</w:t>
      </w:r>
    </w:p>
    <w:p w14:paraId="0A8E3BAC">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7.甲方延期付款的，每天向乙方偿付延期款额3‰的违约金，但违约金累计不得超过延期款额的5%。</w:t>
      </w:r>
    </w:p>
    <w:p w14:paraId="6F12DA4B">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第十条　知识产权归属</w:t>
      </w:r>
    </w:p>
    <w:p w14:paraId="13F9E0B5">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乙方保证，甲乙双方在本合同执行中形成的任何成果或知识产权的所有权，归甲方所有，而且乙方应当完成甲方知识产权所有权确认所必需的全部行为、证书和文件等，并提供相应的支持和协助。</w:t>
      </w:r>
    </w:p>
    <w:p w14:paraId="538B94B2">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第十一条　保密条款</w:t>
      </w:r>
    </w:p>
    <w:p w14:paraId="143EB1D2">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1.甲乙双方都负有保守对方的单位机密或商业秘密的义务，保密范围包括但不限于技术情报、数据资料及其他公开后对对方造成影响或损失的秘密。</w:t>
      </w:r>
    </w:p>
    <w:p w14:paraId="504F832D">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2.任何一方违反保密条款，给对方造成损失，应按对方的实际损失承担赔偿责任。</w:t>
      </w:r>
    </w:p>
    <w:p w14:paraId="4479AE39">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3.本条款不因合同的变更、解除和终止而失效。</w:t>
      </w:r>
    </w:p>
    <w:p w14:paraId="27FE7969">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第十二条　不可抗力事件处理</w:t>
      </w:r>
    </w:p>
    <w:p w14:paraId="01628AFC">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1.在合同有效期内，任何一方因不可抗力事件导致不能履行合同，则合同履行期可延长，其延长期与不可抗力影响期相同。</w:t>
      </w:r>
    </w:p>
    <w:p w14:paraId="1037A67B">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2.不可抗力事件发生后，应立即通知对方，并寄送有关权威机构出具的证明。</w:t>
      </w:r>
    </w:p>
    <w:p w14:paraId="42716322">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3.不可抗力事件延续一百二十天以上，双方应通过友好协商，确定是否继续履行合同。</w:t>
      </w:r>
    </w:p>
    <w:p w14:paraId="2EA8A2EE">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4.合同履行过程中，因接受政府行政指令而无法履行的，接受政府行政指令的一方可以免除责任。</w:t>
      </w:r>
    </w:p>
    <w:p w14:paraId="0CBF7B08">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第十三条　合同争议解决</w:t>
      </w:r>
    </w:p>
    <w:p w14:paraId="0FE3F452">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1.因服务质量问题发生争议的，甲方应提交具有相应资质的机构进行鉴定。服务符合标准的，鉴定费由甲方承担；服务不符合标准的，鉴定费由乙方承担。</w:t>
      </w:r>
    </w:p>
    <w:p w14:paraId="6024FE08">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2.因履行本合同引起的或者与本合同有关的争议，甲乙双方应首先通过友好协商解决，如果协商不能解决，可向甲方所在地有管辖权人民法院提起诉讼。</w:t>
      </w:r>
    </w:p>
    <w:p w14:paraId="1D570606">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第十四条　合同生效及其他</w:t>
      </w:r>
    </w:p>
    <w:p w14:paraId="014F8A3A">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1.合同经甲乙双方法定代表人或者授权代表签字并加盖单位公章后生效。</w:t>
      </w:r>
    </w:p>
    <w:p w14:paraId="16DF507C">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2.合同执行中涉及采购资金和采购内容修改或者补充的，须经政府采购监管部门审批，并签书面补充协议报政府采购监管部门备案，方可作为主合同不可分割的一部分。</w:t>
      </w:r>
    </w:p>
    <w:p w14:paraId="21FBC19C">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3.合同未尽事宜，遵照《中华人民共和国民法典》等相关法律、法规规定有关条文执行。</w:t>
      </w:r>
    </w:p>
    <w:p w14:paraId="6B1B6577">
      <w:pPr>
        <w:spacing w:line="600" w:lineRule="exact"/>
        <w:ind w:firstLine="422" w:firstLineChars="200"/>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第十五条　合同的变更、终止与转让</w:t>
      </w:r>
    </w:p>
    <w:p w14:paraId="7D5C9A6F">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1.除《中华人民共和国政府采购法》第五十条规定的情形外，本合同一经签订，甲乙双方不得擅自变更、中止或者终止。</w:t>
      </w:r>
    </w:p>
    <w:p w14:paraId="2C9A1E0C">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2.未经甲方书面同意，乙方不得擅自转让其应履行的合同义务。</w:t>
      </w:r>
    </w:p>
    <w:p w14:paraId="6F3B4CEC">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第十六条　本合同与下列文件一起构成合同文件</w:t>
      </w:r>
    </w:p>
    <w:p w14:paraId="18B36E6F">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1.保密协议；</w:t>
      </w:r>
    </w:p>
    <w:p w14:paraId="344245AF">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2.中标（成交）通知书；</w:t>
      </w:r>
    </w:p>
    <w:p w14:paraId="30E6DB5E">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3.开标一览表（响应报价表）；</w:t>
      </w:r>
    </w:p>
    <w:p w14:paraId="12ABBC7C">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4.采购需求；</w:t>
      </w:r>
    </w:p>
    <w:p w14:paraId="7C5373C4">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5.投标（响应）函；</w:t>
      </w:r>
    </w:p>
    <w:p w14:paraId="6AD24FDB">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6.商务条款偏离表和服务需求偏离表；</w:t>
      </w:r>
    </w:p>
    <w:p w14:paraId="12312AB8">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7.投标（响应）文件中的其他相关文件。</w:t>
      </w:r>
    </w:p>
    <w:p w14:paraId="389BC740">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上述合同文件互相补充和解释。如果合同文件之间存在矛盾或者不一致之处，以本合同、上述文件的排列顺序在先者为准。</w:t>
      </w:r>
    </w:p>
    <w:p w14:paraId="34CC3298">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第十七条　其他约定事项</w:t>
      </w:r>
    </w:p>
    <w:p w14:paraId="0251F5B8">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1.本合同所有附件及相关文件均为本合同的有效组成部分，与本合同具有同等法律效力。若合同附件与本合同存在不一致的，则以本合同为准。</w:t>
      </w:r>
    </w:p>
    <w:p w14:paraId="01ECFB32">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2.在履行本合同过程中，所有经甲乙双方签署确认的文件（包括会议纪要、补充协议、往来信函、电子邮件等）即成为本合同的有效组成部分。</w:t>
      </w:r>
    </w:p>
    <w:p w14:paraId="2322203A">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3.甲乙双方确认，以下为各方真实有效通讯地址：</w:t>
      </w:r>
    </w:p>
    <w:p w14:paraId="59233F63">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甲方：</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6C7A9D10">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地址：</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 xml:space="preserve">， </w:t>
      </w:r>
    </w:p>
    <w:p w14:paraId="5E866C67">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收件人：</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66878438">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联系电话：</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45D6BBCC">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电子邮箱：</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12F2A9A8">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乙方：</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1928BD89">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地址：</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21F886FA">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收件人：</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6D28BE52">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联系电话：</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0E5D31C0">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电子邮箱：</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w:t>
      </w:r>
    </w:p>
    <w:p w14:paraId="630788F5">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45E067D6">
      <w:pPr>
        <w:spacing w:line="600" w:lineRule="exact"/>
        <w:ind w:firstLine="420" w:firstLineChars="200"/>
        <w:rPr>
          <w:rFonts w:hint="eastAsia" w:ascii="宋体" w:hAnsi="宋体" w:eastAsia="宋体" w:cs="宋体"/>
          <w:color w:val="0D0D0D"/>
          <w:sz w:val="21"/>
          <w:szCs w:val="21"/>
        </w:rPr>
      </w:pPr>
      <w:r>
        <w:rPr>
          <w:rFonts w:hint="eastAsia" w:ascii="宋体" w:hAnsi="宋体" w:eastAsia="宋体" w:cs="宋体"/>
          <w:color w:val="0D0D0D"/>
          <w:sz w:val="21"/>
          <w:szCs w:val="21"/>
        </w:rPr>
        <w:t>4.本合同一式</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份，具有同等法律效力，政府采购监管部门、采购代理机构各一份，甲乙双方各</w:t>
      </w:r>
      <w:r>
        <w:rPr>
          <w:rFonts w:hint="eastAsia" w:ascii="宋体" w:hAnsi="宋体" w:eastAsia="宋体" w:cs="宋体"/>
          <w:color w:val="0D0D0D"/>
          <w:sz w:val="21"/>
          <w:szCs w:val="21"/>
          <w:u w:val="single"/>
        </w:rPr>
        <w:t>　　</w:t>
      </w:r>
      <w:r>
        <w:rPr>
          <w:rFonts w:hint="eastAsia" w:ascii="宋体" w:hAnsi="宋体" w:eastAsia="宋体" w:cs="宋体"/>
          <w:color w:val="0D0D0D"/>
          <w:sz w:val="21"/>
          <w:szCs w:val="21"/>
        </w:rPr>
        <w:t>份。</w:t>
      </w:r>
    </w:p>
    <w:p w14:paraId="6B114A33">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本条款不因合同的变更、解除和终止而失效。</w:t>
      </w:r>
    </w:p>
    <w:p w14:paraId="34CE5AB8">
      <w:pPr>
        <w:spacing w:line="600" w:lineRule="exact"/>
        <w:ind w:firstLine="422" w:firstLineChars="200"/>
        <w:jc w:val="left"/>
        <w:rPr>
          <w:rFonts w:hint="eastAsia" w:ascii="宋体" w:hAnsi="宋体" w:eastAsia="宋体" w:cs="宋体"/>
          <w:b/>
          <w:bCs/>
          <w:color w:val="0D0D0D"/>
          <w:sz w:val="21"/>
          <w:szCs w:val="21"/>
        </w:rPr>
      </w:pPr>
      <w:r>
        <w:rPr>
          <w:rFonts w:hint="eastAsia" w:ascii="宋体" w:hAnsi="宋体" w:eastAsia="宋体" w:cs="宋体"/>
          <w:b/>
          <w:bCs/>
          <w:color w:val="0D0D0D"/>
          <w:sz w:val="21"/>
          <w:szCs w:val="21"/>
        </w:rPr>
        <w:t>第十八条　合同附件</w:t>
      </w:r>
    </w:p>
    <w:p w14:paraId="255FA92C">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附件一：……</w:t>
      </w:r>
    </w:p>
    <w:p w14:paraId="74A16F0E">
      <w:pPr>
        <w:spacing w:line="600" w:lineRule="exact"/>
        <w:ind w:firstLine="420" w:firstLineChars="200"/>
        <w:jc w:val="left"/>
        <w:rPr>
          <w:rFonts w:hint="eastAsia" w:ascii="宋体" w:hAnsi="宋体" w:eastAsia="宋体" w:cs="宋体"/>
          <w:color w:val="0D0D0D"/>
          <w:sz w:val="21"/>
          <w:szCs w:val="21"/>
        </w:rPr>
      </w:pPr>
      <w:r>
        <w:rPr>
          <w:rFonts w:hint="eastAsia" w:ascii="宋体" w:hAnsi="宋体" w:eastAsia="宋体" w:cs="宋体"/>
          <w:color w:val="0D0D0D"/>
          <w:sz w:val="21"/>
          <w:szCs w:val="21"/>
        </w:rPr>
        <w:t>附件二：……</w:t>
      </w:r>
    </w:p>
    <w:p w14:paraId="156223E4">
      <w:pPr>
        <w:spacing w:line="6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14:paraId="184B2E48">
      <w:pPr>
        <w:spacing w:line="600" w:lineRule="exact"/>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br w:type="page"/>
      </w:r>
      <w:r>
        <w:rPr>
          <w:rFonts w:hint="eastAsia" w:ascii="宋体" w:hAnsi="宋体" w:eastAsia="宋体" w:cs="宋体"/>
          <w:b/>
          <w:bCs/>
          <w:color w:val="000000"/>
          <w:sz w:val="21"/>
          <w:szCs w:val="21"/>
        </w:rPr>
        <w:t>附件一：保密协议</w:t>
      </w:r>
    </w:p>
    <w:p w14:paraId="1ABF52E2">
      <w:pPr>
        <w:spacing w:line="600" w:lineRule="exact"/>
        <w:jc w:val="center"/>
        <w:rPr>
          <w:rFonts w:hint="eastAsia" w:ascii="宋体" w:hAnsi="宋体" w:eastAsia="宋体" w:cs="宋体"/>
          <w:bCs/>
          <w:color w:val="000000"/>
          <w:sz w:val="21"/>
          <w:szCs w:val="21"/>
        </w:rPr>
      </w:pPr>
      <w:bookmarkStart w:id="123" w:name="_Toc19167"/>
      <w:bookmarkStart w:id="124" w:name="_Toc132707357"/>
      <w:r>
        <w:rPr>
          <w:rFonts w:hint="eastAsia" w:ascii="宋体" w:hAnsi="宋体" w:eastAsia="宋体" w:cs="宋体"/>
          <w:color w:val="000000"/>
          <w:sz w:val="21"/>
          <w:szCs w:val="21"/>
        </w:rPr>
        <w:t>保密协议</w:t>
      </w:r>
      <w:bookmarkEnd w:id="123"/>
      <w:bookmarkEnd w:id="124"/>
    </w:p>
    <w:p w14:paraId="48C63D85">
      <w:pPr>
        <w:adjustRightInd w:val="0"/>
        <w:snapToGrid w:val="0"/>
        <w:spacing w:line="6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p>
    <w:p w14:paraId="52982130">
      <w:pPr>
        <w:adjustRightInd w:val="0"/>
        <w:snapToGrid w:val="0"/>
        <w:spacing w:line="6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甲方： </w:t>
      </w:r>
    </w:p>
    <w:p w14:paraId="48A52BA6">
      <w:pPr>
        <w:adjustRightInd w:val="0"/>
        <w:snapToGrid w:val="0"/>
        <w:spacing w:line="600" w:lineRule="exact"/>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负责人： </w:t>
      </w:r>
    </w:p>
    <w:p w14:paraId="1E0014EC">
      <w:pPr>
        <w:adjustRightInd w:val="0"/>
        <w:snapToGrid w:val="0"/>
        <w:spacing w:line="6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地址： </w:t>
      </w:r>
    </w:p>
    <w:p w14:paraId="1CED9D80">
      <w:pPr>
        <w:adjustRightInd w:val="0"/>
        <w:snapToGrid w:val="0"/>
        <w:spacing w:line="6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乙方： </w:t>
      </w:r>
    </w:p>
    <w:p w14:paraId="4855F3DE">
      <w:pPr>
        <w:adjustRightInd w:val="0"/>
        <w:snapToGrid w:val="0"/>
        <w:spacing w:line="6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法定代表人： </w:t>
      </w:r>
    </w:p>
    <w:p w14:paraId="581A85F0">
      <w:pPr>
        <w:adjustRightInd w:val="0"/>
        <w:snapToGrid w:val="0"/>
        <w:spacing w:line="6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地址： </w:t>
      </w:r>
    </w:p>
    <w:p w14:paraId="51D9AE6F">
      <w:pPr>
        <w:spacing w:line="6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鉴于本协议甲乙双方就双方签订的编号为</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u w:val="single"/>
          <w:lang w:val="en-US" w:eastAsia="zh-CN"/>
        </w:rPr>
        <w:t xml:space="preserve">     </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 xml:space="preserve"> </w:t>
      </w:r>
      <w:r>
        <w:rPr>
          <w:rFonts w:hint="eastAsia" w:ascii="宋体" w:hAnsi="宋体" w:eastAsia="宋体" w:cs="宋体"/>
          <w:color w:val="000000"/>
          <w:sz w:val="21"/>
          <w:szCs w:val="21"/>
        </w:rPr>
        <w:t>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”项目等开展业务/合作；在开展业务/合作的过程中，预计甲方将为上述之目的向乙方披露甲方的专有信息且此等信息均被视为保密信息；因此，双方在此达成如下保密协议：</w:t>
      </w:r>
    </w:p>
    <w:p w14:paraId="08221C82">
      <w:pPr>
        <w:pStyle w:val="109"/>
        <w:widowControl w:val="0"/>
        <w:tabs>
          <w:tab w:val="left" w:pos="709"/>
        </w:tabs>
        <w:adjustRightInd w:val="0"/>
        <w:snapToGrid w:val="0"/>
        <w:spacing w:after="0" w:line="600" w:lineRule="exact"/>
        <w:ind w:firstLine="422" w:firstLineChars="200"/>
        <w:jc w:val="both"/>
        <w:outlineLvl w:val="0"/>
        <w:rPr>
          <w:rFonts w:hint="eastAsia" w:ascii="宋体" w:hAnsi="宋体" w:eastAsia="宋体" w:cs="宋体"/>
          <w:b/>
          <w:color w:val="000000"/>
          <w:sz w:val="21"/>
          <w:szCs w:val="21"/>
          <w:lang w:eastAsia="zh-CN"/>
        </w:rPr>
      </w:pPr>
      <w:bookmarkStart w:id="125" w:name="_Toc132707358"/>
      <w:bookmarkStart w:id="126" w:name="_Toc22190"/>
      <w:bookmarkStart w:id="127" w:name="_Toc1584680693"/>
      <w:bookmarkStart w:id="128" w:name="_Toc13819"/>
      <w:r>
        <w:rPr>
          <w:rFonts w:hint="eastAsia" w:ascii="宋体" w:hAnsi="宋体" w:eastAsia="宋体" w:cs="宋体"/>
          <w:b/>
          <w:color w:val="000000"/>
          <w:sz w:val="21"/>
          <w:szCs w:val="21"/>
          <w:lang w:eastAsia="zh-CN"/>
        </w:rPr>
        <w:t>一、本协议保密信息的界定</w:t>
      </w:r>
      <w:bookmarkEnd w:id="125"/>
      <w:bookmarkEnd w:id="126"/>
      <w:bookmarkEnd w:id="127"/>
      <w:bookmarkEnd w:id="128"/>
    </w:p>
    <w:p w14:paraId="3F2D7C92">
      <w:pPr>
        <w:pStyle w:val="109"/>
        <w:widowControl w:val="0"/>
        <w:tabs>
          <w:tab w:val="left" w:pos="709"/>
        </w:tabs>
        <w:adjustRightInd w:val="0"/>
        <w:snapToGrid w:val="0"/>
        <w:spacing w:after="0" w:line="600" w:lineRule="exact"/>
        <w:ind w:firstLine="420" w:firstLineChars="200"/>
        <w:jc w:val="both"/>
        <w:outlineLvl w:val="9"/>
        <w:rPr>
          <w:rFonts w:hint="eastAsia" w:ascii="宋体" w:hAnsi="宋体" w:eastAsia="宋体" w:cs="宋体"/>
          <w:color w:val="000000"/>
          <w:kern w:val="2"/>
          <w:sz w:val="21"/>
          <w:szCs w:val="21"/>
          <w:lang w:eastAsia="zh-CN"/>
        </w:rPr>
      </w:pPr>
      <w:bookmarkStart w:id="129" w:name="_Toc8357"/>
      <w:bookmarkStart w:id="130" w:name="_Toc1710318546"/>
      <w:bookmarkStart w:id="131" w:name="_Toc132707359"/>
      <w:r>
        <w:rPr>
          <w:rFonts w:hint="eastAsia" w:ascii="宋体" w:hAnsi="宋体" w:eastAsia="宋体" w:cs="宋体"/>
          <w:color w:val="000000"/>
          <w:sz w:val="21"/>
          <w:szCs w:val="21"/>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000000"/>
          <w:kern w:val="2"/>
          <w:sz w:val="21"/>
          <w:szCs w:val="21"/>
          <w:lang w:eastAsia="zh-CN"/>
        </w:rPr>
        <w:t>本协议所指保密信息包括但不限于以下内容：</w:t>
      </w:r>
      <w:bookmarkEnd w:id="129"/>
      <w:bookmarkEnd w:id="130"/>
      <w:bookmarkEnd w:id="131"/>
    </w:p>
    <w:p w14:paraId="59E37293">
      <w:pPr>
        <w:pStyle w:val="109"/>
        <w:widowControl w:val="0"/>
        <w:tabs>
          <w:tab w:val="left" w:pos="709"/>
        </w:tabs>
        <w:adjustRightInd w:val="0"/>
        <w:snapToGrid w:val="0"/>
        <w:spacing w:after="0" w:line="600" w:lineRule="exact"/>
        <w:ind w:firstLine="422" w:firstLineChars="200"/>
        <w:jc w:val="both"/>
        <w:outlineLvl w:val="9"/>
        <w:rPr>
          <w:rFonts w:hint="eastAsia" w:ascii="宋体" w:hAnsi="宋体" w:eastAsia="宋体" w:cs="宋体"/>
          <w:color w:val="000000"/>
          <w:kern w:val="2"/>
          <w:sz w:val="21"/>
          <w:szCs w:val="21"/>
          <w:lang w:eastAsia="zh-CN"/>
        </w:rPr>
      </w:pPr>
      <w:bookmarkStart w:id="132" w:name="_Toc13086"/>
      <w:bookmarkStart w:id="133" w:name="_Toc132707360"/>
      <w:bookmarkStart w:id="134" w:name="_Toc1676583173"/>
      <w:r>
        <w:rPr>
          <w:rFonts w:hint="eastAsia" w:ascii="宋体" w:hAnsi="宋体" w:eastAsia="宋体" w:cs="宋体"/>
          <w:b/>
          <w:bCs/>
          <w:color w:val="000000"/>
          <w:kern w:val="2"/>
          <w:sz w:val="21"/>
          <w:szCs w:val="21"/>
          <w:lang w:eastAsia="zh-CN"/>
        </w:rPr>
        <w:t>技术信息</w:t>
      </w:r>
      <w:r>
        <w:rPr>
          <w:rFonts w:hint="eastAsia" w:ascii="宋体" w:hAnsi="宋体" w:eastAsia="宋体" w:cs="宋体"/>
          <w:color w:val="000000"/>
          <w:kern w:val="2"/>
          <w:sz w:val="21"/>
          <w:szCs w:val="21"/>
          <w:lang w:eastAsia="zh-CN"/>
        </w:rPr>
        <w:t>：包括甲方专有的技术方案、网络组织、系统及应用软件、数据库、未公开的具有国内先进水平以上的科技成果、技术文档、商务合同、招标方案、评标结果、涉及商业秘密的业务函电等。</w:t>
      </w:r>
      <w:bookmarkEnd w:id="132"/>
      <w:bookmarkEnd w:id="133"/>
      <w:bookmarkEnd w:id="134"/>
    </w:p>
    <w:p w14:paraId="050BE169">
      <w:pPr>
        <w:pStyle w:val="109"/>
        <w:widowControl w:val="0"/>
        <w:tabs>
          <w:tab w:val="left" w:pos="709"/>
        </w:tabs>
        <w:adjustRightInd w:val="0"/>
        <w:snapToGrid w:val="0"/>
        <w:spacing w:after="0" w:line="600" w:lineRule="exact"/>
        <w:ind w:firstLine="422" w:firstLineChars="200"/>
        <w:jc w:val="both"/>
        <w:outlineLvl w:val="9"/>
        <w:rPr>
          <w:rFonts w:hint="eastAsia" w:ascii="宋体" w:hAnsi="宋体" w:eastAsia="宋体" w:cs="宋体"/>
          <w:color w:val="000000"/>
          <w:kern w:val="2"/>
          <w:sz w:val="21"/>
          <w:szCs w:val="21"/>
          <w:lang w:eastAsia="zh-CN"/>
        </w:rPr>
      </w:pPr>
      <w:bookmarkStart w:id="135" w:name="_Toc1177140318"/>
      <w:bookmarkStart w:id="136" w:name="_Toc132707361"/>
      <w:bookmarkStart w:id="137" w:name="_Toc17544"/>
      <w:r>
        <w:rPr>
          <w:rFonts w:hint="eastAsia" w:ascii="宋体" w:hAnsi="宋体" w:eastAsia="宋体" w:cs="宋体"/>
          <w:b/>
          <w:bCs/>
          <w:color w:val="000000"/>
          <w:kern w:val="2"/>
          <w:sz w:val="21"/>
          <w:szCs w:val="21"/>
          <w:lang w:eastAsia="zh-CN"/>
        </w:rPr>
        <w:t>经营信息：</w:t>
      </w:r>
      <w:r>
        <w:rPr>
          <w:rFonts w:hint="eastAsia" w:ascii="宋体" w:hAnsi="宋体" w:eastAsia="宋体" w:cs="宋体"/>
          <w:color w:val="000000"/>
          <w:kern w:val="2"/>
          <w:sz w:val="21"/>
          <w:szCs w:val="21"/>
          <w:lang w:eastAsia="zh-CN"/>
        </w:rPr>
        <w:t>包括甲方发展战略规划、投资计划及年度计划；甲方策略、资料、重大活动计划及安排、暂不公开或不公开的对接单位、合作伙伴相关信息；甲方重要会议内容及记录、以及管理相关文件。</w:t>
      </w:r>
      <w:bookmarkEnd w:id="135"/>
      <w:bookmarkEnd w:id="136"/>
      <w:bookmarkEnd w:id="137"/>
    </w:p>
    <w:p w14:paraId="6CBF2436">
      <w:pPr>
        <w:pStyle w:val="109"/>
        <w:widowControl w:val="0"/>
        <w:tabs>
          <w:tab w:val="left" w:pos="709"/>
        </w:tabs>
        <w:adjustRightInd w:val="0"/>
        <w:snapToGrid w:val="0"/>
        <w:spacing w:after="0" w:line="600" w:lineRule="exact"/>
        <w:ind w:firstLine="422" w:firstLineChars="200"/>
        <w:jc w:val="both"/>
        <w:outlineLvl w:val="9"/>
        <w:rPr>
          <w:rFonts w:hint="eastAsia" w:ascii="宋体" w:hAnsi="宋体" w:eastAsia="宋体" w:cs="宋体"/>
          <w:color w:val="000000"/>
          <w:kern w:val="2"/>
          <w:sz w:val="21"/>
          <w:szCs w:val="21"/>
          <w:lang w:eastAsia="zh-CN"/>
        </w:rPr>
      </w:pPr>
      <w:bookmarkStart w:id="138" w:name="_Toc132707362"/>
      <w:bookmarkStart w:id="139" w:name="_Toc2119817172"/>
      <w:bookmarkStart w:id="140" w:name="_Toc10231"/>
      <w:r>
        <w:rPr>
          <w:rFonts w:hint="eastAsia" w:ascii="宋体" w:hAnsi="宋体" w:eastAsia="宋体" w:cs="宋体"/>
          <w:b/>
          <w:bCs/>
          <w:color w:val="000000"/>
          <w:kern w:val="2"/>
          <w:sz w:val="21"/>
          <w:szCs w:val="21"/>
          <w:lang w:eastAsia="zh-CN"/>
        </w:rPr>
        <w:t>其他：</w:t>
      </w:r>
      <w:r>
        <w:rPr>
          <w:rFonts w:hint="eastAsia" w:ascii="宋体" w:hAnsi="宋体" w:eastAsia="宋体" w:cs="宋体"/>
          <w:color w:val="000000"/>
          <w:kern w:val="2"/>
          <w:sz w:val="21"/>
          <w:szCs w:val="21"/>
          <w:lang w:eastAsia="zh-CN"/>
        </w:rPr>
        <w:t>针对</w:t>
      </w:r>
      <w:r>
        <w:rPr>
          <w:rFonts w:hint="eastAsia" w:ascii="宋体" w:hAnsi="宋体" w:eastAsia="宋体" w:cs="宋体"/>
          <w:color w:val="000000"/>
          <w:sz w:val="21"/>
          <w:szCs w:val="21"/>
          <w:lang w:eastAsia="zh-CN"/>
        </w:rPr>
        <w:t>业务/合作</w:t>
      </w:r>
      <w:r>
        <w:rPr>
          <w:rFonts w:hint="eastAsia" w:ascii="宋体" w:hAnsi="宋体" w:eastAsia="宋体" w:cs="宋体"/>
          <w:color w:val="000000"/>
          <w:kern w:val="2"/>
          <w:sz w:val="21"/>
          <w:szCs w:val="21"/>
          <w:lang w:eastAsia="zh-CN"/>
        </w:rPr>
        <w:t>需要，甲方向乙方提供的所有相关资料和数据。</w:t>
      </w:r>
      <w:bookmarkEnd w:id="138"/>
      <w:bookmarkEnd w:id="139"/>
      <w:bookmarkEnd w:id="140"/>
    </w:p>
    <w:p w14:paraId="698A3CF7">
      <w:pPr>
        <w:adjustRightInd w:val="0"/>
        <w:snapToGrid w:val="0"/>
        <w:spacing w:line="6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（二）上述保密信息的披露，包括但不限于以数据、文字、录音及记载上述内容的文档、光盘、软件、图书等有形介质体现，也可通过口头等视听方式传递。</w:t>
      </w:r>
    </w:p>
    <w:p w14:paraId="0A54559E">
      <w:pPr>
        <w:pStyle w:val="109"/>
        <w:widowControl w:val="0"/>
        <w:tabs>
          <w:tab w:val="left" w:pos="709"/>
        </w:tabs>
        <w:adjustRightInd w:val="0"/>
        <w:snapToGrid w:val="0"/>
        <w:spacing w:after="0" w:line="600" w:lineRule="exact"/>
        <w:ind w:firstLine="422" w:firstLineChars="200"/>
        <w:jc w:val="both"/>
        <w:outlineLvl w:val="0"/>
        <w:rPr>
          <w:rFonts w:hint="eastAsia" w:ascii="宋体" w:hAnsi="宋体" w:eastAsia="宋体" w:cs="宋体"/>
          <w:b/>
          <w:color w:val="000000"/>
          <w:kern w:val="2"/>
          <w:sz w:val="21"/>
          <w:szCs w:val="21"/>
          <w:lang w:eastAsia="zh-CN"/>
        </w:rPr>
      </w:pPr>
      <w:bookmarkStart w:id="141" w:name="_Toc20336"/>
      <w:bookmarkStart w:id="142" w:name="_Toc8214"/>
      <w:bookmarkStart w:id="143" w:name="_Toc1121355855"/>
      <w:bookmarkStart w:id="144" w:name="_Toc132707363"/>
      <w:r>
        <w:rPr>
          <w:rFonts w:hint="eastAsia" w:ascii="宋体" w:hAnsi="宋体" w:eastAsia="宋体" w:cs="宋体"/>
          <w:b/>
          <w:color w:val="000000"/>
          <w:kern w:val="2"/>
          <w:sz w:val="21"/>
          <w:szCs w:val="21"/>
          <w:lang w:eastAsia="zh-CN"/>
        </w:rPr>
        <w:t>二、以下信息不属于本协议所定义的保密信息，不受本协议的约束：</w:t>
      </w:r>
      <w:bookmarkEnd w:id="141"/>
      <w:bookmarkEnd w:id="142"/>
      <w:bookmarkEnd w:id="143"/>
      <w:bookmarkEnd w:id="144"/>
    </w:p>
    <w:p w14:paraId="3756935A">
      <w:pPr>
        <w:pStyle w:val="109"/>
        <w:tabs>
          <w:tab w:val="left" w:pos="709"/>
        </w:tabs>
        <w:adjustRightInd w:val="0"/>
        <w:snapToGrid w:val="0"/>
        <w:spacing w:after="0" w:line="600" w:lineRule="exact"/>
        <w:ind w:firstLine="420" w:firstLineChars="200"/>
        <w:jc w:val="both"/>
        <w:outlineLvl w:val="9"/>
        <w:rPr>
          <w:rFonts w:hint="eastAsia" w:ascii="宋体" w:hAnsi="宋体" w:eastAsia="宋体" w:cs="宋体"/>
          <w:color w:val="000000"/>
          <w:kern w:val="2"/>
          <w:sz w:val="21"/>
          <w:szCs w:val="21"/>
          <w:lang w:eastAsia="zh-CN"/>
        </w:rPr>
      </w:pPr>
      <w:bookmarkStart w:id="145" w:name="_Toc132707364"/>
      <w:bookmarkStart w:id="146" w:name="_Toc1638646153"/>
      <w:bookmarkStart w:id="147" w:name="_Toc21538"/>
      <w:r>
        <w:rPr>
          <w:rFonts w:hint="eastAsia" w:ascii="宋体" w:hAnsi="宋体" w:eastAsia="宋体" w:cs="宋体"/>
          <w:color w:val="000000"/>
          <w:kern w:val="2"/>
          <w:sz w:val="21"/>
          <w:szCs w:val="21"/>
          <w:lang w:eastAsia="zh-CN"/>
        </w:rPr>
        <w:t>（一）乙方能够证明已处于公开状态或并不违反本协议即可获得的任何信息；</w:t>
      </w:r>
      <w:bookmarkEnd w:id="145"/>
      <w:bookmarkEnd w:id="146"/>
      <w:bookmarkEnd w:id="147"/>
    </w:p>
    <w:p w14:paraId="50377521">
      <w:pPr>
        <w:pStyle w:val="109"/>
        <w:tabs>
          <w:tab w:val="left" w:pos="709"/>
        </w:tabs>
        <w:adjustRightInd w:val="0"/>
        <w:snapToGrid w:val="0"/>
        <w:spacing w:after="0" w:line="600" w:lineRule="exact"/>
        <w:ind w:firstLine="420" w:firstLineChars="200"/>
        <w:jc w:val="both"/>
        <w:outlineLvl w:val="9"/>
        <w:rPr>
          <w:rFonts w:hint="eastAsia" w:ascii="宋体" w:hAnsi="宋体" w:eastAsia="宋体" w:cs="宋体"/>
          <w:color w:val="000000"/>
          <w:sz w:val="21"/>
          <w:szCs w:val="21"/>
          <w:lang w:eastAsia="zh-CN"/>
        </w:rPr>
      </w:pPr>
      <w:bookmarkStart w:id="148" w:name="_Toc132707365"/>
      <w:bookmarkStart w:id="149" w:name="_Toc6067"/>
      <w:bookmarkStart w:id="150" w:name="_Toc1676986016"/>
      <w:r>
        <w:rPr>
          <w:rFonts w:hint="eastAsia" w:ascii="宋体" w:hAnsi="宋体" w:eastAsia="宋体" w:cs="宋体"/>
          <w:color w:val="000000"/>
          <w:sz w:val="21"/>
          <w:szCs w:val="21"/>
          <w:lang w:eastAsia="zh-CN"/>
        </w:rPr>
        <w:t>（二）书面记录能够证明从甲方收到前乙方已经掌握的信息；</w:t>
      </w:r>
      <w:bookmarkEnd w:id="148"/>
      <w:bookmarkEnd w:id="149"/>
      <w:bookmarkEnd w:id="150"/>
    </w:p>
    <w:p w14:paraId="243F3597">
      <w:pPr>
        <w:pStyle w:val="109"/>
        <w:tabs>
          <w:tab w:val="left" w:pos="709"/>
        </w:tabs>
        <w:adjustRightInd w:val="0"/>
        <w:snapToGrid w:val="0"/>
        <w:spacing w:after="0" w:line="600" w:lineRule="exact"/>
        <w:ind w:firstLine="420" w:firstLineChars="200"/>
        <w:jc w:val="both"/>
        <w:outlineLvl w:val="9"/>
        <w:rPr>
          <w:rFonts w:hint="eastAsia" w:ascii="宋体" w:hAnsi="宋体" w:eastAsia="宋体" w:cs="宋体"/>
          <w:color w:val="000000"/>
          <w:kern w:val="2"/>
          <w:sz w:val="21"/>
          <w:szCs w:val="21"/>
          <w:lang w:eastAsia="zh-CN"/>
        </w:rPr>
      </w:pPr>
      <w:bookmarkStart w:id="151" w:name="_Toc1259475693"/>
      <w:bookmarkStart w:id="152" w:name="_Toc132707366"/>
      <w:bookmarkStart w:id="153" w:name="_Toc20237"/>
      <w:r>
        <w:rPr>
          <w:rFonts w:hint="eastAsia" w:ascii="宋体" w:hAnsi="宋体" w:eastAsia="宋体" w:cs="宋体"/>
          <w:color w:val="000000"/>
          <w:kern w:val="2"/>
          <w:sz w:val="21"/>
          <w:szCs w:val="21"/>
          <w:lang w:eastAsia="zh-CN"/>
        </w:rPr>
        <w:t>（三）经甲方书面同意披露或许可使用的信息。</w:t>
      </w:r>
      <w:bookmarkEnd w:id="151"/>
      <w:bookmarkEnd w:id="152"/>
      <w:bookmarkEnd w:id="153"/>
    </w:p>
    <w:p w14:paraId="27CC5672">
      <w:pPr>
        <w:pStyle w:val="109"/>
        <w:widowControl w:val="0"/>
        <w:tabs>
          <w:tab w:val="left" w:pos="709"/>
        </w:tabs>
        <w:adjustRightInd w:val="0"/>
        <w:snapToGrid w:val="0"/>
        <w:spacing w:after="0" w:line="600" w:lineRule="exact"/>
        <w:ind w:firstLine="422" w:firstLineChars="200"/>
        <w:jc w:val="both"/>
        <w:outlineLvl w:val="0"/>
        <w:rPr>
          <w:rFonts w:hint="eastAsia" w:ascii="宋体" w:hAnsi="宋体" w:eastAsia="宋体" w:cs="宋体"/>
          <w:b/>
          <w:color w:val="000000"/>
          <w:kern w:val="2"/>
          <w:sz w:val="21"/>
          <w:szCs w:val="21"/>
          <w:lang w:eastAsia="zh-CN"/>
        </w:rPr>
      </w:pPr>
      <w:bookmarkStart w:id="154" w:name="_Toc1364483399"/>
      <w:bookmarkStart w:id="155" w:name="_Toc9601"/>
      <w:bookmarkStart w:id="156" w:name="_Toc132707367"/>
      <w:bookmarkStart w:id="157" w:name="_Toc32588"/>
      <w:r>
        <w:rPr>
          <w:rFonts w:hint="eastAsia" w:ascii="宋体" w:hAnsi="宋体" w:eastAsia="宋体" w:cs="宋体"/>
          <w:b/>
          <w:color w:val="000000"/>
          <w:kern w:val="2"/>
          <w:sz w:val="21"/>
          <w:szCs w:val="21"/>
          <w:lang w:eastAsia="zh-CN"/>
        </w:rPr>
        <w:t>三、保密义务及具体要求</w:t>
      </w:r>
      <w:bookmarkEnd w:id="154"/>
      <w:bookmarkEnd w:id="155"/>
      <w:bookmarkEnd w:id="156"/>
      <w:bookmarkEnd w:id="157"/>
    </w:p>
    <w:p w14:paraId="5928ED75">
      <w:pPr>
        <w:pStyle w:val="109"/>
        <w:tabs>
          <w:tab w:val="left" w:pos="709"/>
        </w:tabs>
        <w:adjustRightInd w:val="0"/>
        <w:snapToGrid w:val="0"/>
        <w:spacing w:after="0" w:line="600" w:lineRule="exact"/>
        <w:ind w:firstLine="420" w:firstLineChars="200"/>
        <w:jc w:val="both"/>
        <w:outlineLvl w:val="9"/>
        <w:rPr>
          <w:rFonts w:hint="eastAsia" w:ascii="宋体" w:hAnsi="宋体" w:eastAsia="宋体" w:cs="宋体"/>
          <w:color w:val="000000"/>
          <w:kern w:val="2"/>
          <w:sz w:val="21"/>
          <w:szCs w:val="21"/>
          <w:lang w:eastAsia="zh-CN"/>
        </w:rPr>
      </w:pPr>
      <w:bookmarkStart w:id="158" w:name="_Toc1861507462"/>
      <w:bookmarkStart w:id="159" w:name="_Toc132707368"/>
      <w:bookmarkStart w:id="160" w:name="_Toc5726"/>
      <w:r>
        <w:rPr>
          <w:rFonts w:hint="eastAsia" w:ascii="宋体" w:hAnsi="宋体" w:eastAsia="宋体" w:cs="宋体"/>
          <w:color w:val="000000"/>
          <w:kern w:val="2"/>
          <w:sz w:val="21"/>
          <w:szCs w:val="21"/>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158"/>
      <w:bookmarkEnd w:id="159"/>
      <w:bookmarkEnd w:id="160"/>
    </w:p>
    <w:p w14:paraId="0B8EB20C">
      <w:pPr>
        <w:pStyle w:val="109"/>
        <w:tabs>
          <w:tab w:val="left" w:pos="709"/>
        </w:tabs>
        <w:adjustRightInd w:val="0"/>
        <w:snapToGrid w:val="0"/>
        <w:spacing w:after="0" w:line="600" w:lineRule="exact"/>
        <w:ind w:firstLine="420" w:firstLineChars="200"/>
        <w:jc w:val="both"/>
        <w:outlineLvl w:val="9"/>
        <w:rPr>
          <w:rFonts w:hint="eastAsia" w:ascii="宋体" w:hAnsi="宋体" w:eastAsia="宋体" w:cs="宋体"/>
          <w:color w:val="000000"/>
          <w:kern w:val="2"/>
          <w:sz w:val="21"/>
          <w:szCs w:val="21"/>
          <w:lang w:eastAsia="zh-CN"/>
        </w:rPr>
      </w:pPr>
      <w:bookmarkStart w:id="161" w:name="_Toc132707369"/>
      <w:bookmarkStart w:id="162" w:name="_Toc32822840"/>
      <w:bookmarkStart w:id="163" w:name="_Toc6568"/>
      <w:r>
        <w:rPr>
          <w:rFonts w:hint="eastAsia" w:ascii="宋体" w:hAnsi="宋体" w:eastAsia="宋体" w:cs="宋体"/>
          <w:color w:val="000000"/>
          <w:kern w:val="2"/>
          <w:sz w:val="21"/>
          <w:szCs w:val="21"/>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161"/>
      <w:bookmarkEnd w:id="162"/>
      <w:bookmarkEnd w:id="163"/>
    </w:p>
    <w:p w14:paraId="6C429F9E">
      <w:pPr>
        <w:pStyle w:val="109"/>
        <w:tabs>
          <w:tab w:val="left" w:pos="709"/>
        </w:tabs>
        <w:adjustRightInd w:val="0"/>
        <w:snapToGrid w:val="0"/>
        <w:spacing w:after="0" w:line="600" w:lineRule="exact"/>
        <w:ind w:firstLine="420" w:firstLineChars="200"/>
        <w:jc w:val="both"/>
        <w:outlineLvl w:val="9"/>
        <w:rPr>
          <w:rFonts w:hint="eastAsia" w:ascii="宋体" w:hAnsi="宋体" w:eastAsia="宋体" w:cs="宋体"/>
          <w:color w:val="000000"/>
          <w:kern w:val="2"/>
          <w:sz w:val="21"/>
          <w:szCs w:val="21"/>
          <w:lang w:eastAsia="zh-CN"/>
        </w:rPr>
      </w:pPr>
      <w:bookmarkStart w:id="164" w:name="_Toc13939"/>
      <w:bookmarkStart w:id="165" w:name="_Toc132707370"/>
      <w:bookmarkStart w:id="166" w:name="_Toc1692559735"/>
      <w:r>
        <w:rPr>
          <w:rFonts w:hint="eastAsia" w:ascii="宋体" w:hAnsi="宋体" w:eastAsia="宋体" w:cs="宋体"/>
          <w:color w:val="000000"/>
          <w:kern w:val="2"/>
          <w:sz w:val="21"/>
          <w:szCs w:val="21"/>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164"/>
      <w:bookmarkEnd w:id="165"/>
      <w:bookmarkEnd w:id="166"/>
    </w:p>
    <w:p w14:paraId="56A0E574">
      <w:pPr>
        <w:pStyle w:val="109"/>
        <w:tabs>
          <w:tab w:val="left" w:pos="709"/>
        </w:tabs>
        <w:adjustRightInd w:val="0"/>
        <w:snapToGrid w:val="0"/>
        <w:spacing w:after="0" w:line="600" w:lineRule="exact"/>
        <w:ind w:firstLine="420" w:firstLineChars="200"/>
        <w:jc w:val="both"/>
        <w:outlineLvl w:val="9"/>
        <w:rPr>
          <w:rFonts w:hint="eastAsia" w:ascii="宋体" w:hAnsi="宋体" w:eastAsia="宋体" w:cs="宋体"/>
          <w:color w:val="000000"/>
          <w:kern w:val="2"/>
          <w:sz w:val="21"/>
          <w:szCs w:val="21"/>
          <w:lang w:eastAsia="zh-CN"/>
        </w:rPr>
      </w:pPr>
      <w:bookmarkStart w:id="167" w:name="_Toc915692807"/>
      <w:bookmarkStart w:id="168" w:name="_Toc132707371"/>
      <w:bookmarkStart w:id="169" w:name="_Toc11143"/>
      <w:r>
        <w:rPr>
          <w:rFonts w:hint="eastAsia" w:ascii="宋体" w:hAnsi="宋体" w:eastAsia="宋体" w:cs="宋体"/>
          <w:color w:val="000000"/>
          <w:kern w:val="2"/>
          <w:sz w:val="21"/>
          <w:szCs w:val="21"/>
          <w:lang w:eastAsia="zh-CN"/>
        </w:rPr>
        <w:t>（四）甲方的保密信息的部分或个别要素虽被披露成为公知信息，但该信息的其它部分或整体尚未成为公知信息的，乙方仍应按本协议约定对未公开部分的信息履行保密义务；</w:t>
      </w:r>
      <w:bookmarkEnd w:id="167"/>
      <w:bookmarkEnd w:id="168"/>
      <w:bookmarkEnd w:id="169"/>
    </w:p>
    <w:p w14:paraId="704F8765">
      <w:pPr>
        <w:pStyle w:val="109"/>
        <w:tabs>
          <w:tab w:val="left" w:pos="709"/>
        </w:tabs>
        <w:adjustRightInd w:val="0"/>
        <w:snapToGrid w:val="0"/>
        <w:spacing w:after="0" w:line="600" w:lineRule="exact"/>
        <w:ind w:firstLine="420" w:firstLineChars="200"/>
        <w:jc w:val="both"/>
        <w:outlineLvl w:val="9"/>
        <w:rPr>
          <w:rFonts w:hint="eastAsia" w:ascii="宋体" w:hAnsi="宋体" w:eastAsia="宋体" w:cs="宋体"/>
          <w:color w:val="000000"/>
          <w:kern w:val="2"/>
          <w:sz w:val="21"/>
          <w:szCs w:val="21"/>
          <w:lang w:eastAsia="zh-CN"/>
        </w:rPr>
      </w:pPr>
      <w:bookmarkStart w:id="170" w:name="_Toc1707662881"/>
      <w:bookmarkStart w:id="171" w:name="_Toc27551"/>
      <w:bookmarkStart w:id="172" w:name="_Toc132707372"/>
      <w:r>
        <w:rPr>
          <w:rFonts w:hint="eastAsia" w:ascii="宋体" w:hAnsi="宋体" w:eastAsia="宋体" w:cs="宋体"/>
          <w:color w:val="000000"/>
          <w:kern w:val="2"/>
          <w:sz w:val="21"/>
          <w:szCs w:val="21"/>
          <w:lang w:eastAsia="zh-CN"/>
        </w:rPr>
        <w:t>（五）对于本协议签署前、签署过程及履行等过程中，乙方所接触到的甲方及甲方关联单位的保密信息，乙方应依据本协议约定履行保密义务。</w:t>
      </w:r>
      <w:bookmarkEnd w:id="170"/>
      <w:bookmarkEnd w:id="171"/>
      <w:bookmarkEnd w:id="172"/>
    </w:p>
    <w:p w14:paraId="51BC336D">
      <w:pPr>
        <w:pStyle w:val="109"/>
        <w:tabs>
          <w:tab w:val="left" w:pos="709"/>
        </w:tabs>
        <w:adjustRightInd w:val="0"/>
        <w:snapToGrid w:val="0"/>
        <w:spacing w:after="0" w:line="600" w:lineRule="exact"/>
        <w:ind w:firstLine="420" w:firstLineChars="200"/>
        <w:jc w:val="both"/>
        <w:outlineLvl w:val="9"/>
        <w:rPr>
          <w:rFonts w:hint="eastAsia" w:ascii="宋体" w:hAnsi="宋体" w:eastAsia="宋体" w:cs="宋体"/>
          <w:color w:val="000000"/>
          <w:kern w:val="2"/>
          <w:sz w:val="21"/>
          <w:szCs w:val="21"/>
          <w:lang w:eastAsia="zh-CN"/>
        </w:rPr>
      </w:pPr>
      <w:bookmarkStart w:id="173" w:name="_Toc132707373"/>
      <w:bookmarkStart w:id="174" w:name="_Toc2129"/>
      <w:bookmarkStart w:id="175" w:name="_Toc1925938929"/>
      <w:r>
        <w:rPr>
          <w:rFonts w:hint="eastAsia" w:ascii="宋体" w:hAnsi="宋体" w:eastAsia="宋体" w:cs="宋体"/>
          <w:bCs/>
          <w:color w:val="000000"/>
          <w:kern w:val="2"/>
          <w:sz w:val="21"/>
          <w:szCs w:val="21"/>
          <w:lang w:eastAsia="zh-CN"/>
        </w:rPr>
        <w:t>（六）</w:t>
      </w:r>
      <w:r>
        <w:rPr>
          <w:rFonts w:hint="eastAsia" w:ascii="宋体" w:hAnsi="宋体" w:eastAsia="宋体" w:cs="宋体"/>
          <w:color w:val="000000"/>
          <w:kern w:val="2"/>
          <w:sz w:val="21"/>
          <w:szCs w:val="21"/>
          <w:lang w:eastAsia="zh-CN"/>
        </w:rPr>
        <w:t>甲方如发现乙方存在涉及保密信息保护措施缺失、数据滥用、严重泄露等问题，甲方有权按照本协议相关条款进行处理，并且对于已产生的实际损失和不良影响，由乙方全责承担。</w:t>
      </w:r>
      <w:bookmarkEnd w:id="173"/>
      <w:bookmarkEnd w:id="174"/>
      <w:bookmarkEnd w:id="175"/>
    </w:p>
    <w:p w14:paraId="225E2A49">
      <w:pPr>
        <w:pStyle w:val="109"/>
        <w:widowControl w:val="0"/>
        <w:tabs>
          <w:tab w:val="left" w:pos="709"/>
        </w:tabs>
        <w:adjustRightInd w:val="0"/>
        <w:snapToGrid w:val="0"/>
        <w:spacing w:after="0" w:line="600" w:lineRule="exact"/>
        <w:ind w:firstLine="426" w:firstLineChars="202"/>
        <w:jc w:val="both"/>
        <w:outlineLvl w:val="0"/>
        <w:rPr>
          <w:rFonts w:hint="eastAsia" w:ascii="宋体" w:hAnsi="宋体" w:eastAsia="宋体" w:cs="宋体"/>
          <w:b/>
          <w:color w:val="000000"/>
          <w:kern w:val="2"/>
          <w:sz w:val="21"/>
          <w:szCs w:val="21"/>
          <w:lang w:eastAsia="zh-CN"/>
        </w:rPr>
      </w:pPr>
      <w:bookmarkStart w:id="176" w:name="_Toc17010"/>
      <w:bookmarkStart w:id="177" w:name="_Toc10877"/>
      <w:bookmarkStart w:id="178" w:name="_Toc132707374"/>
      <w:bookmarkStart w:id="179" w:name="_Toc1127185982"/>
      <w:r>
        <w:rPr>
          <w:rFonts w:hint="eastAsia" w:ascii="宋体" w:hAnsi="宋体" w:eastAsia="宋体" w:cs="宋体"/>
          <w:b/>
          <w:color w:val="000000"/>
          <w:kern w:val="2"/>
          <w:sz w:val="21"/>
          <w:szCs w:val="21"/>
          <w:lang w:eastAsia="zh-CN"/>
        </w:rPr>
        <w:t>四、保密期限</w:t>
      </w:r>
      <w:bookmarkEnd w:id="176"/>
      <w:bookmarkEnd w:id="177"/>
      <w:bookmarkEnd w:id="178"/>
      <w:bookmarkEnd w:id="179"/>
    </w:p>
    <w:p w14:paraId="65D5F161">
      <w:pPr>
        <w:pStyle w:val="109"/>
        <w:tabs>
          <w:tab w:val="left" w:pos="0"/>
        </w:tabs>
        <w:adjustRightInd w:val="0"/>
        <w:snapToGrid w:val="0"/>
        <w:spacing w:after="0" w:line="600" w:lineRule="exact"/>
        <w:ind w:firstLine="420" w:firstLineChars="200"/>
        <w:jc w:val="both"/>
        <w:outlineLvl w:val="9"/>
        <w:rPr>
          <w:rFonts w:hint="eastAsia" w:ascii="宋体" w:hAnsi="宋体" w:eastAsia="宋体" w:cs="宋体"/>
          <w:color w:val="000000"/>
          <w:kern w:val="2"/>
          <w:sz w:val="21"/>
          <w:szCs w:val="21"/>
          <w:lang w:eastAsia="zh-CN"/>
        </w:rPr>
      </w:pPr>
      <w:bookmarkStart w:id="180" w:name="_Toc132707375"/>
      <w:bookmarkStart w:id="181" w:name="_Toc28068"/>
      <w:bookmarkStart w:id="182" w:name="_Toc1266928463"/>
      <w:r>
        <w:rPr>
          <w:rFonts w:hint="eastAsia" w:ascii="宋体" w:hAnsi="宋体" w:eastAsia="宋体" w:cs="宋体"/>
          <w:color w:val="000000"/>
          <w:kern w:val="2"/>
          <w:sz w:val="21"/>
          <w:szCs w:val="21"/>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180"/>
      <w:bookmarkEnd w:id="181"/>
      <w:bookmarkEnd w:id="182"/>
    </w:p>
    <w:p w14:paraId="4FBCCBAB">
      <w:pPr>
        <w:pStyle w:val="109"/>
        <w:tabs>
          <w:tab w:val="left" w:pos="709"/>
        </w:tabs>
        <w:adjustRightInd w:val="0"/>
        <w:snapToGrid w:val="0"/>
        <w:spacing w:after="0" w:line="600" w:lineRule="exact"/>
        <w:ind w:firstLine="420" w:firstLineChars="200"/>
        <w:jc w:val="both"/>
        <w:outlineLvl w:val="9"/>
        <w:rPr>
          <w:rFonts w:hint="eastAsia" w:ascii="宋体" w:hAnsi="宋体" w:eastAsia="宋体" w:cs="宋体"/>
          <w:color w:val="000000"/>
          <w:kern w:val="2"/>
          <w:sz w:val="21"/>
          <w:szCs w:val="21"/>
          <w:lang w:eastAsia="zh-CN"/>
        </w:rPr>
      </w:pPr>
      <w:bookmarkStart w:id="183" w:name="_Toc132707376"/>
      <w:bookmarkStart w:id="184" w:name="_Toc914130467"/>
      <w:bookmarkStart w:id="185" w:name="_Toc12255"/>
      <w:r>
        <w:rPr>
          <w:rFonts w:hint="eastAsia" w:ascii="宋体" w:hAnsi="宋体" w:eastAsia="宋体" w:cs="宋体"/>
          <w:color w:val="000000"/>
          <w:kern w:val="2"/>
          <w:sz w:val="21"/>
          <w:szCs w:val="21"/>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183"/>
      <w:bookmarkEnd w:id="184"/>
      <w:bookmarkEnd w:id="185"/>
    </w:p>
    <w:p w14:paraId="13C06477">
      <w:pPr>
        <w:pStyle w:val="109"/>
        <w:widowControl w:val="0"/>
        <w:tabs>
          <w:tab w:val="left" w:pos="709"/>
        </w:tabs>
        <w:adjustRightInd w:val="0"/>
        <w:snapToGrid w:val="0"/>
        <w:spacing w:after="0" w:line="600" w:lineRule="exact"/>
        <w:ind w:firstLine="422" w:firstLineChars="200"/>
        <w:jc w:val="both"/>
        <w:outlineLvl w:val="0"/>
        <w:rPr>
          <w:rFonts w:hint="eastAsia" w:ascii="宋体" w:hAnsi="宋体" w:eastAsia="宋体" w:cs="宋体"/>
          <w:b/>
          <w:color w:val="000000"/>
          <w:kern w:val="2"/>
          <w:sz w:val="21"/>
          <w:szCs w:val="21"/>
          <w:lang w:eastAsia="zh-CN"/>
        </w:rPr>
      </w:pPr>
      <w:bookmarkStart w:id="186" w:name="_Toc512442950"/>
      <w:bookmarkStart w:id="187" w:name="_Toc132707377"/>
      <w:bookmarkStart w:id="188" w:name="_Toc15076"/>
      <w:bookmarkStart w:id="189" w:name="_Toc27660"/>
      <w:r>
        <w:rPr>
          <w:rFonts w:hint="eastAsia" w:ascii="宋体" w:hAnsi="宋体" w:eastAsia="宋体" w:cs="宋体"/>
          <w:b/>
          <w:color w:val="000000"/>
          <w:kern w:val="2"/>
          <w:sz w:val="21"/>
          <w:szCs w:val="21"/>
          <w:lang w:eastAsia="zh-CN"/>
        </w:rPr>
        <w:t>五、违约责任</w:t>
      </w:r>
      <w:bookmarkEnd w:id="186"/>
      <w:bookmarkEnd w:id="187"/>
      <w:bookmarkEnd w:id="188"/>
      <w:bookmarkEnd w:id="189"/>
    </w:p>
    <w:p w14:paraId="2F83D77D">
      <w:pPr>
        <w:widowControl/>
        <w:adjustRightInd w:val="0"/>
        <w:snapToGrid w:val="0"/>
        <w:spacing w:line="600" w:lineRule="exact"/>
        <w:ind w:firstLine="424" w:firstLineChars="202"/>
        <w:rPr>
          <w:rFonts w:hint="eastAsia" w:ascii="宋体" w:hAnsi="宋体" w:eastAsia="宋体" w:cs="宋体"/>
          <w:color w:val="000000"/>
          <w:sz w:val="21"/>
          <w:szCs w:val="21"/>
        </w:rPr>
      </w:pPr>
      <w:r>
        <w:rPr>
          <w:rFonts w:hint="eastAsia" w:ascii="宋体" w:hAnsi="宋体" w:eastAsia="宋体" w:cs="宋体"/>
          <w:color w:val="000000"/>
          <w:sz w:val="21"/>
          <w:szCs w:val="21"/>
        </w:rPr>
        <w:t>（一）如乙方有违反本协议的情形，无论故意与过失，应当立即停止侵害，并在第一时间采取一切必要措施防止保密信息的扩散，尽最大可能消除影响；</w:t>
      </w:r>
    </w:p>
    <w:p w14:paraId="79F4DCC5">
      <w:pPr>
        <w:widowControl/>
        <w:adjustRightInd w:val="0"/>
        <w:snapToGrid w:val="0"/>
        <w:spacing w:line="600" w:lineRule="exact"/>
        <w:ind w:firstLine="424" w:firstLineChars="202"/>
        <w:rPr>
          <w:rFonts w:hint="eastAsia" w:ascii="宋体" w:hAnsi="宋体" w:eastAsia="宋体" w:cs="宋体"/>
          <w:color w:val="000000"/>
          <w:sz w:val="21"/>
          <w:szCs w:val="21"/>
        </w:rPr>
      </w:pPr>
      <w:r>
        <w:rPr>
          <w:rFonts w:hint="eastAsia" w:ascii="宋体" w:hAnsi="宋体" w:eastAsia="宋体" w:cs="宋体"/>
          <w:color w:val="000000"/>
          <w:sz w:val="21"/>
          <w:szCs w:val="21"/>
        </w:rPr>
        <w:t>（二）乙方未履行或未完全履行本协议项下的条款均构成违约，乙方应赔偿因此而给甲方造成的一切损失，包括但不限于甲方因调查违约行为、仲裁、诉讼、聘请律师、保全等而支付的合理费用和开支。</w:t>
      </w:r>
    </w:p>
    <w:p w14:paraId="2C445977">
      <w:pPr>
        <w:adjustRightInd w:val="0"/>
        <w:snapToGrid w:val="0"/>
        <w:spacing w:line="600" w:lineRule="exact"/>
        <w:ind w:firstLine="422" w:firstLineChars="200"/>
        <w:outlineLvl w:val="0"/>
        <w:rPr>
          <w:rFonts w:hint="eastAsia" w:ascii="宋体" w:hAnsi="宋体" w:eastAsia="宋体" w:cs="宋体"/>
          <w:b/>
          <w:color w:val="000000"/>
          <w:sz w:val="21"/>
          <w:szCs w:val="21"/>
        </w:rPr>
      </w:pPr>
      <w:bookmarkStart w:id="190" w:name="_Toc7597"/>
      <w:r>
        <w:rPr>
          <w:rFonts w:hint="eastAsia" w:ascii="宋体" w:hAnsi="宋体" w:eastAsia="宋体" w:cs="宋体"/>
          <w:b/>
          <w:color w:val="000000"/>
          <w:sz w:val="21"/>
          <w:szCs w:val="21"/>
        </w:rPr>
        <w:t>六、其他</w:t>
      </w:r>
      <w:bookmarkEnd w:id="190"/>
    </w:p>
    <w:p w14:paraId="514FE94D">
      <w:pPr>
        <w:adjustRightInd w:val="0"/>
        <w:snapToGrid w:val="0"/>
        <w:spacing w:line="6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（一）本协议适用中华人民共和国法律法规的规定，凡因本协议引起的或与本协议有关的任何争议，双方可通过协商解决。协商不成则将争议提交甲方所在地有管辖权的人民法院通过诉讼方式解决。</w:t>
      </w:r>
    </w:p>
    <w:p w14:paraId="61E13BDF">
      <w:pPr>
        <w:adjustRightInd w:val="0"/>
        <w:snapToGrid w:val="0"/>
        <w:spacing w:line="6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0629A08E">
      <w:pPr>
        <w:adjustRightInd w:val="0"/>
        <w:snapToGrid w:val="0"/>
        <w:spacing w:line="600" w:lineRule="exact"/>
        <w:ind w:firstLine="420" w:firstLineChars="200"/>
        <w:outlineLvl w:val="1"/>
        <w:rPr>
          <w:rFonts w:hint="eastAsia" w:ascii="宋体" w:hAnsi="宋体" w:eastAsia="宋体" w:cs="宋体"/>
          <w:color w:val="000000"/>
          <w:sz w:val="21"/>
          <w:szCs w:val="21"/>
        </w:rPr>
      </w:pPr>
      <w:bookmarkStart w:id="191" w:name="_Toc8998"/>
      <w:r>
        <w:rPr>
          <w:rFonts w:hint="eastAsia" w:ascii="宋体" w:hAnsi="宋体" w:eastAsia="宋体" w:cs="宋体"/>
          <w:color w:val="000000"/>
          <w:sz w:val="21"/>
          <w:szCs w:val="21"/>
        </w:rPr>
        <w:t>（三）本协议之条款非经双方签署书面文件不得加以修改、放弃。</w:t>
      </w:r>
      <w:bookmarkEnd w:id="191"/>
    </w:p>
    <w:p w14:paraId="7541D7FC">
      <w:pPr>
        <w:adjustRightInd w:val="0"/>
        <w:snapToGrid w:val="0"/>
        <w:spacing w:line="600" w:lineRule="exact"/>
        <w:ind w:firstLine="420" w:firstLineChars="200"/>
        <w:rPr>
          <w:rFonts w:hint="eastAsia" w:ascii="宋体" w:hAnsi="宋体" w:eastAsia="宋体" w:cs="宋体"/>
          <w:color w:val="000000"/>
          <w:sz w:val="21"/>
          <w:szCs w:val="21"/>
        </w:rPr>
      </w:pPr>
    </w:p>
    <w:tbl>
      <w:tblPr>
        <w:tblStyle w:val="28"/>
        <w:tblW w:w="9034" w:type="dxa"/>
        <w:tblInd w:w="122" w:type="dxa"/>
        <w:tblLayout w:type="fixed"/>
        <w:tblCellMar>
          <w:top w:w="0" w:type="dxa"/>
          <w:left w:w="108" w:type="dxa"/>
          <w:bottom w:w="0" w:type="dxa"/>
          <w:right w:w="108" w:type="dxa"/>
        </w:tblCellMar>
      </w:tblPr>
      <w:tblGrid>
        <w:gridCol w:w="4817"/>
        <w:gridCol w:w="4217"/>
      </w:tblGrid>
      <w:tr w14:paraId="65C80654">
        <w:tblPrEx>
          <w:tblCellMar>
            <w:top w:w="0" w:type="dxa"/>
            <w:left w:w="108" w:type="dxa"/>
            <w:bottom w:w="0" w:type="dxa"/>
            <w:right w:w="108" w:type="dxa"/>
          </w:tblCellMar>
        </w:tblPrEx>
        <w:trPr>
          <w:trHeight w:val="981" w:hRule="atLeast"/>
        </w:trPr>
        <w:tc>
          <w:tcPr>
            <w:tcW w:w="4817" w:type="dxa"/>
            <w:noWrap w:val="0"/>
            <w:vAlign w:val="top"/>
          </w:tcPr>
          <w:p w14:paraId="7487884E">
            <w:pPr>
              <w:pStyle w:val="17"/>
              <w:spacing w:line="600" w:lineRule="exact"/>
              <w:rPr>
                <w:rFonts w:hint="eastAsia" w:ascii="宋体" w:hAnsi="宋体" w:eastAsia="宋体" w:cs="宋体"/>
                <w:color w:val="000000"/>
                <w:sz w:val="21"/>
                <w:szCs w:val="21"/>
              </w:rPr>
            </w:pPr>
            <w:r>
              <w:rPr>
                <w:rFonts w:hint="eastAsia" w:ascii="宋体" w:hAnsi="宋体" w:eastAsia="宋体" w:cs="宋体"/>
                <w:b/>
                <w:bCs/>
                <w:color w:val="000000"/>
                <w:sz w:val="21"/>
                <w:szCs w:val="21"/>
              </w:rPr>
              <w:t xml:space="preserve">甲方： </w:t>
            </w:r>
          </w:p>
        </w:tc>
        <w:tc>
          <w:tcPr>
            <w:tcW w:w="4217" w:type="dxa"/>
            <w:noWrap w:val="0"/>
            <w:vAlign w:val="top"/>
          </w:tcPr>
          <w:p w14:paraId="2BD55318">
            <w:pPr>
              <w:pStyle w:val="17"/>
              <w:spacing w:line="600" w:lineRule="exact"/>
              <w:rPr>
                <w:rFonts w:hint="eastAsia" w:ascii="宋体" w:hAnsi="宋体" w:eastAsia="宋体" w:cs="宋体"/>
                <w:color w:val="000000"/>
                <w:sz w:val="21"/>
                <w:szCs w:val="21"/>
              </w:rPr>
            </w:pPr>
            <w:r>
              <w:rPr>
                <w:rFonts w:hint="eastAsia" w:ascii="宋体" w:hAnsi="宋体" w:eastAsia="宋体" w:cs="宋体"/>
                <w:b/>
                <w:bCs/>
                <w:color w:val="000000"/>
                <w:sz w:val="21"/>
                <w:szCs w:val="21"/>
              </w:rPr>
              <w:t>乙方：</w:t>
            </w:r>
          </w:p>
        </w:tc>
      </w:tr>
      <w:tr w14:paraId="2F4BA399">
        <w:tblPrEx>
          <w:tblCellMar>
            <w:top w:w="0" w:type="dxa"/>
            <w:left w:w="108" w:type="dxa"/>
            <w:bottom w:w="0" w:type="dxa"/>
            <w:right w:w="108" w:type="dxa"/>
          </w:tblCellMar>
        </w:tblPrEx>
        <w:trPr>
          <w:trHeight w:val="1050" w:hRule="atLeast"/>
        </w:trPr>
        <w:tc>
          <w:tcPr>
            <w:tcW w:w="4817" w:type="dxa"/>
            <w:noWrap w:val="0"/>
            <w:vAlign w:val="top"/>
          </w:tcPr>
          <w:p w14:paraId="41256C7F">
            <w:pPr>
              <w:pStyle w:val="17"/>
              <w:spacing w:line="60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法定代表人（负责人）： </w:t>
            </w:r>
          </w:p>
          <w:p w14:paraId="437BE154">
            <w:pPr>
              <w:pStyle w:val="17"/>
              <w:spacing w:line="600" w:lineRule="exact"/>
              <w:rPr>
                <w:rFonts w:hint="eastAsia" w:ascii="宋体" w:hAnsi="宋体" w:eastAsia="宋体" w:cs="宋体"/>
                <w:b/>
                <w:bCs/>
                <w:color w:val="000000"/>
                <w:sz w:val="21"/>
                <w:szCs w:val="21"/>
              </w:rPr>
            </w:pPr>
          </w:p>
        </w:tc>
        <w:tc>
          <w:tcPr>
            <w:tcW w:w="4217" w:type="dxa"/>
            <w:noWrap w:val="0"/>
            <w:vAlign w:val="top"/>
          </w:tcPr>
          <w:p w14:paraId="4D74B06D">
            <w:pPr>
              <w:pStyle w:val="17"/>
              <w:spacing w:line="60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法定代表人（负责人）：</w:t>
            </w:r>
          </w:p>
        </w:tc>
      </w:tr>
      <w:tr w14:paraId="23483302">
        <w:tblPrEx>
          <w:tblCellMar>
            <w:top w:w="0" w:type="dxa"/>
            <w:left w:w="108" w:type="dxa"/>
            <w:bottom w:w="0" w:type="dxa"/>
            <w:right w:w="108" w:type="dxa"/>
          </w:tblCellMar>
        </w:tblPrEx>
        <w:trPr>
          <w:trHeight w:val="921" w:hRule="atLeast"/>
        </w:trPr>
        <w:tc>
          <w:tcPr>
            <w:tcW w:w="4817" w:type="dxa"/>
            <w:noWrap w:val="0"/>
            <w:vAlign w:val="top"/>
          </w:tcPr>
          <w:p w14:paraId="374E9935">
            <w:pPr>
              <w:pStyle w:val="17"/>
              <w:spacing w:line="600" w:lineRule="exact"/>
              <w:rPr>
                <w:rFonts w:hint="eastAsia" w:ascii="宋体" w:hAnsi="宋体" w:eastAsia="宋体" w:cs="宋体"/>
                <w:color w:val="000000"/>
                <w:sz w:val="21"/>
                <w:szCs w:val="21"/>
              </w:rPr>
            </w:pPr>
            <w:r>
              <w:rPr>
                <w:rFonts w:hint="eastAsia" w:ascii="宋体" w:hAnsi="宋体" w:eastAsia="宋体" w:cs="宋体"/>
                <w:b/>
                <w:bCs/>
                <w:color w:val="000000"/>
                <w:sz w:val="21"/>
                <w:szCs w:val="21"/>
              </w:rPr>
              <w:t>授权代表：</w:t>
            </w:r>
          </w:p>
        </w:tc>
        <w:tc>
          <w:tcPr>
            <w:tcW w:w="4217" w:type="dxa"/>
            <w:noWrap w:val="0"/>
            <w:vAlign w:val="top"/>
          </w:tcPr>
          <w:p w14:paraId="14DD311D">
            <w:pPr>
              <w:pStyle w:val="17"/>
              <w:spacing w:line="600" w:lineRule="exact"/>
              <w:rPr>
                <w:rFonts w:hint="eastAsia" w:ascii="宋体" w:hAnsi="宋体" w:eastAsia="宋体" w:cs="宋体"/>
                <w:color w:val="000000"/>
                <w:sz w:val="21"/>
                <w:szCs w:val="21"/>
              </w:rPr>
            </w:pPr>
            <w:r>
              <w:rPr>
                <w:rFonts w:hint="eastAsia" w:ascii="宋体" w:hAnsi="宋体" w:eastAsia="宋体" w:cs="宋体"/>
                <w:b/>
                <w:bCs/>
                <w:color w:val="000000"/>
                <w:sz w:val="21"/>
                <w:szCs w:val="21"/>
              </w:rPr>
              <w:t>授权代表：</w:t>
            </w:r>
          </w:p>
        </w:tc>
      </w:tr>
      <w:tr w14:paraId="699B4890">
        <w:tblPrEx>
          <w:tblCellMar>
            <w:top w:w="0" w:type="dxa"/>
            <w:left w:w="108" w:type="dxa"/>
            <w:bottom w:w="0" w:type="dxa"/>
            <w:right w:w="108" w:type="dxa"/>
          </w:tblCellMar>
        </w:tblPrEx>
        <w:trPr>
          <w:trHeight w:val="601" w:hRule="atLeast"/>
        </w:trPr>
        <w:tc>
          <w:tcPr>
            <w:tcW w:w="4817" w:type="dxa"/>
            <w:noWrap w:val="0"/>
            <w:vAlign w:val="top"/>
          </w:tcPr>
          <w:p w14:paraId="50FC3A91">
            <w:pPr>
              <w:pStyle w:val="17"/>
              <w:spacing w:line="600" w:lineRule="exact"/>
              <w:jc w:val="right"/>
              <w:rPr>
                <w:rFonts w:hint="eastAsia" w:ascii="宋体" w:hAnsi="宋体" w:eastAsia="宋体" w:cs="宋体"/>
                <w:color w:val="000000"/>
                <w:sz w:val="21"/>
                <w:szCs w:val="21"/>
              </w:rPr>
            </w:pPr>
            <w:r>
              <w:rPr>
                <w:rFonts w:hint="eastAsia" w:ascii="宋体" w:hAnsi="宋体" w:eastAsia="宋体" w:cs="宋体"/>
                <w:b/>
                <w:bCs/>
                <w:color w:val="000000"/>
                <w:sz w:val="21"/>
                <w:szCs w:val="21"/>
              </w:rPr>
              <w:t>年  月  日</w:t>
            </w:r>
          </w:p>
        </w:tc>
        <w:tc>
          <w:tcPr>
            <w:tcW w:w="4217" w:type="dxa"/>
            <w:noWrap w:val="0"/>
            <w:vAlign w:val="top"/>
          </w:tcPr>
          <w:p w14:paraId="3BCB6235">
            <w:pPr>
              <w:pStyle w:val="17"/>
              <w:spacing w:line="600" w:lineRule="exact"/>
              <w:jc w:val="right"/>
              <w:rPr>
                <w:rFonts w:hint="eastAsia" w:ascii="宋体" w:hAnsi="宋体" w:eastAsia="宋体" w:cs="宋体"/>
                <w:color w:val="000000"/>
                <w:sz w:val="21"/>
                <w:szCs w:val="21"/>
              </w:rPr>
            </w:pPr>
            <w:r>
              <w:rPr>
                <w:rFonts w:hint="eastAsia" w:ascii="宋体" w:hAnsi="宋体" w:eastAsia="宋体" w:cs="宋体"/>
                <w:b/>
                <w:bCs/>
                <w:color w:val="000000"/>
                <w:sz w:val="21"/>
                <w:szCs w:val="21"/>
              </w:rPr>
              <w:t>年  月  日</w:t>
            </w:r>
          </w:p>
        </w:tc>
      </w:tr>
    </w:tbl>
    <w:p w14:paraId="5DDF32E8">
      <w:pPr>
        <w:pStyle w:val="4"/>
        <w:spacing w:line="440" w:lineRule="exact"/>
        <w:rPr>
          <w:rFonts w:hint="eastAsia" w:ascii="仿宋" w:hAnsi="仿宋" w:eastAsia="仿宋" w:cs="仿宋"/>
          <w:color w:val="000000"/>
          <w:sz w:val="28"/>
          <w:szCs w:val="28"/>
        </w:rPr>
        <w:sectPr>
          <w:pgSz w:w="11906" w:h="16838"/>
          <w:pgMar w:top="1440" w:right="1803" w:bottom="1440" w:left="1803" w:header="851" w:footer="992" w:gutter="0"/>
          <w:cols w:space="720" w:num="1"/>
          <w:docGrid w:type="lines" w:linePitch="312" w:charSpace="0"/>
        </w:sectPr>
      </w:pPr>
      <w:bookmarkStart w:id="192" w:name="_Toc13132"/>
      <w:bookmarkStart w:id="193" w:name="_Toc1070"/>
    </w:p>
    <w:bookmarkEnd w:id="192"/>
    <w:bookmarkEnd w:id="193"/>
    <w:p w14:paraId="3EE77625">
      <w:pPr>
        <w:pStyle w:val="17"/>
        <w:rPr>
          <w:rFonts w:hint="eastAsia" w:ascii="宋体" w:hAnsi="宋体" w:cs="宋体"/>
        </w:rPr>
      </w:pPr>
    </w:p>
    <w:p w14:paraId="7E68025D">
      <w:pPr>
        <w:pStyle w:val="26"/>
        <w:keepNext/>
        <w:spacing w:line="360" w:lineRule="auto"/>
        <w:ind w:firstLine="3534" w:firstLineChars="1100"/>
        <w:jc w:val="both"/>
        <w:rPr>
          <w:rFonts w:ascii="宋体" w:hAnsi="宋体" w:cs="宋体"/>
        </w:rPr>
      </w:pPr>
      <w:r>
        <w:rPr>
          <w:rFonts w:hint="eastAsia" w:ascii="宋体" w:hAnsi="宋体" w:cs="宋体"/>
        </w:rPr>
        <w:t>第六章  评审方法</w:t>
      </w:r>
      <w:bookmarkEnd w:id="121"/>
      <w:bookmarkEnd w:id="122"/>
    </w:p>
    <w:p w14:paraId="7F6D5D0F">
      <w:pPr>
        <w:pStyle w:val="13"/>
        <w:keepNext/>
        <w:spacing w:line="440" w:lineRule="exact"/>
        <w:ind w:firstLine="4216" w:firstLineChars="1500"/>
        <w:rPr>
          <w:rFonts w:hAnsi="宋体" w:cs="宋体"/>
          <w:b/>
          <w:sz w:val="28"/>
          <w:szCs w:val="28"/>
        </w:rPr>
      </w:pPr>
      <w:r>
        <w:rPr>
          <w:rFonts w:hint="eastAsia" w:hAnsi="宋体" w:cs="宋体"/>
          <w:b/>
          <w:sz w:val="28"/>
          <w:szCs w:val="28"/>
        </w:rPr>
        <w:t>综合评分法</w:t>
      </w:r>
    </w:p>
    <w:p w14:paraId="626378D3">
      <w:pPr>
        <w:keepNext/>
        <w:rPr>
          <w:rFonts w:ascii="宋体" w:hAnsi="宋体" w:cs="宋体"/>
        </w:rPr>
      </w:pPr>
    </w:p>
    <w:bookmarkEnd w:id="3"/>
    <w:bookmarkEnd w:id="4"/>
    <w:bookmarkEnd w:id="105"/>
    <w:bookmarkEnd w:id="106"/>
    <w:bookmarkEnd w:id="107"/>
    <w:bookmarkEnd w:id="108"/>
    <w:bookmarkEnd w:id="109"/>
    <w:bookmarkEnd w:id="110"/>
    <w:p w14:paraId="3CD61C05">
      <w:pPr>
        <w:pStyle w:val="13"/>
        <w:keepNext/>
        <w:spacing w:line="380" w:lineRule="exact"/>
        <w:ind w:firstLine="455" w:firstLineChars="216"/>
        <w:rPr>
          <w:rFonts w:hAnsi="宋体" w:cs="宋体"/>
          <w:b/>
        </w:rPr>
      </w:pPr>
      <w:bookmarkStart w:id="194" w:name="_Toc460253701"/>
      <w:bookmarkStart w:id="195" w:name="_Toc213326414"/>
      <w:bookmarkStart w:id="196" w:name="_Toc213206174"/>
      <w:bookmarkStart w:id="197" w:name="_Toc485920212"/>
      <w:bookmarkStart w:id="198" w:name="_Toc213325923"/>
      <w:r>
        <w:rPr>
          <w:rFonts w:hint="eastAsia" w:hAnsi="宋体" w:cs="宋体"/>
          <w:b/>
        </w:rPr>
        <w:t>一、评标原则</w:t>
      </w:r>
    </w:p>
    <w:p w14:paraId="56621A19">
      <w:pPr>
        <w:keepNext/>
        <w:spacing w:line="380" w:lineRule="exact"/>
        <w:ind w:firstLine="420" w:firstLineChars="200"/>
        <w:rPr>
          <w:rFonts w:ascii="宋体" w:hAnsi="宋体" w:cs="宋体"/>
          <w:szCs w:val="21"/>
        </w:rPr>
      </w:pPr>
      <w:r>
        <w:rPr>
          <w:rFonts w:hint="eastAsia" w:ascii="宋体" w:hAnsi="宋体" w:cs="宋体"/>
          <w:szCs w:val="21"/>
        </w:rPr>
        <w:t>（一）磋商小组成：磋商小组由采购人代表和评审专家共3人以上单数组成，其中评审专家人数不得少于磋商小组成员总数的三分之二。</w:t>
      </w:r>
    </w:p>
    <w:p w14:paraId="5E445B81">
      <w:pPr>
        <w:keepNext/>
        <w:spacing w:line="380" w:lineRule="exact"/>
        <w:ind w:firstLine="420" w:firstLineChars="200"/>
        <w:rPr>
          <w:rFonts w:ascii="宋体" w:hAnsi="宋体" w:cs="宋体"/>
          <w:szCs w:val="21"/>
        </w:rPr>
      </w:pPr>
      <w:r>
        <w:rPr>
          <w:rFonts w:hint="eastAsia" w:ascii="宋体" w:hAnsi="宋体" w:cs="宋体"/>
          <w:szCs w:val="21"/>
        </w:rPr>
        <w:t>（二）评审依据：磋商小组将以磋商文件、响应文件为评标依据，对供应商的磋商报价、技术、售后服务、信誉业绩、</w:t>
      </w:r>
      <w:r>
        <w:rPr>
          <w:rFonts w:hint="eastAsia" w:ascii="宋体" w:hAnsi="宋体" w:cs="宋体"/>
        </w:rPr>
        <w:t>不良记录扣分</w:t>
      </w:r>
      <w:r>
        <w:rPr>
          <w:rFonts w:hint="eastAsia" w:ascii="宋体" w:hAnsi="宋体" w:cs="宋体"/>
          <w:bCs/>
        </w:rPr>
        <w:t>等方面内容按百分制打分。</w:t>
      </w:r>
    </w:p>
    <w:p w14:paraId="2DCA3497">
      <w:pPr>
        <w:keepNext/>
        <w:spacing w:line="380" w:lineRule="exact"/>
        <w:ind w:firstLine="420" w:firstLineChars="200"/>
        <w:rPr>
          <w:rFonts w:ascii="宋体" w:hAnsi="宋体" w:cs="宋体"/>
          <w:szCs w:val="21"/>
        </w:rPr>
      </w:pPr>
      <w:r>
        <w:rPr>
          <w:rFonts w:hint="eastAsia" w:ascii="宋体" w:hAnsi="宋体" w:cs="宋体"/>
          <w:szCs w:val="21"/>
        </w:rPr>
        <w:t>（三）评标方式：以封闭方式进行。</w:t>
      </w:r>
    </w:p>
    <w:p w14:paraId="1253CD78">
      <w:pPr>
        <w:keepNext/>
        <w:spacing w:line="380" w:lineRule="exact"/>
        <w:ind w:firstLine="420" w:firstLineChars="200"/>
        <w:rPr>
          <w:rFonts w:ascii="宋体" w:hAnsi="宋体" w:cs="宋体"/>
          <w:szCs w:val="21"/>
        </w:rPr>
      </w:pPr>
      <w:r>
        <w:rPr>
          <w:rFonts w:hint="eastAsia" w:ascii="宋体" w:hAnsi="宋体" w:cs="宋体"/>
          <w:bCs/>
        </w:rPr>
        <w:t>（四）</w:t>
      </w:r>
      <w:r>
        <w:rPr>
          <w:rFonts w:hint="eastAsia" w:ascii="宋体" w:hAnsi="宋体" w:cs="宋体"/>
        </w:rPr>
        <w:t>磋商小组认为，某供应商的最终报价明显低于其他实质性响应磋商文件的供应商的最终报价，有可能影响产品质量或者不能诚信履约的，应当要求其在评审现场合理的时间内提供书面说明，必要时提交相关证明材料；供应商不能证明其报价合理性的，磋商小组应当将其作为未实质性响应磋商文件处理。</w:t>
      </w:r>
    </w:p>
    <w:p w14:paraId="00ED5D30">
      <w:pPr>
        <w:pStyle w:val="13"/>
        <w:keepNext/>
        <w:spacing w:line="380" w:lineRule="exact"/>
        <w:ind w:firstLine="413" w:firstLineChars="196"/>
        <w:rPr>
          <w:rFonts w:hAnsi="宋体" w:cs="宋体"/>
          <w:b/>
        </w:rPr>
      </w:pPr>
      <w:bookmarkStart w:id="199" w:name="_Toc322094434"/>
      <w:r>
        <w:rPr>
          <w:rFonts w:hint="eastAsia" w:hAnsi="宋体" w:cs="宋体"/>
          <w:b/>
        </w:rPr>
        <w:t>二、评定方法</w:t>
      </w:r>
      <w:bookmarkEnd w:id="199"/>
    </w:p>
    <w:p w14:paraId="5F2998CA">
      <w:pPr>
        <w:keepNext/>
        <w:widowControl/>
        <w:spacing w:line="380" w:lineRule="exact"/>
        <w:ind w:firstLine="420" w:firstLineChars="200"/>
        <w:jc w:val="left"/>
        <w:rPr>
          <w:rFonts w:ascii="宋体" w:hAnsi="宋体" w:cs="宋体"/>
          <w:bCs/>
          <w:szCs w:val="21"/>
        </w:rPr>
      </w:pPr>
      <w:bookmarkStart w:id="200" w:name="_Toc322094437"/>
      <w:r>
        <w:rPr>
          <w:rFonts w:hint="eastAsia" w:ascii="宋体" w:hAnsi="宋体" w:cs="宋体"/>
          <w:bCs/>
          <w:szCs w:val="21"/>
        </w:rPr>
        <w:t>（一）对进入详评的，采用百分制综合评分法。</w:t>
      </w:r>
    </w:p>
    <w:p w14:paraId="6B44A4BF">
      <w:pPr>
        <w:pStyle w:val="13"/>
        <w:keepNext/>
        <w:spacing w:line="380" w:lineRule="exact"/>
        <w:ind w:firstLine="411" w:firstLineChars="196"/>
        <w:rPr>
          <w:rFonts w:hint="eastAsia" w:hAnsi="宋体" w:cs="宋体"/>
          <w:bCs/>
        </w:rPr>
      </w:pPr>
      <w:r>
        <w:rPr>
          <w:rFonts w:hint="eastAsia" w:hAnsi="宋体" w:cs="宋体"/>
          <w:bCs/>
        </w:rPr>
        <w:t>（二）计分办法（按四舍五入取至百分位）。</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8"/>
        <w:gridCol w:w="1139"/>
        <w:gridCol w:w="6409"/>
      </w:tblGrid>
      <w:tr w14:paraId="30A29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 w:type="dxa"/>
            <w:noWrap w:val="0"/>
            <w:vAlign w:val="center"/>
          </w:tcPr>
          <w:p w14:paraId="737CE43A">
            <w:pPr>
              <w:spacing w:line="400" w:lineRule="exact"/>
              <w:jc w:val="center"/>
              <w:rPr>
                <w:rFonts w:hint="eastAsia" w:ascii="宋体" w:hAnsi="宋体" w:eastAsia="宋体" w:cs="宋体"/>
                <w:b/>
                <w:bCs/>
                <w:color w:val="0D0D0D"/>
                <w:sz w:val="21"/>
                <w:szCs w:val="21"/>
              </w:rPr>
            </w:pPr>
            <w:r>
              <w:rPr>
                <w:rFonts w:hint="eastAsia" w:ascii="宋体" w:hAnsi="宋体" w:eastAsia="宋体" w:cs="宋体"/>
                <w:b/>
                <w:bCs/>
                <w:color w:val="0D0D0D"/>
                <w:sz w:val="21"/>
                <w:szCs w:val="21"/>
              </w:rPr>
              <w:t>评标项目</w:t>
            </w:r>
          </w:p>
        </w:tc>
        <w:tc>
          <w:tcPr>
            <w:tcW w:w="1139" w:type="dxa"/>
            <w:noWrap w:val="0"/>
            <w:vAlign w:val="center"/>
          </w:tcPr>
          <w:p w14:paraId="6D638F7D">
            <w:pPr>
              <w:spacing w:line="400" w:lineRule="exact"/>
              <w:jc w:val="center"/>
              <w:rPr>
                <w:rFonts w:hint="eastAsia" w:ascii="宋体" w:hAnsi="宋体" w:eastAsia="宋体" w:cs="宋体"/>
                <w:b/>
                <w:bCs/>
                <w:color w:val="0D0D0D"/>
                <w:sz w:val="21"/>
                <w:szCs w:val="21"/>
              </w:rPr>
            </w:pPr>
            <w:r>
              <w:rPr>
                <w:rFonts w:hint="eastAsia" w:ascii="宋体" w:hAnsi="宋体" w:eastAsia="宋体" w:cs="宋体"/>
                <w:b/>
                <w:bCs/>
                <w:color w:val="0D0D0D"/>
                <w:sz w:val="21"/>
                <w:szCs w:val="21"/>
              </w:rPr>
              <w:t>评标</w:t>
            </w:r>
          </w:p>
          <w:p w14:paraId="40DC6EDE">
            <w:pPr>
              <w:spacing w:line="400" w:lineRule="exact"/>
              <w:jc w:val="center"/>
              <w:rPr>
                <w:rFonts w:hint="eastAsia" w:ascii="宋体" w:hAnsi="宋体" w:eastAsia="宋体" w:cs="宋体"/>
                <w:b/>
                <w:bCs/>
                <w:color w:val="0D0D0D"/>
                <w:sz w:val="21"/>
                <w:szCs w:val="21"/>
              </w:rPr>
            </w:pPr>
            <w:r>
              <w:rPr>
                <w:rFonts w:hint="eastAsia" w:ascii="宋体" w:hAnsi="宋体" w:eastAsia="宋体" w:cs="宋体"/>
                <w:b/>
                <w:bCs/>
                <w:color w:val="0D0D0D"/>
                <w:sz w:val="21"/>
                <w:szCs w:val="21"/>
              </w:rPr>
              <w:t>分值</w:t>
            </w:r>
          </w:p>
        </w:tc>
        <w:tc>
          <w:tcPr>
            <w:tcW w:w="6409" w:type="dxa"/>
            <w:noWrap w:val="0"/>
            <w:vAlign w:val="center"/>
          </w:tcPr>
          <w:p w14:paraId="34DAE558">
            <w:pPr>
              <w:spacing w:line="400" w:lineRule="exact"/>
              <w:jc w:val="center"/>
              <w:rPr>
                <w:rFonts w:hint="eastAsia" w:ascii="宋体" w:hAnsi="宋体" w:eastAsia="宋体" w:cs="宋体"/>
                <w:b/>
                <w:bCs/>
                <w:color w:val="0D0D0D"/>
                <w:sz w:val="21"/>
                <w:szCs w:val="21"/>
              </w:rPr>
            </w:pPr>
            <w:r>
              <w:rPr>
                <w:rFonts w:hint="eastAsia" w:ascii="宋体" w:hAnsi="宋体" w:eastAsia="宋体" w:cs="宋体"/>
                <w:b/>
                <w:bCs/>
                <w:color w:val="0D0D0D"/>
                <w:sz w:val="21"/>
                <w:szCs w:val="21"/>
              </w:rPr>
              <w:t>评标方法描述</w:t>
            </w:r>
          </w:p>
        </w:tc>
      </w:tr>
      <w:tr w14:paraId="766F0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516" w:type="dxa"/>
            <w:gridSpan w:val="3"/>
            <w:noWrap w:val="0"/>
            <w:vAlign w:val="center"/>
          </w:tcPr>
          <w:p w14:paraId="3219BFC4">
            <w:pPr>
              <w:spacing w:line="400" w:lineRule="exact"/>
              <w:jc w:val="center"/>
              <w:rPr>
                <w:rFonts w:hint="eastAsia" w:ascii="宋体" w:hAnsi="宋体" w:eastAsia="宋体" w:cs="宋体"/>
                <w:color w:val="0D0D0D"/>
                <w:sz w:val="21"/>
                <w:szCs w:val="21"/>
              </w:rPr>
            </w:pPr>
            <w:r>
              <w:rPr>
                <w:rFonts w:hint="eastAsia" w:ascii="宋体" w:hAnsi="宋体" w:eastAsia="宋体" w:cs="宋体"/>
                <w:b/>
                <w:bCs/>
                <w:color w:val="0D0D0D"/>
                <w:sz w:val="21"/>
                <w:szCs w:val="21"/>
              </w:rPr>
              <w:t>（一）价格分（满分15分）</w:t>
            </w:r>
          </w:p>
        </w:tc>
      </w:tr>
      <w:tr w14:paraId="1EEA7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 w:type="dxa"/>
            <w:noWrap w:val="0"/>
            <w:vAlign w:val="center"/>
          </w:tcPr>
          <w:p w14:paraId="3B37DDA8">
            <w:pPr>
              <w:spacing w:line="400" w:lineRule="exact"/>
              <w:jc w:val="center"/>
              <w:rPr>
                <w:rFonts w:hint="eastAsia" w:ascii="宋体" w:hAnsi="宋体" w:eastAsia="宋体" w:cs="宋体"/>
                <w:color w:val="0D0D0D"/>
                <w:sz w:val="21"/>
                <w:szCs w:val="21"/>
              </w:rPr>
            </w:pPr>
            <w:r>
              <w:rPr>
                <w:rFonts w:hint="eastAsia" w:ascii="宋体" w:hAnsi="宋体" w:eastAsia="宋体" w:cs="宋体"/>
                <w:b/>
                <w:bCs/>
                <w:color w:val="0D0D0D"/>
                <w:sz w:val="21"/>
                <w:szCs w:val="21"/>
              </w:rPr>
              <w:t>投标报价</w:t>
            </w:r>
          </w:p>
        </w:tc>
        <w:tc>
          <w:tcPr>
            <w:tcW w:w="1139" w:type="dxa"/>
            <w:noWrap w:val="0"/>
            <w:vAlign w:val="center"/>
          </w:tcPr>
          <w:p w14:paraId="16EC7F46">
            <w:pPr>
              <w:spacing w:line="400" w:lineRule="exact"/>
              <w:jc w:val="center"/>
              <w:rPr>
                <w:rFonts w:hint="eastAsia" w:ascii="宋体" w:hAnsi="宋体" w:eastAsia="宋体" w:cs="宋体"/>
                <w:color w:val="0D0D0D"/>
                <w:sz w:val="21"/>
                <w:szCs w:val="21"/>
              </w:rPr>
            </w:pPr>
            <w:r>
              <w:rPr>
                <w:rFonts w:hint="eastAsia" w:ascii="宋体" w:hAnsi="宋体" w:eastAsia="宋体" w:cs="宋体"/>
                <w:color w:val="0D0D0D"/>
                <w:sz w:val="21"/>
                <w:szCs w:val="21"/>
              </w:rPr>
              <w:t>15分</w:t>
            </w:r>
          </w:p>
        </w:tc>
        <w:tc>
          <w:tcPr>
            <w:tcW w:w="6409" w:type="dxa"/>
            <w:noWrap w:val="0"/>
            <w:vAlign w:val="center"/>
          </w:tcPr>
          <w:p w14:paraId="7D17437F">
            <w:pPr>
              <w:pStyle w:val="13"/>
              <w:spacing w:line="400" w:lineRule="exact"/>
              <w:ind w:firstLine="420" w:firstLineChars="200"/>
              <w:rPr>
                <w:rFonts w:hint="eastAsia" w:ascii="宋体" w:hAnsi="宋体" w:eastAsia="宋体" w:cs="宋体"/>
                <w:bCs/>
                <w:color w:val="0D0D0D"/>
                <w:sz w:val="21"/>
                <w:szCs w:val="21"/>
              </w:rPr>
            </w:pPr>
            <w:r>
              <w:rPr>
                <w:rFonts w:hint="eastAsia" w:ascii="宋体" w:hAnsi="宋体" w:eastAsia="宋体" w:cs="宋体"/>
                <w:bCs/>
                <w:color w:val="0D0D0D"/>
                <w:sz w:val="21"/>
                <w:szCs w:val="21"/>
              </w:rPr>
              <w:t>1.评审报价为供应商的最后报价进行政策性扣除后的价格，评审报价只是作为评审时使用。最终成交供应商的成交金额等于最后报价（如有修正，以确认修正后的最后报价为准）。</w:t>
            </w:r>
          </w:p>
          <w:p w14:paraId="4A07BE99">
            <w:pPr>
              <w:pStyle w:val="13"/>
              <w:spacing w:line="400" w:lineRule="exact"/>
              <w:ind w:firstLine="420" w:firstLineChars="200"/>
              <w:rPr>
                <w:rFonts w:hint="eastAsia" w:ascii="宋体" w:hAnsi="宋体" w:eastAsia="宋体" w:cs="宋体"/>
                <w:bCs/>
                <w:color w:val="0D0D0D"/>
                <w:sz w:val="21"/>
                <w:szCs w:val="21"/>
              </w:rPr>
            </w:pPr>
            <w:r>
              <w:rPr>
                <w:rFonts w:hint="eastAsia" w:ascii="宋体" w:hAnsi="宋体" w:eastAsia="宋体" w:cs="宋体"/>
                <w:bCs/>
                <w:color w:val="0D0D0D"/>
                <w:sz w:val="21"/>
                <w:szCs w:val="21"/>
              </w:rPr>
              <w:t>2.政府采购政策性扣除计算方法</w:t>
            </w:r>
          </w:p>
          <w:p w14:paraId="210811A4">
            <w:pPr>
              <w:pStyle w:val="13"/>
              <w:spacing w:line="400" w:lineRule="exact"/>
              <w:ind w:firstLine="420" w:firstLineChars="200"/>
              <w:rPr>
                <w:rFonts w:hint="eastAsia" w:ascii="宋体" w:hAnsi="宋体" w:eastAsia="宋体" w:cs="宋体"/>
                <w:bCs/>
                <w:color w:val="0D0D0D"/>
                <w:sz w:val="21"/>
                <w:szCs w:val="21"/>
              </w:rPr>
            </w:pPr>
            <w:r>
              <w:rPr>
                <w:rFonts w:hint="eastAsia" w:ascii="宋体" w:hAnsi="宋体" w:eastAsia="宋体" w:cs="宋体"/>
                <w:bCs/>
                <w:color w:val="0D0D0D"/>
                <w:sz w:val="21"/>
                <w:szCs w:val="21"/>
              </w:rPr>
              <w:t>（1）按照《政府采购促进中小企业发展管理办法》（财库〔2020〕46号）及《广西壮族自治区财政厅关于持续优化政府采购营商环境推动高质量发展的通知》（桂财采〔2024〕55号）的规定，供应商在其响应文件中提供《中小企业声明函》，且其服务为小型和微型企业承接的，对其最后报价给予10%的扣除。</w:t>
            </w:r>
          </w:p>
          <w:p w14:paraId="09EF87C7">
            <w:pPr>
              <w:pStyle w:val="13"/>
              <w:spacing w:line="400" w:lineRule="exact"/>
              <w:ind w:firstLine="420" w:firstLineChars="200"/>
              <w:rPr>
                <w:rFonts w:hint="eastAsia" w:ascii="宋体" w:hAnsi="宋体" w:eastAsia="宋体" w:cs="宋体"/>
                <w:bCs/>
                <w:color w:val="0D0D0D"/>
                <w:sz w:val="21"/>
                <w:szCs w:val="21"/>
              </w:rPr>
            </w:pPr>
            <w:r>
              <w:rPr>
                <w:rFonts w:hint="eastAsia" w:ascii="宋体" w:hAnsi="宋体" w:eastAsia="宋体" w:cs="宋体"/>
                <w:bCs/>
                <w:color w:val="0D0D0D"/>
                <w:sz w:val="21"/>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389ACF3">
            <w:pPr>
              <w:pStyle w:val="13"/>
              <w:spacing w:line="400" w:lineRule="exact"/>
              <w:ind w:firstLine="420" w:firstLineChars="200"/>
              <w:rPr>
                <w:rFonts w:hint="eastAsia" w:ascii="宋体" w:hAnsi="宋体" w:eastAsia="宋体" w:cs="宋体"/>
                <w:bCs/>
                <w:color w:val="0D0D0D"/>
                <w:sz w:val="21"/>
                <w:szCs w:val="21"/>
              </w:rPr>
            </w:pPr>
            <w:r>
              <w:rPr>
                <w:rFonts w:hint="eastAsia" w:ascii="宋体" w:hAnsi="宋体" w:eastAsia="宋体" w:cs="宋体"/>
                <w:bCs/>
                <w:color w:val="0D0D0D"/>
                <w:sz w:val="21"/>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96604D8">
            <w:pPr>
              <w:pStyle w:val="13"/>
              <w:spacing w:line="400" w:lineRule="exact"/>
              <w:ind w:firstLine="420" w:firstLineChars="200"/>
              <w:rPr>
                <w:rFonts w:hint="eastAsia" w:ascii="宋体" w:hAnsi="宋体" w:eastAsia="宋体" w:cs="宋体"/>
                <w:bCs/>
                <w:color w:val="0D0D0D"/>
                <w:sz w:val="21"/>
                <w:szCs w:val="21"/>
              </w:rPr>
            </w:pPr>
            <w:r>
              <w:rPr>
                <w:rFonts w:hint="eastAsia" w:ascii="宋体" w:hAnsi="宋体" w:eastAsia="宋体" w:cs="宋体"/>
                <w:bCs/>
                <w:color w:val="0D0D0D"/>
                <w:sz w:val="21"/>
                <w:szCs w:val="21"/>
              </w:rPr>
              <w:t>（4）政策性扣除计算方法。</w:t>
            </w:r>
          </w:p>
          <w:p w14:paraId="34022613">
            <w:pPr>
              <w:pStyle w:val="13"/>
              <w:spacing w:line="400" w:lineRule="exact"/>
              <w:ind w:firstLine="420" w:firstLineChars="200"/>
              <w:rPr>
                <w:rFonts w:hint="eastAsia" w:ascii="宋体" w:hAnsi="宋体" w:eastAsia="宋体" w:cs="宋体"/>
                <w:bCs/>
                <w:color w:val="0D0D0D"/>
                <w:sz w:val="21"/>
                <w:szCs w:val="21"/>
              </w:rPr>
            </w:pPr>
            <w:r>
              <w:rPr>
                <w:rFonts w:hint="eastAsia" w:ascii="宋体" w:hAnsi="宋体" w:eastAsia="宋体" w:cs="宋体"/>
                <w:bCs/>
                <w:color w:val="0D0D0D"/>
                <w:sz w:val="21"/>
                <w:szCs w:val="21"/>
              </w:rPr>
              <w:t>在服务采购项目中，服务由小微企业承接；对符合上述要求的供应商的竞标报价给予10%的扣除，扣除后的价格为评审报价，即评审报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审报价=竞标报价×（1-4%）。除上述情况外，评审报价=竞标报价。</w:t>
            </w:r>
          </w:p>
          <w:p w14:paraId="481540D6">
            <w:pPr>
              <w:pStyle w:val="13"/>
              <w:spacing w:line="400" w:lineRule="exact"/>
              <w:ind w:firstLine="420" w:firstLineChars="200"/>
              <w:rPr>
                <w:rFonts w:hint="eastAsia" w:ascii="宋体" w:hAnsi="宋体" w:eastAsia="宋体" w:cs="宋体"/>
                <w:bCs/>
                <w:color w:val="0D0D0D"/>
                <w:sz w:val="21"/>
                <w:szCs w:val="21"/>
              </w:rPr>
            </w:pPr>
            <w:r>
              <w:rPr>
                <w:rFonts w:hint="eastAsia" w:ascii="宋体" w:hAnsi="宋体" w:eastAsia="宋体" w:cs="宋体"/>
                <w:bCs/>
                <w:color w:val="0D0D0D"/>
                <w:sz w:val="21"/>
                <w:szCs w:val="21"/>
              </w:rPr>
              <w:t>（5）除上述情况外，评审报价＝最后报价。</w:t>
            </w:r>
          </w:p>
          <w:p w14:paraId="502C5291">
            <w:pPr>
              <w:pStyle w:val="13"/>
              <w:spacing w:line="400" w:lineRule="exact"/>
              <w:ind w:firstLine="420" w:firstLineChars="200"/>
              <w:rPr>
                <w:rFonts w:hint="eastAsia" w:ascii="宋体" w:hAnsi="宋体" w:eastAsia="宋体" w:cs="宋体"/>
                <w:bCs/>
                <w:color w:val="0D0D0D"/>
                <w:sz w:val="21"/>
                <w:szCs w:val="21"/>
              </w:rPr>
            </w:pPr>
            <w:r>
              <w:rPr>
                <w:rFonts w:hint="eastAsia" w:ascii="宋体" w:hAnsi="宋体" w:eastAsia="宋体" w:cs="宋体"/>
                <w:bCs/>
                <w:color w:val="0D0D0D"/>
                <w:sz w:val="21"/>
                <w:szCs w:val="21"/>
              </w:rPr>
              <w:t>（6）以进入比较与评价环节的最低的评审报价为基准价，基准价得分为15分。</w:t>
            </w:r>
          </w:p>
          <w:p w14:paraId="5A35E7DD">
            <w:pPr>
              <w:pStyle w:val="13"/>
              <w:spacing w:line="400" w:lineRule="exact"/>
              <w:ind w:firstLine="420" w:firstLineChars="200"/>
              <w:rPr>
                <w:rFonts w:hint="eastAsia" w:ascii="宋体" w:hAnsi="宋体" w:eastAsia="宋体" w:cs="宋体"/>
                <w:bCs/>
                <w:color w:val="0D0D0D"/>
                <w:sz w:val="21"/>
                <w:szCs w:val="21"/>
              </w:rPr>
            </w:pPr>
            <w:r>
              <w:rPr>
                <w:rFonts w:hint="eastAsia" w:ascii="宋体" w:hAnsi="宋体" w:eastAsia="宋体" w:cs="宋体"/>
                <w:bCs/>
                <w:color w:val="0D0D0D"/>
                <w:sz w:val="21"/>
                <w:szCs w:val="21"/>
              </w:rPr>
              <w:t>（7）价格分计算公式：</w:t>
            </w:r>
          </w:p>
          <w:p w14:paraId="6198651D">
            <w:pPr>
              <w:spacing w:line="400" w:lineRule="exact"/>
              <w:rPr>
                <w:rFonts w:hint="eastAsia" w:ascii="宋体" w:hAnsi="宋体" w:eastAsia="宋体" w:cs="宋体"/>
                <w:bCs/>
                <w:color w:val="0D0D0D"/>
                <w:sz w:val="21"/>
                <w:szCs w:val="21"/>
              </w:rPr>
            </w:pPr>
            <w:r>
              <w:rPr>
                <w:rFonts w:hint="eastAsia" w:ascii="宋体" w:hAnsi="宋体" w:eastAsia="宋体" w:cs="宋体"/>
                <w:bCs/>
                <w:color w:val="0D0D0D"/>
                <w:sz w:val="21"/>
                <w:szCs w:val="21"/>
              </w:rPr>
              <w:t>报价得分=（基准价/最后报价）×15分</w:t>
            </w:r>
          </w:p>
          <w:p w14:paraId="095A65E3">
            <w:pPr>
              <w:spacing w:line="400" w:lineRule="exact"/>
              <w:rPr>
                <w:rFonts w:hint="eastAsia" w:ascii="宋体" w:hAnsi="宋体" w:eastAsia="宋体" w:cs="宋体"/>
                <w:color w:val="0D0D0D"/>
                <w:sz w:val="21"/>
                <w:szCs w:val="21"/>
              </w:rPr>
            </w:pPr>
            <w:r>
              <w:rPr>
                <w:rFonts w:hint="eastAsia" w:ascii="宋体" w:hAnsi="宋体" w:eastAsia="宋体" w:cs="宋体"/>
                <w:bCs/>
                <w:color w:val="0D0D0D"/>
                <w:sz w:val="21"/>
                <w:szCs w:val="21"/>
              </w:rPr>
              <w:t xml:space="preserve">    评</w:t>
            </w:r>
            <w:r>
              <w:rPr>
                <w:rFonts w:hint="eastAsia" w:ascii="宋体" w:hAnsi="宋体" w:eastAsia="宋体" w:cs="宋体"/>
                <w:bCs/>
                <w:color w:val="0D0D0D"/>
                <w:sz w:val="21"/>
                <w:szCs w:val="21"/>
                <w:lang w:eastAsia="zh-CN"/>
              </w:rPr>
              <w:t>审</w:t>
            </w:r>
            <w:r>
              <w:rPr>
                <w:rFonts w:hint="eastAsia" w:ascii="宋体" w:hAnsi="宋体" w:eastAsia="宋体" w:cs="宋体"/>
                <w:bCs/>
                <w:color w:val="0D0D0D"/>
                <w:sz w:val="21"/>
                <w:szCs w:val="21"/>
              </w:rPr>
              <w:t>委员会认为投标人的报价明显低于其他通过符合性审查投标人的报价，有可能影响服务或者不能诚信履约的，应当要求其在评标现场合理的时间内提供书面说明【提交详细的报价明细说明文件及测算表，包括项目的服务</w:t>
            </w:r>
            <w:r>
              <w:rPr>
                <w:rFonts w:hint="eastAsia" w:ascii="宋体" w:hAnsi="宋体" w:eastAsia="宋体" w:cs="宋体"/>
                <w:bCs/>
                <w:color w:val="0D0D0D"/>
                <w:sz w:val="21"/>
                <w:szCs w:val="21"/>
                <w:lang w:eastAsia="zh-CN"/>
              </w:rPr>
              <w:t>内容</w:t>
            </w:r>
            <w:r>
              <w:rPr>
                <w:rFonts w:hint="eastAsia" w:ascii="宋体" w:hAnsi="宋体" w:eastAsia="宋体" w:cs="宋体"/>
                <w:bCs/>
                <w:color w:val="0D0D0D"/>
                <w:sz w:val="21"/>
                <w:szCs w:val="21"/>
              </w:rPr>
              <w:t>、人工成本包括项目人员的数量、工作时间及其工资和福利支出成本，以及服务项目实施过程中可能涉及的其他费用】，必要时提交相关证明材料；</w:t>
            </w:r>
            <w:r>
              <w:rPr>
                <w:rFonts w:hint="eastAsia" w:ascii="宋体" w:hAnsi="宋体" w:eastAsia="宋体" w:cs="宋体"/>
                <w:bCs/>
                <w:color w:val="0D0D0D"/>
                <w:sz w:val="21"/>
                <w:szCs w:val="21"/>
                <w:lang w:eastAsia="zh-CN"/>
              </w:rPr>
              <w:t>供应商</w:t>
            </w:r>
            <w:r>
              <w:rPr>
                <w:rFonts w:hint="eastAsia" w:ascii="宋体" w:hAnsi="宋体" w:eastAsia="宋体" w:cs="宋体"/>
                <w:bCs/>
                <w:color w:val="0D0D0D"/>
                <w:sz w:val="21"/>
                <w:szCs w:val="21"/>
              </w:rPr>
              <w:t>不能证明其报价合理性的，评</w:t>
            </w:r>
            <w:r>
              <w:rPr>
                <w:rFonts w:hint="eastAsia" w:ascii="宋体" w:hAnsi="宋体" w:eastAsia="宋体" w:cs="宋体"/>
                <w:bCs/>
                <w:color w:val="0D0D0D"/>
                <w:sz w:val="21"/>
                <w:szCs w:val="21"/>
                <w:lang w:eastAsia="zh-CN"/>
              </w:rPr>
              <w:t>审</w:t>
            </w:r>
            <w:r>
              <w:rPr>
                <w:rFonts w:hint="eastAsia" w:ascii="宋体" w:hAnsi="宋体" w:eastAsia="宋体" w:cs="宋体"/>
                <w:bCs/>
                <w:color w:val="0D0D0D"/>
                <w:sz w:val="21"/>
                <w:szCs w:val="21"/>
              </w:rPr>
              <w:t>委员会应当将其作为无效投标处理。</w:t>
            </w:r>
          </w:p>
        </w:tc>
      </w:tr>
      <w:tr w14:paraId="6CC0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6" w:type="dxa"/>
            <w:gridSpan w:val="3"/>
            <w:noWrap w:val="0"/>
            <w:vAlign w:val="center"/>
          </w:tcPr>
          <w:p w14:paraId="53DE35C3">
            <w:pPr>
              <w:spacing w:line="400" w:lineRule="exact"/>
              <w:jc w:val="center"/>
              <w:rPr>
                <w:rFonts w:hint="eastAsia" w:ascii="宋体" w:hAnsi="宋体" w:eastAsia="宋体" w:cs="宋体"/>
                <w:color w:val="0D0D0D"/>
                <w:sz w:val="21"/>
                <w:szCs w:val="21"/>
              </w:rPr>
            </w:pPr>
            <w:r>
              <w:rPr>
                <w:rFonts w:hint="eastAsia" w:ascii="宋体" w:hAnsi="宋体" w:eastAsia="宋体" w:cs="宋体"/>
                <w:b/>
                <w:bCs/>
                <w:color w:val="0D0D0D"/>
                <w:sz w:val="21"/>
                <w:szCs w:val="21"/>
              </w:rPr>
              <w:t>（二）技术分（满分75分）</w:t>
            </w:r>
          </w:p>
        </w:tc>
      </w:tr>
      <w:tr w14:paraId="75F9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 w:type="dxa"/>
            <w:noWrap w:val="0"/>
            <w:vAlign w:val="center"/>
          </w:tcPr>
          <w:p w14:paraId="46621164">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审计工作方案分</w:t>
            </w:r>
          </w:p>
        </w:tc>
        <w:tc>
          <w:tcPr>
            <w:tcW w:w="1139" w:type="dxa"/>
            <w:noWrap w:val="0"/>
            <w:vAlign w:val="center"/>
          </w:tcPr>
          <w:p w14:paraId="23D77B48">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6409" w:type="dxa"/>
            <w:noWrap w:val="0"/>
            <w:vAlign w:val="center"/>
          </w:tcPr>
          <w:p w14:paraId="24F027AF">
            <w:pPr>
              <w:spacing w:line="400" w:lineRule="exact"/>
              <w:rPr>
                <w:rFonts w:hint="eastAsia" w:ascii="宋体" w:hAnsi="宋体" w:eastAsia="宋体" w:cs="宋体"/>
                <w:color w:val="0D0D0D"/>
                <w:sz w:val="21"/>
                <w:szCs w:val="21"/>
              </w:rPr>
            </w:pPr>
            <w:r>
              <w:rPr>
                <w:rFonts w:hint="eastAsia" w:ascii="宋体" w:hAnsi="宋体" w:eastAsia="宋体" w:cs="宋体"/>
                <w:color w:val="0D0D0D"/>
                <w:sz w:val="21"/>
                <w:szCs w:val="21"/>
              </w:rPr>
              <w:t>一档（10分）：实施方案基本符合项目服务的目标、内容、范围和要求，没有落实审计重点，提出了基本的工作方案，技术思路及技术方法论述一般，质量管控措施有一定保障，有简单的安全应急措施，实施方案基本满足项目需求；</w:t>
            </w:r>
          </w:p>
          <w:p w14:paraId="0B4B1851">
            <w:pPr>
              <w:spacing w:line="400" w:lineRule="exact"/>
              <w:rPr>
                <w:rFonts w:hint="eastAsia" w:ascii="宋体" w:hAnsi="宋体" w:eastAsia="宋体" w:cs="宋体"/>
                <w:color w:val="0D0D0D"/>
                <w:sz w:val="21"/>
                <w:szCs w:val="21"/>
              </w:rPr>
            </w:pPr>
            <w:r>
              <w:rPr>
                <w:rFonts w:hint="eastAsia" w:ascii="宋体" w:hAnsi="宋体" w:eastAsia="宋体" w:cs="宋体"/>
                <w:color w:val="0D0D0D"/>
                <w:sz w:val="21"/>
                <w:szCs w:val="21"/>
              </w:rPr>
              <w:t>二档（20分）：满足一档要求，实施方案符合项目服务的目标、内容、范围和要求，审计重点把握准确，提出了较详细的工作方案，技术思路及技术方法论述详细，质量管控措施有保障，有详细的安全应急措施，具有一定可操作性，实施方案完全满足项目需求；</w:t>
            </w:r>
          </w:p>
          <w:p w14:paraId="315DA961">
            <w:pPr>
              <w:spacing w:line="400" w:lineRule="exact"/>
              <w:rPr>
                <w:rFonts w:hint="eastAsia" w:ascii="宋体" w:hAnsi="宋体" w:eastAsia="宋体" w:cs="宋体"/>
                <w:color w:val="0D0D0D"/>
                <w:sz w:val="21"/>
                <w:szCs w:val="21"/>
              </w:rPr>
            </w:pPr>
            <w:r>
              <w:rPr>
                <w:rFonts w:hint="eastAsia" w:ascii="宋体" w:hAnsi="宋体" w:eastAsia="宋体" w:cs="宋体"/>
                <w:color w:val="0D0D0D"/>
                <w:sz w:val="21"/>
                <w:szCs w:val="21"/>
              </w:rPr>
              <w:t>三档（30分）：满足二档要求，实施方案符合项目服务目标、内容、范围和要求，审计重点把握准确，提出了详细完善的工作方案，技术思路及技术方法论述详细完善，质量管控措施保障有力，有详细完善的加强廉政工作纪律措施、完成审计任务的措施、安全应急措施，实施方案完全满足项目需求。</w:t>
            </w:r>
          </w:p>
          <w:p w14:paraId="78C928CA">
            <w:pPr>
              <w:spacing w:line="400" w:lineRule="exact"/>
              <w:rPr>
                <w:rFonts w:hint="eastAsia" w:ascii="宋体" w:hAnsi="宋体" w:eastAsia="宋体" w:cs="宋体"/>
                <w:color w:val="0D0D0D"/>
                <w:sz w:val="21"/>
                <w:szCs w:val="21"/>
              </w:rPr>
            </w:pPr>
            <w:r>
              <w:rPr>
                <w:rFonts w:hint="eastAsia" w:ascii="宋体" w:hAnsi="宋体" w:eastAsia="宋体" w:cs="宋体"/>
                <w:color w:val="0D0D0D"/>
                <w:sz w:val="21"/>
                <w:szCs w:val="21"/>
              </w:rPr>
              <w:t>四档（40分）：满足三档要求，实施方案具有针对性的工作思路、审计目标、审计服务内容详细、清晰，针对审计过程中可能遇到的重大争议问题有完整的应对方案，能很好协调并处理争议问题。对采购需求内各项工作均有切实可行的重点环节（工序）审计方案，有完善的内部管理机制、服务措施，能够按审计组工作方案、时间节点要求，完成时间节点工作任务，提交工作成果。</w:t>
            </w:r>
          </w:p>
          <w:p w14:paraId="4D403AB7">
            <w:pPr>
              <w:spacing w:line="400" w:lineRule="exact"/>
              <w:rPr>
                <w:rFonts w:hint="eastAsia" w:ascii="宋体" w:hAnsi="宋体" w:eastAsia="宋体" w:cs="宋体"/>
                <w:color w:val="0D0D0D"/>
                <w:sz w:val="21"/>
                <w:szCs w:val="21"/>
              </w:rPr>
            </w:pPr>
            <w:r>
              <w:rPr>
                <w:rFonts w:hint="eastAsia" w:ascii="宋体" w:hAnsi="宋体" w:eastAsia="宋体" w:cs="宋体"/>
                <w:color w:val="0D0D0D"/>
                <w:sz w:val="21"/>
                <w:szCs w:val="21"/>
              </w:rPr>
              <w:t>备注：供应商未提供审计工作方案或不满足一档要求的，得0分。</w:t>
            </w:r>
          </w:p>
        </w:tc>
      </w:tr>
      <w:tr w14:paraId="0F110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 w:type="dxa"/>
            <w:noWrap w:val="0"/>
            <w:vAlign w:val="center"/>
          </w:tcPr>
          <w:p w14:paraId="04848921">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服务承诺方案分</w:t>
            </w:r>
          </w:p>
        </w:tc>
        <w:tc>
          <w:tcPr>
            <w:tcW w:w="1139" w:type="dxa"/>
            <w:noWrap w:val="0"/>
            <w:vAlign w:val="center"/>
          </w:tcPr>
          <w:p w14:paraId="123B416C">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c>
          <w:tcPr>
            <w:tcW w:w="6409" w:type="dxa"/>
            <w:noWrap w:val="0"/>
            <w:vAlign w:val="center"/>
          </w:tcPr>
          <w:p w14:paraId="0A432CEF">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一档（5分）供应商提供的服务承诺、交付成果时间等方面，表述简单，服务承诺基本满足项目要求。</w:t>
            </w:r>
          </w:p>
          <w:p w14:paraId="0C51FC84">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二档（10分））供应商提供的完成时间、审计深度、审计目标等服务要求的承诺满足采购文件要求，服务态度、审计报告质量、廉洁承诺等方面有明确的承诺。</w:t>
            </w:r>
          </w:p>
          <w:p w14:paraId="3ABD93D9">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三档（15分）供应商提供的服务承诺、交付成果等方面，对本项目的服务有深刻理解与充分认识，表述清晰、完整、严谨，服务方案合理、有效、成熟，服务承诺完全满足项目要求，并且有专门服务人员保障。</w:t>
            </w:r>
          </w:p>
          <w:p w14:paraId="6B63D2F2">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四档（20分）供应商提供的服务承诺、交付成果等方面，对本项目的服务有深刻理解与充分认识，表述清晰、完整、严谨，能结合采购项目的实际情况编制服务方案，方案合理、有效、成熟，服务承诺满足并优于项目要求，并且有专门服务人员保障。</w:t>
            </w:r>
          </w:p>
        </w:tc>
      </w:tr>
      <w:tr w14:paraId="73FB0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 w:type="dxa"/>
            <w:noWrap w:val="0"/>
            <w:vAlign w:val="center"/>
          </w:tcPr>
          <w:p w14:paraId="1D74BECA">
            <w:pPr>
              <w:spacing w:line="400" w:lineRule="exact"/>
              <w:jc w:val="center"/>
              <w:rPr>
                <w:rFonts w:hint="eastAsia" w:ascii="宋体" w:hAnsi="宋体" w:eastAsia="宋体" w:cs="宋体"/>
                <w:color w:val="0D0D0D"/>
                <w:sz w:val="21"/>
                <w:szCs w:val="21"/>
              </w:rPr>
            </w:pPr>
            <w:r>
              <w:rPr>
                <w:rFonts w:hint="eastAsia" w:ascii="宋体" w:hAnsi="宋体" w:eastAsia="宋体" w:cs="宋体"/>
                <w:color w:val="0D0D0D"/>
                <w:sz w:val="21"/>
                <w:szCs w:val="21"/>
              </w:rPr>
              <w:t>拟投入</w:t>
            </w:r>
            <w:r>
              <w:rPr>
                <w:rFonts w:hint="eastAsia" w:ascii="宋体" w:hAnsi="宋体" w:eastAsia="宋体" w:cs="宋体"/>
                <w:color w:val="0D0D0D"/>
                <w:sz w:val="21"/>
                <w:szCs w:val="21"/>
                <w:lang w:val="en-US" w:eastAsia="zh-CN"/>
              </w:rPr>
              <w:t xml:space="preserve">人员配 </w:t>
            </w:r>
          </w:p>
          <w:p w14:paraId="2073B4C8">
            <w:pPr>
              <w:spacing w:line="400" w:lineRule="exact"/>
              <w:jc w:val="center"/>
              <w:rPr>
                <w:rFonts w:hint="eastAsia" w:ascii="宋体" w:hAnsi="宋体" w:eastAsia="宋体" w:cs="宋体"/>
                <w:color w:val="0D0D0D"/>
                <w:sz w:val="21"/>
                <w:szCs w:val="21"/>
              </w:rPr>
            </w:pPr>
            <w:r>
              <w:rPr>
                <w:rFonts w:hint="eastAsia" w:ascii="宋体" w:hAnsi="宋体" w:eastAsia="宋体" w:cs="宋体"/>
                <w:color w:val="0D0D0D"/>
                <w:sz w:val="21"/>
                <w:szCs w:val="21"/>
                <w:lang w:val="en-US" w:eastAsia="zh-CN"/>
              </w:rPr>
              <w:t>备分</w:t>
            </w:r>
          </w:p>
          <w:p w14:paraId="52606E20">
            <w:pPr>
              <w:spacing w:line="400" w:lineRule="exact"/>
              <w:jc w:val="center"/>
              <w:rPr>
                <w:rFonts w:hint="eastAsia" w:ascii="宋体" w:hAnsi="宋体" w:eastAsia="宋体" w:cs="宋体"/>
                <w:color w:val="0D0D0D"/>
                <w:sz w:val="21"/>
                <w:szCs w:val="21"/>
              </w:rPr>
            </w:pPr>
          </w:p>
        </w:tc>
        <w:tc>
          <w:tcPr>
            <w:tcW w:w="1139" w:type="dxa"/>
            <w:noWrap w:val="0"/>
            <w:vAlign w:val="center"/>
          </w:tcPr>
          <w:p w14:paraId="2FFA6143">
            <w:pPr>
              <w:spacing w:line="400" w:lineRule="exact"/>
              <w:jc w:val="center"/>
              <w:rPr>
                <w:rFonts w:hint="eastAsia" w:ascii="宋体" w:hAnsi="宋体" w:eastAsia="宋体" w:cs="宋体"/>
                <w:color w:val="0D0D0D"/>
                <w:sz w:val="21"/>
                <w:szCs w:val="21"/>
              </w:rPr>
            </w:pPr>
            <w:r>
              <w:rPr>
                <w:rFonts w:hint="eastAsia" w:ascii="宋体" w:hAnsi="宋体" w:eastAsia="宋体" w:cs="宋体"/>
                <w:color w:val="0D0D0D"/>
                <w:sz w:val="21"/>
                <w:szCs w:val="21"/>
                <w:lang w:val="en-US" w:eastAsia="zh-CN"/>
              </w:rPr>
              <w:t>15</w:t>
            </w:r>
            <w:r>
              <w:rPr>
                <w:rFonts w:hint="eastAsia" w:ascii="宋体" w:hAnsi="宋体" w:eastAsia="宋体" w:cs="宋体"/>
                <w:color w:val="0D0D0D"/>
                <w:sz w:val="21"/>
                <w:szCs w:val="21"/>
              </w:rPr>
              <w:t>分</w:t>
            </w:r>
          </w:p>
        </w:tc>
        <w:tc>
          <w:tcPr>
            <w:tcW w:w="6409" w:type="dxa"/>
            <w:noWrap w:val="0"/>
            <w:vAlign w:val="top"/>
          </w:tcPr>
          <w:p w14:paraId="1D3DA6AD">
            <w:pPr>
              <w:spacing w:line="400" w:lineRule="exact"/>
              <w:rPr>
                <w:rFonts w:hint="eastAsia" w:ascii="宋体" w:hAnsi="宋体" w:eastAsia="宋体" w:cs="宋体"/>
                <w:color w:val="0D0D0D"/>
                <w:sz w:val="21"/>
                <w:szCs w:val="21"/>
              </w:rPr>
            </w:pPr>
            <w:r>
              <w:rPr>
                <w:rFonts w:hint="eastAsia" w:ascii="宋体" w:hAnsi="宋体" w:eastAsia="宋体" w:cs="宋体"/>
                <w:color w:val="0D0D0D"/>
                <w:sz w:val="21"/>
                <w:szCs w:val="21"/>
              </w:rPr>
              <w:t>（1）审计</w:t>
            </w:r>
            <w:r>
              <w:rPr>
                <w:rFonts w:hint="eastAsia" w:ascii="宋体" w:hAnsi="宋体" w:eastAsia="宋体" w:cs="宋体"/>
                <w:color w:val="0D0D0D"/>
                <w:sz w:val="21"/>
                <w:szCs w:val="21"/>
                <w:lang w:eastAsia="zh-CN"/>
              </w:rPr>
              <w:t>负责人</w:t>
            </w:r>
            <w:r>
              <w:rPr>
                <w:rFonts w:hint="eastAsia" w:ascii="宋体" w:hAnsi="宋体" w:eastAsia="宋体" w:cs="宋体"/>
                <w:color w:val="0D0D0D"/>
                <w:sz w:val="21"/>
                <w:szCs w:val="21"/>
              </w:rPr>
              <w:t>：应具有本科及以上会计或财务相关专业学历、中级及以上职称、注册会计师、并且担任过类似审计项目负责人。本项满分</w:t>
            </w:r>
            <w:r>
              <w:rPr>
                <w:rFonts w:hint="eastAsia" w:ascii="宋体" w:hAnsi="宋体" w:eastAsia="宋体" w:cs="宋体"/>
                <w:color w:val="0D0D0D"/>
                <w:sz w:val="21"/>
                <w:szCs w:val="21"/>
                <w:lang w:val="en-US" w:eastAsia="zh-CN"/>
              </w:rPr>
              <w:t>8</w:t>
            </w:r>
            <w:r>
              <w:rPr>
                <w:rFonts w:hint="eastAsia" w:ascii="宋体" w:hAnsi="宋体" w:eastAsia="宋体" w:cs="宋体"/>
                <w:color w:val="0D0D0D"/>
                <w:sz w:val="21"/>
                <w:szCs w:val="21"/>
              </w:rPr>
              <w:t>分，每少1个分项扣2分，最多扣至本项得分为0分（提供</w:t>
            </w:r>
            <w:r>
              <w:rPr>
                <w:rFonts w:hint="eastAsia" w:ascii="宋体" w:hAnsi="宋体" w:eastAsia="宋体" w:cs="宋体"/>
                <w:color w:val="0D0D0D"/>
                <w:sz w:val="21"/>
                <w:szCs w:val="21"/>
                <w:lang w:eastAsia="zh-CN"/>
              </w:rPr>
              <w:t>学历、</w:t>
            </w:r>
            <w:r>
              <w:rPr>
                <w:rFonts w:hint="eastAsia" w:ascii="宋体" w:hAnsi="宋体" w:eastAsia="宋体" w:cs="宋体"/>
                <w:color w:val="0D0D0D"/>
                <w:sz w:val="21"/>
                <w:szCs w:val="21"/>
              </w:rPr>
              <w:t>职称、执业证书及业绩证明复印件</w:t>
            </w:r>
            <w:r>
              <w:rPr>
                <w:rFonts w:hint="eastAsia" w:ascii="宋体" w:hAnsi="宋体" w:eastAsia="宋体" w:cs="宋体"/>
                <w:color w:val="0D0D0D"/>
                <w:sz w:val="21"/>
                <w:szCs w:val="21"/>
                <w:lang w:eastAsia="zh-CN"/>
              </w:rPr>
              <w:t>加盖公章</w:t>
            </w:r>
            <w:r>
              <w:rPr>
                <w:rFonts w:hint="eastAsia" w:ascii="宋体" w:hAnsi="宋体" w:eastAsia="宋体" w:cs="宋体"/>
                <w:color w:val="0D0D0D"/>
                <w:sz w:val="21"/>
                <w:szCs w:val="21"/>
              </w:rPr>
              <w:t>）。</w:t>
            </w:r>
          </w:p>
          <w:p w14:paraId="18AA4F40">
            <w:pPr>
              <w:spacing w:line="400" w:lineRule="exact"/>
              <w:rPr>
                <w:rFonts w:hint="eastAsia" w:ascii="宋体" w:hAnsi="宋体" w:eastAsia="宋体" w:cs="宋体"/>
                <w:color w:val="auto"/>
                <w:sz w:val="21"/>
                <w:szCs w:val="21"/>
                <w:lang w:eastAsia="zh-CN"/>
              </w:rPr>
            </w:pPr>
            <w:r>
              <w:rPr>
                <w:rFonts w:hint="eastAsia" w:ascii="宋体" w:hAnsi="宋体" w:eastAsia="宋体" w:cs="宋体"/>
                <w:color w:val="0D0D0D"/>
                <w:sz w:val="21"/>
                <w:szCs w:val="21"/>
              </w:rPr>
              <w:t>（</w:t>
            </w:r>
            <w:r>
              <w:rPr>
                <w:rFonts w:hint="eastAsia" w:ascii="宋体" w:hAnsi="宋体" w:eastAsia="宋体" w:cs="宋体"/>
                <w:color w:val="0D0D0D"/>
                <w:sz w:val="21"/>
                <w:szCs w:val="21"/>
                <w:lang w:val="en-US" w:eastAsia="zh-CN"/>
              </w:rPr>
              <w:t>2</w:t>
            </w:r>
            <w:r>
              <w:rPr>
                <w:rFonts w:hint="eastAsia" w:ascii="宋体" w:hAnsi="宋体" w:eastAsia="宋体" w:cs="宋体"/>
                <w:color w:val="0D0D0D"/>
                <w:sz w:val="21"/>
                <w:szCs w:val="21"/>
              </w:rPr>
              <w:t>）</w:t>
            </w:r>
            <w:r>
              <w:rPr>
                <w:rFonts w:hint="eastAsia" w:ascii="宋体" w:hAnsi="宋体" w:eastAsia="宋体" w:cs="宋体"/>
                <w:color w:val="0D0D0D"/>
                <w:sz w:val="21"/>
                <w:szCs w:val="21"/>
                <w:lang w:eastAsia="zh-CN"/>
              </w:rPr>
              <w:t>其他审计人员</w:t>
            </w:r>
            <w:r>
              <w:rPr>
                <w:rFonts w:hint="eastAsia" w:ascii="宋体" w:hAnsi="宋体" w:eastAsia="宋体" w:cs="宋体"/>
                <w:color w:val="0D0D0D"/>
                <w:sz w:val="21"/>
                <w:szCs w:val="21"/>
              </w:rPr>
              <w:t>：具有中级</w:t>
            </w:r>
            <w:r>
              <w:rPr>
                <w:rFonts w:hint="eastAsia" w:ascii="宋体" w:hAnsi="宋体" w:eastAsia="宋体" w:cs="宋体"/>
                <w:color w:val="0D0D0D"/>
                <w:sz w:val="21"/>
                <w:szCs w:val="21"/>
                <w:lang w:eastAsia="zh-CN"/>
              </w:rPr>
              <w:t>及以上</w:t>
            </w:r>
            <w:r>
              <w:rPr>
                <w:rFonts w:hint="eastAsia" w:ascii="宋体" w:hAnsi="宋体" w:eastAsia="宋体" w:cs="宋体"/>
                <w:color w:val="0D0D0D"/>
                <w:sz w:val="21"/>
                <w:szCs w:val="21"/>
              </w:rPr>
              <w:t>职称</w:t>
            </w:r>
            <w:r>
              <w:rPr>
                <w:rFonts w:hint="eastAsia" w:ascii="宋体" w:hAnsi="宋体" w:eastAsia="宋体" w:cs="宋体"/>
                <w:color w:val="0D0D0D"/>
                <w:sz w:val="21"/>
                <w:szCs w:val="21"/>
                <w:lang w:eastAsia="zh-CN"/>
              </w:rPr>
              <w:t>的</w:t>
            </w:r>
            <w:r>
              <w:rPr>
                <w:rFonts w:hint="eastAsia" w:ascii="宋体" w:hAnsi="宋体" w:eastAsia="宋体" w:cs="宋体"/>
                <w:color w:val="0D0D0D"/>
                <w:sz w:val="21"/>
                <w:szCs w:val="21"/>
              </w:rPr>
              <w:t>，每人得</w:t>
            </w:r>
            <w:r>
              <w:rPr>
                <w:rFonts w:hint="eastAsia" w:ascii="宋体" w:hAnsi="宋体" w:eastAsia="宋体" w:cs="宋体"/>
                <w:color w:val="0D0D0D"/>
                <w:sz w:val="21"/>
                <w:szCs w:val="21"/>
                <w:lang w:val="en-US" w:eastAsia="zh-CN"/>
              </w:rPr>
              <w:t>1</w:t>
            </w:r>
            <w:r>
              <w:rPr>
                <w:rFonts w:hint="eastAsia" w:ascii="宋体" w:hAnsi="宋体" w:eastAsia="宋体" w:cs="宋体"/>
                <w:color w:val="0D0D0D"/>
                <w:sz w:val="21"/>
                <w:szCs w:val="21"/>
              </w:rPr>
              <w:t>分</w:t>
            </w:r>
            <w:r>
              <w:rPr>
                <w:rFonts w:hint="eastAsia" w:ascii="宋体" w:hAnsi="宋体" w:eastAsia="宋体" w:cs="宋体"/>
                <w:color w:val="0D0D0D"/>
                <w:sz w:val="21"/>
                <w:szCs w:val="21"/>
                <w:lang w:eastAsia="zh-CN"/>
              </w:rPr>
              <w:t>，</w:t>
            </w:r>
            <w:r>
              <w:rPr>
                <w:rFonts w:hint="eastAsia" w:ascii="宋体" w:hAnsi="宋体" w:eastAsia="宋体" w:cs="宋体"/>
                <w:color w:val="0D0D0D"/>
                <w:sz w:val="21"/>
                <w:szCs w:val="21"/>
              </w:rPr>
              <w:t>满分</w:t>
            </w:r>
            <w:r>
              <w:rPr>
                <w:rFonts w:hint="eastAsia" w:ascii="宋体" w:hAnsi="宋体" w:eastAsia="宋体" w:cs="宋体"/>
                <w:color w:val="0D0D0D"/>
                <w:sz w:val="21"/>
                <w:szCs w:val="21"/>
                <w:lang w:val="en-US" w:eastAsia="zh-CN"/>
              </w:rPr>
              <w:t>7</w:t>
            </w:r>
            <w:r>
              <w:rPr>
                <w:rFonts w:hint="eastAsia" w:ascii="宋体" w:hAnsi="宋体" w:eastAsia="宋体" w:cs="宋体"/>
                <w:color w:val="0D0D0D"/>
                <w:sz w:val="21"/>
                <w:szCs w:val="21"/>
              </w:rPr>
              <w:t>分（提供职称复印件</w:t>
            </w:r>
            <w:r>
              <w:rPr>
                <w:rFonts w:hint="eastAsia" w:ascii="宋体" w:hAnsi="宋体" w:eastAsia="宋体" w:cs="宋体"/>
                <w:color w:val="0D0D0D"/>
                <w:sz w:val="21"/>
                <w:szCs w:val="21"/>
                <w:lang w:eastAsia="zh-CN"/>
              </w:rPr>
              <w:t>加盖</w:t>
            </w:r>
            <w:r>
              <w:rPr>
                <w:rFonts w:hint="eastAsia" w:ascii="宋体" w:hAnsi="宋体" w:eastAsia="宋体" w:cs="宋体"/>
                <w:color w:val="auto"/>
                <w:sz w:val="21"/>
                <w:szCs w:val="21"/>
                <w:lang w:eastAsia="zh-CN"/>
              </w:rPr>
              <w:t>公章</w:t>
            </w:r>
            <w:r>
              <w:rPr>
                <w:rFonts w:hint="eastAsia" w:ascii="宋体" w:hAnsi="宋体" w:eastAsia="宋体" w:cs="宋体"/>
                <w:color w:val="auto"/>
                <w:sz w:val="21"/>
                <w:szCs w:val="21"/>
              </w:rPr>
              <w:t>）。</w:t>
            </w:r>
          </w:p>
          <w:p w14:paraId="2798F0FF">
            <w:pPr>
              <w:spacing w:line="400" w:lineRule="exact"/>
              <w:rPr>
                <w:rFonts w:hint="eastAsia" w:ascii="宋体" w:hAnsi="宋体" w:eastAsia="宋体" w:cs="宋体"/>
                <w:bCs/>
                <w:kern w:val="2"/>
                <w:sz w:val="21"/>
                <w:szCs w:val="21"/>
                <w:lang w:val="en-US" w:eastAsia="zh-CN" w:bidi="ar-SA"/>
              </w:rPr>
            </w:pPr>
            <w:r>
              <w:rPr>
                <w:rFonts w:hint="eastAsia" w:ascii="宋体" w:hAnsi="宋体" w:eastAsia="宋体" w:cs="宋体"/>
                <w:color w:val="auto"/>
                <w:sz w:val="21"/>
                <w:szCs w:val="21"/>
              </w:rPr>
              <w:t>说明：以上人员必须是供应商在职人员，附供应商</w:t>
            </w:r>
            <w:r>
              <w:rPr>
                <w:rFonts w:hint="eastAsia" w:ascii="宋体" w:hAnsi="宋体" w:eastAsia="宋体" w:cs="宋体"/>
                <w:color w:val="auto"/>
                <w:sz w:val="21"/>
                <w:szCs w:val="21"/>
                <w:lang w:eastAsia="zh-CN"/>
              </w:rPr>
              <w:t>与拟投入人员的劳动合同或者社保证明</w:t>
            </w:r>
            <w:r>
              <w:rPr>
                <w:rFonts w:hint="eastAsia" w:ascii="宋体" w:hAnsi="宋体" w:eastAsia="宋体" w:cs="宋体"/>
                <w:color w:val="auto"/>
                <w:sz w:val="21"/>
                <w:szCs w:val="21"/>
              </w:rPr>
              <w:t>等相关材料复印件</w:t>
            </w:r>
          </w:p>
        </w:tc>
      </w:tr>
      <w:tr w14:paraId="2BC06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6" w:type="dxa"/>
            <w:gridSpan w:val="3"/>
            <w:noWrap w:val="0"/>
            <w:vAlign w:val="center"/>
          </w:tcPr>
          <w:p w14:paraId="13AA00E8">
            <w:pPr>
              <w:spacing w:line="400" w:lineRule="exact"/>
              <w:jc w:val="center"/>
              <w:rPr>
                <w:rFonts w:hint="eastAsia" w:ascii="宋体" w:hAnsi="宋体" w:eastAsia="宋体" w:cs="宋体"/>
                <w:color w:val="0D0D0D"/>
                <w:sz w:val="21"/>
                <w:szCs w:val="21"/>
              </w:rPr>
            </w:pPr>
            <w:r>
              <w:rPr>
                <w:rFonts w:hint="eastAsia" w:ascii="宋体" w:hAnsi="宋体" w:eastAsia="宋体" w:cs="宋体"/>
                <w:b/>
                <w:bCs/>
                <w:color w:val="0D0D0D"/>
                <w:sz w:val="21"/>
                <w:szCs w:val="21"/>
              </w:rPr>
              <w:t>（三）商务分（满分10分）</w:t>
            </w:r>
          </w:p>
        </w:tc>
      </w:tr>
      <w:tr w14:paraId="1D4B9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 w:type="dxa"/>
            <w:noWrap w:val="0"/>
            <w:vAlign w:val="center"/>
          </w:tcPr>
          <w:p w14:paraId="14DEA8A9">
            <w:pPr>
              <w:spacing w:line="400" w:lineRule="exact"/>
              <w:jc w:val="both"/>
              <w:rPr>
                <w:rFonts w:hint="eastAsia" w:ascii="宋体" w:hAnsi="宋体" w:eastAsia="宋体" w:cs="宋体"/>
                <w:b/>
                <w:bCs/>
                <w:color w:val="0D0D0D"/>
                <w:sz w:val="21"/>
                <w:szCs w:val="21"/>
                <w:lang w:eastAsia="zh-CN"/>
              </w:rPr>
            </w:pPr>
            <w:r>
              <w:rPr>
                <w:rFonts w:hint="eastAsia" w:ascii="宋体" w:hAnsi="宋体" w:eastAsia="宋体" w:cs="宋体"/>
                <w:color w:val="0D0D0D"/>
                <w:sz w:val="21"/>
                <w:szCs w:val="21"/>
                <w:lang w:eastAsia="zh-CN"/>
              </w:rPr>
              <w:t>信誉</w:t>
            </w:r>
            <w:r>
              <w:rPr>
                <w:rFonts w:hint="eastAsia" w:ascii="宋体" w:hAnsi="宋体" w:eastAsia="宋体" w:cs="宋体"/>
                <w:color w:val="0D0D0D"/>
                <w:sz w:val="21"/>
                <w:szCs w:val="21"/>
              </w:rPr>
              <w:t>业绩</w:t>
            </w:r>
            <w:r>
              <w:rPr>
                <w:rFonts w:hint="eastAsia" w:ascii="宋体" w:hAnsi="宋体" w:eastAsia="宋体" w:cs="宋体"/>
                <w:color w:val="0D0D0D"/>
                <w:sz w:val="21"/>
                <w:szCs w:val="21"/>
                <w:lang w:eastAsia="zh-CN"/>
              </w:rPr>
              <w:t>分</w:t>
            </w:r>
          </w:p>
        </w:tc>
        <w:tc>
          <w:tcPr>
            <w:tcW w:w="1139" w:type="dxa"/>
            <w:noWrap w:val="0"/>
            <w:vAlign w:val="center"/>
          </w:tcPr>
          <w:p w14:paraId="1BB11531">
            <w:pPr>
              <w:spacing w:line="400" w:lineRule="exact"/>
              <w:jc w:val="center"/>
              <w:rPr>
                <w:rFonts w:hint="eastAsia" w:ascii="宋体" w:hAnsi="宋体" w:eastAsia="宋体" w:cs="宋体"/>
                <w:color w:val="0D0D0D"/>
                <w:sz w:val="21"/>
                <w:szCs w:val="21"/>
              </w:rPr>
            </w:pPr>
            <w:r>
              <w:rPr>
                <w:rFonts w:hint="eastAsia" w:ascii="宋体" w:hAnsi="宋体" w:eastAsia="宋体" w:cs="宋体"/>
                <w:color w:val="0D0D0D"/>
                <w:sz w:val="21"/>
                <w:szCs w:val="21"/>
                <w:lang w:val="en-US" w:eastAsia="zh-CN"/>
              </w:rPr>
              <w:t>10</w:t>
            </w:r>
            <w:r>
              <w:rPr>
                <w:rFonts w:hint="eastAsia" w:ascii="宋体" w:hAnsi="宋体" w:eastAsia="宋体" w:cs="宋体"/>
                <w:color w:val="0D0D0D"/>
                <w:sz w:val="21"/>
                <w:szCs w:val="21"/>
              </w:rPr>
              <w:t>分</w:t>
            </w:r>
          </w:p>
        </w:tc>
        <w:tc>
          <w:tcPr>
            <w:tcW w:w="6409" w:type="dxa"/>
            <w:noWrap w:val="0"/>
            <w:vAlign w:val="center"/>
          </w:tcPr>
          <w:p w14:paraId="38DF562A">
            <w:pPr>
              <w:spacing w:line="400" w:lineRule="exact"/>
              <w:rPr>
                <w:rFonts w:hint="eastAsia" w:ascii="宋体" w:hAnsi="宋体" w:eastAsia="宋体" w:cs="宋体"/>
                <w:color w:val="0D0D0D"/>
                <w:sz w:val="21"/>
                <w:szCs w:val="21"/>
                <w:lang w:val="en-US" w:eastAsia="zh-CN"/>
              </w:rPr>
            </w:pPr>
            <w:r>
              <w:rPr>
                <w:rFonts w:hint="eastAsia" w:ascii="宋体" w:hAnsi="宋体" w:eastAsia="宋体" w:cs="宋体"/>
                <w:color w:val="0D0D0D"/>
                <w:sz w:val="21"/>
                <w:szCs w:val="21"/>
                <w:lang w:val="en-US" w:eastAsia="zh-CN"/>
              </w:rPr>
              <w:t>1.供应商获得ISO9001质量管理体系的得 2分。（提供证书复印件并加盖供应商单位公章）。</w:t>
            </w:r>
          </w:p>
          <w:p w14:paraId="4AA4C4A3">
            <w:pPr>
              <w:spacing w:line="400" w:lineRule="exact"/>
              <w:rPr>
                <w:rFonts w:hint="eastAsia" w:ascii="宋体" w:hAnsi="宋体" w:eastAsia="宋体" w:cs="宋体"/>
                <w:color w:val="0D0D0D"/>
                <w:sz w:val="21"/>
                <w:szCs w:val="21"/>
              </w:rPr>
            </w:pPr>
            <w:r>
              <w:rPr>
                <w:rFonts w:hint="eastAsia" w:ascii="宋体" w:hAnsi="宋体" w:eastAsia="宋体" w:cs="宋体"/>
                <w:color w:val="0D0D0D"/>
                <w:sz w:val="21"/>
                <w:szCs w:val="21"/>
                <w:lang w:val="en-US" w:eastAsia="zh-CN"/>
              </w:rPr>
              <w:t>2、供应商自2022年1月1日至今完成过类似审计服务的，每个项目得2分，满分8分（附合同复印件或中标通知书复印件，加盖供应商单位公章，否则该项不得分）。</w:t>
            </w:r>
          </w:p>
        </w:tc>
      </w:tr>
      <w:tr w14:paraId="0CB60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6" w:type="dxa"/>
            <w:gridSpan w:val="3"/>
            <w:noWrap w:val="0"/>
            <w:vAlign w:val="center"/>
          </w:tcPr>
          <w:p w14:paraId="0F37E9B9">
            <w:pPr>
              <w:spacing w:line="400" w:lineRule="exact"/>
              <w:rPr>
                <w:rFonts w:hint="eastAsia" w:ascii="宋体" w:hAnsi="宋体" w:eastAsia="宋体" w:cs="宋体"/>
                <w:color w:val="0D0D0D"/>
                <w:sz w:val="21"/>
                <w:szCs w:val="21"/>
              </w:rPr>
            </w:pPr>
            <w:bookmarkStart w:id="201" w:name="_Toc9520"/>
            <w:r>
              <w:rPr>
                <w:rFonts w:hint="eastAsia" w:ascii="宋体" w:hAnsi="宋体" w:eastAsia="宋体" w:cs="宋体"/>
                <w:b/>
                <w:color w:val="0D0D0D"/>
                <w:sz w:val="21"/>
                <w:szCs w:val="21"/>
              </w:rPr>
              <w:t>总得分=</w:t>
            </w:r>
            <w:r>
              <w:rPr>
                <w:rFonts w:hint="eastAsia" w:ascii="宋体" w:hAnsi="宋体" w:eastAsia="宋体" w:cs="宋体"/>
                <w:b/>
                <w:bCs/>
                <w:color w:val="0D0D0D"/>
                <w:sz w:val="21"/>
                <w:szCs w:val="21"/>
              </w:rPr>
              <w:t>（一）</w:t>
            </w:r>
            <w:r>
              <w:rPr>
                <w:rFonts w:hint="eastAsia" w:ascii="宋体" w:hAnsi="宋体" w:eastAsia="宋体" w:cs="宋体"/>
                <w:b/>
                <w:color w:val="0D0D0D"/>
                <w:sz w:val="21"/>
                <w:szCs w:val="21"/>
              </w:rPr>
              <w:t>+</w:t>
            </w:r>
            <w:r>
              <w:rPr>
                <w:rFonts w:hint="eastAsia" w:ascii="宋体" w:hAnsi="宋体" w:eastAsia="宋体" w:cs="宋体"/>
                <w:b/>
                <w:bCs/>
                <w:color w:val="0D0D0D"/>
                <w:sz w:val="21"/>
                <w:szCs w:val="21"/>
              </w:rPr>
              <w:t>（二）</w:t>
            </w:r>
            <w:r>
              <w:rPr>
                <w:rFonts w:hint="eastAsia" w:ascii="宋体" w:hAnsi="宋体" w:eastAsia="宋体" w:cs="宋体"/>
                <w:b/>
                <w:color w:val="0D0D0D"/>
                <w:sz w:val="21"/>
                <w:szCs w:val="21"/>
              </w:rPr>
              <w:t>+</w:t>
            </w:r>
            <w:bookmarkEnd w:id="201"/>
            <w:r>
              <w:rPr>
                <w:rFonts w:hint="eastAsia" w:ascii="宋体" w:hAnsi="宋体" w:eastAsia="宋体" w:cs="宋体"/>
                <w:b/>
                <w:bCs/>
                <w:color w:val="0D0D0D"/>
                <w:sz w:val="21"/>
                <w:szCs w:val="21"/>
              </w:rPr>
              <w:t>（三）</w:t>
            </w:r>
          </w:p>
        </w:tc>
      </w:tr>
      <w:bookmarkEnd w:id="200"/>
    </w:tbl>
    <w:p w14:paraId="1CE97936">
      <w:pPr>
        <w:pStyle w:val="13"/>
        <w:tabs>
          <w:tab w:val="left" w:pos="2472"/>
        </w:tabs>
        <w:spacing w:line="400" w:lineRule="exact"/>
        <w:ind w:firstLine="422"/>
        <w:jc w:val="left"/>
        <w:rPr>
          <w:rFonts w:hint="eastAsia" w:hAnsi="宋体"/>
          <w:b/>
          <w:bCs w:val="0"/>
          <w:color w:val="auto"/>
          <w:szCs w:val="21"/>
          <w:lang w:eastAsia="zh-CN"/>
        </w:rPr>
      </w:pPr>
    </w:p>
    <w:p w14:paraId="22259CFF">
      <w:pPr>
        <w:pStyle w:val="13"/>
        <w:tabs>
          <w:tab w:val="left" w:pos="2472"/>
        </w:tabs>
        <w:spacing w:line="400" w:lineRule="exact"/>
        <w:ind w:firstLine="422"/>
        <w:jc w:val="left"/>
        <w:rPr>
          <w:rFonts w:ascii="宋体" w:hAnsi="宋体"/>
          <w:bCs/>
          <w:color w:val="auto"/>
          <w:szCs w:val="21"/>
        </w:rPr>
      </w:pPr>
      <w:r>
        <w:rPr>
          <w:rFonts w:hint="eastAsia" w:hAnsi="宋体"/>
          <w:b/>
          <w:bCs w:val="0"/>
          <w:color w:val="auto"/>
          <w:szCs w:val="21"/>
          <w:lang w:eastAsia="zh-CN"/>
        </w:rPr>
        <w:t>三、</w:t>
      </w:r>
      <w:r>
        <w:rPr>
          <w:rFonts w:hint="eastAsia" w:ascii="宋体" w:hAnsi="宋体"/>
          <w:b/>
          <w:bCs w:val="0"/>
          <w:color w:val="auto"/>
          <w:szCs w:val="21"/>
          <w:lang w:eastAsia="zh-CN"/>
        </w:rPr>
        <w:t>成交</w:t>
      </w:r>
      <w:r>
        <w:rPr>
          <w:rFonts w:hint="eastAsia" w:ascii="宋体" w:hAnsi="宋体"/>
          <w:b/>
          <w:bCs w:val="0"/>
          <w:color w:val="auto"/>
          <w:szCs w:val="21"/>
        </w:rPr>
        <w:t>标准：</w:t>
      </w:r>
      <w:r>
        <w:rPr>
          <w:rFonts w:hint="eastAsia" w:ascii="宋体" w:hAnsi="宋体" w:eastAsia="宋体" w:cs="宋体"/>
          <w:color w:val="auto"/>
          <w:lang w:val="en-US" w:eastAsia="zh-CN"/>
        </w:rPr>
        <w:t>由磋商小组根据综合评分情况，按照评审得分由高到低顺序推荐 3 名成交候选供应商, 并编写评审报告。评审得分相同的，按照最后报价由低到高的顺序推荐。评审得分且最后报价相同的，按照技术指标优劣顺序推荐（按技术得分由高到低排序）。评审得分、最后报价、技术得分均相同的，由磋商小组随机抽取推荐</w:t>
      </w:r>
      <w:r>
        <w:rPr>
          <w:rFonts w:hint="eastAsia" w:hAnsi="宋体" w:cs="宋体"/>
          <w:color w:val="auto"/>
          <w:lang w:val="en-US" w:eastAsia="zh-CN"/>
        </w:rPr>
        <w:t>。</w:t>
      </w:r>
    </w:p>
    <w:bookmarkEnd w:id="194"/>
    <w:bookmarkEnd w:id="195"/>
    <w:bookmarkEnd w:id="196"/>
    <w:bookmarkEnd w:id="197"/>
    <w:bookmarkEnd w:id="198"/>
    <w:p w14:paraId="54FAFECC">
      <w:pPr>
        <w:keepNext/>
        <w:rPr>
          <w:rFonts w:ascii="宋体" w:hAnsi="宋体" w:cs="宋体"/>
          <w:color w:val="auto"/>
        </w:rPr>
      </w:pPr>
    </w:p>
    <w:sectPr>
      <w:footerReference r:id="rId5" w:type="default"/>
      <w:pgSz w:w="11906" w:h="16838"/>
      <w:pgMar w:top="1440" w:right="1417" w:bottom="1440" w:left="1417" w:header="720" w:footer="720" w:gutter="0"/>
      <w:pgNumType w:fmt="decimal" w:start="38"/>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Gungsuh">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宋体;SimSun">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5F4D">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A05C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4A05C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B059">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0C553">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D0C553">
                    <w:pPr>
                      <w:pStyle w:val="1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CF537">
                          <w:pPr>
                            <w:pStyle w:val="17"/>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8CF537">
                    <w:pPr>
                      <w:pStyle w:val="17"/>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CB8B">
    <w:pPr>
      <w:pBdr>
        <w:bottom w:val="single" w:color="auto" w:sz="6" w:space="1"/>
      </w:pBdr>
      <w:tabs>
        <w:tab w:val="right" w:pos="8306"/>
      </w:tabs>
      <w:snapToGrid w:val="0"/>
      <w:jc w:val="both"/>
      <w:rPr>
        <w:rFonts w:ascii="宋体" w:hAnsi="宋体" w:cs="宋体"/>
        <w:b/>
        <w:color w:val="000000"/>
        <w:kern w:val="0"/>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2487"/>
        </w:tabs>
        <w:ind w:left="2411" w:hanging="284"/>
      </w:pPr>
      <w:rPr>
        <w:rFonts w:hint="default" w:ascii="Times New Roman" w:hAnsi="Times New Roman"/>
        <w:b/>
        <w:i w:val="0"/>
        <w:sz w:val="28"/>
      </w:rPr>
    </w:lvl>
    <w:lvl w:ilvl="1" w:tentative="0">
      <w:start w:val="1"/>
      <w:numFmt w:val="decimal"/>
      <w:pStyle w:val="4"/>
      <w:lvlText w:val="%1.%2"/>
      <w:lvlJc w:val="left"/>
      <w:pPr>
        <w:tabs>
          <w:tab w:val="left" w:pos="3148"/>
        </w:tabs>
        <w:ind w:left="3148" w:hanging="596"/>
      </w:pPr>
      <w:rPr>
        <w:rFonts w:hint="default" w:ascii="Times New Roman" w:hAnsi="Times New Roman"/>
        <w:b/>
        <w:i w:val="0"/>
        <w:sz w:val="28"/>
      </w:rPr>
    </w:lvl>
    <w:lvl w:ilvl="2" w:tentative="0">
      <w:start w:val="1"/>
      <w:numFmt w:val="decimal"/>
      <w:pStyle w:val="5"/>
      <w:lvlText w:val="%1.%2.%3"/>
      <w:lvlJc w:val="left"/>
      <w:pPr>
        <w:tabs>
          <w:tab w:val="left" w:pos="3715"/>
        </w:tabs>
        <w:ind w:left="3715" w:hanging="737"/>
      </w:pPr>
      <w:rPr>
        <w:rFonts w:hint="default" w:ascii="Times New Roman" w:hAnsi="Times New Roman"/>
        <w:b/>
        <w:i w:val="0"/>
        <w:sz w:val="24"/>
      </w:rPr>
    </w:lvl>
    <w:lvl w:ilvl="3" w:tentative="0">
      <w:start w:val="1"/>
      <w:numFmt w:val="decimal"/>
      <w:pStyle w:val="6"/>
      <w:lvlText w:val="%1.%2.%3.%4"/>
      <w:lvlJc w:val="left"/>
      <w:pPr>
        <w:tabs>
          <w:tab w:val="left" w:pos="4282"/>
        </w:tabs>
        <w:ind w:left="4282" w:hanging="1078"/>
      </w:pPr>
      <w:rPr>
        <w:rFonts w:hint="default" w:ascii="Arial" w:hAnsi="Arial"/>
        <w:b w:val="0"/>
        <w:i w:val="0"/>
        <w:sz w:val="24"/>
      </w:rPr>
    </w:lvl>
    <w:lvl w:ilvl="4" w:tentative="0">
      <w:start w:val="1"/>
      <w:numFmt w:val="decimal"/>
      <w:lvlText w:val="%1.%2.%3.%4.%5"/>
      <w:lvlJc w:val="left"/>
      <w:pPr>
        <w:tabs>
          <w:tab w:val="left" w:pos="5268"/>
        </w:tabs>
        <w:ind w:left="4678" w:hanging="850"/>
      </w:pPr>
      <w:rPr>
        <w:rFonts w:hint="eastAsia"/>
      </w:rPr>
    </w:lvl>
    <w:lvl w:ilvl="5" w:tentative="0">
      <w:start w:val="1"/>
      <w:numFmt w:val="decimal"/>
      <w:lvlText w:val="%1.%2.%3.%4.%5.%6"/>
      <w:lvlJc w:val="left"/>
      <w:pPr>
        <w:tabs>
          <w:tab w:val="left" w:pos="5693"/>
        </w:tabs>
        <w:ind w:left="5387" w:hanging="1134"/>
      </w:pPr>
      <w:rPr>
        <w:rFonts w:hint="eastAsia"/>
      </w:rPr>
    </w:lvl>
    <w:lvl w:ilvl="6" w:tentative="0">
      <w:start w:val="1"/>
      <w:numFmt w:val="decimal"/>
      <w:lvlText w:val="%1.%2.%3.%4.%5.%6.%7"/>
      <w:lvlJc w:val="left"/>
      <w:pPr>
        <w:tabs>
          <w:tab w:val="left" w:pos="6478"/>
        </w:tabs>
        <w:ind w:left="5954" w:hanging="1276"/>
      </w:pPr>
      <w:rPr>
        <w:rFonts w:hint="eastAsia"/>
      </w:rPr>
    </w:lvl>
    <w:lvl w:ilvl="7" w:tentative="0">
      <w:start w:val="1"/>
      <w:numFmt w:val="decimal"/>
      <w:lvlText w:val="%1.%2.%3.%4.%5.%6.%7.%8"/>
      <w:lvlJc w:val="left"/>
      <w:pPr>
        <w:tabs>
          <w:tab w:val="left" w:pos="7263"/>
        </w:tabs>
        <w:ind w:left="6521" w:hanging="1418"/>
      </w:pPr>
      <w:rPr>
        <w:rFonts w:hint="eastAsia"/>
      </w:rPr>
    </w:lvl>
    <w:lvl w:ilvl="8" w:tentative="0">
      <w:start w:val="1"/>
      <w:numFmt w:val="decimal"/>
      <w:lvlText w:val="%1.%2.%3.%4.%5.%6.%7.%8.%9"/>
      <w:lvlJc w:val="left"/>
      <w:pPr>
        <w:tabs>
          <w:tab w:val="left" w:pos="7689"/>
        </w:tabs>
        <w:ind w:left="7229" w:hanging="1700"/>
      </w:pPr>
      <w:rPr>
        <w:rFonts w:hint="eastAsia"/>
      </w:rPr>
    </w:lvl>
  </w:abstractNum>
  <w:abstractNum w:abstractNumId="1">
    <w:nsid w:val="0A802F33"/>
    <w:multiLevelType w:val="singleLevel"/>
    <w:tmpl w:val="0A802F33"/>
    <w:lvl w:ilvl="0" w:tentative="0">
      <w:start w:val="1"/>
      <w:numFmt w:val="decimal"/>
      <w:suff w:val="nothing"/>
      <w:lvlText w:val="（%1）"/>
      <w:lvlJc w:val="left"/>
    </w:lvl>
  </w:abstractNum>
  <w:abstractNum w:abstractNumId="2">
    <w:nsid w:val="20D07223"/>
    <w:multiLevelType w:val="multilevel"/>
    <w:tmpl w:val="20D07223"/>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2B364E5"/>
    <w:multiLevelType w:val="multilevel"/>
    <w:tmpl w:val="22B364E5"/>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562339E0"/>
    <w:multiLevelType w:val="multilevel"/>
    <w:tmpl w:val="562339E0"/>
    <w:lvl w:ilvl="0" w:tentative="0">
      <w:start w:val="1"/>
      <w:numFmt w:val="chineseCountingThousand"/>
      <w:pStyle w:val="73"/>
      <w:suff w:val="nothing"/>
      <w:lvlText w:val="%1、"/>
      <w:lvlJc w:val="left"/>
      <w:pPr>
        <w:ind w:left="0" w:firstLine="0"/>
      </w:pPr>
      <w:rPr>
        <w:rFonts w:hint="eastAsia" w:eastAsia="楷体_GB2312"/>
        <w:b/>
        <w:i w:val="0"/>
        <w:sz w:val="32"/>
        <w:szCs w:val="32"/>
      </w:rPr>
    </w:lvl>
    <w:lvl w:ilvl="1" w:tentative="0">
      <w:start w:val="1"/>
      <w:numFmt w:val="decimal"/>
      <w:isLgl/>
      <w:suff w:val="space"/>
      <w:lvlText w:val="%1.%2 "/>
      <w:lvlJc w:val="left"/>
      <w:pPr>
        <w:ind w:left="0" w:firstLine="0"/>
      </w:pPr>
      <w:rPr>
        <w:rFonts w:hint="eastAsia" w:eastAsia="黑体"/>
        <w:b/>
        <w:i w:val="0"/>
        <w:sz w:val="30"/>
        <w:szCs w:val="30"/>
      </w:rPr>
    </w:lvl>
    <w:lvl w:ilvl="2" w:tentative="0">
      <w:start w:val="1"/>
      <w:numFmt w:val="decimal"/>
      <w:isLgl/>
      <w:suff w:val="space"/>
      <w:lvlText w:val="%1.%2.%3 "/>
      <w:lvlJc w:val="left"/>
      <w:pPr>
        <w:ind w:left="0" w:firstLine="0"/>
      </w:pPr>
      <w:rPr>
        <w:rFonts w:hint="eastAsia" w:eastAsia="黑体"/>
        <w:b/>
        <w:i w:val="0"/>
        <w:spacing w:val="-20"/>
        <w:sz w:val="30"/>
        <w:szCs w:val="30"/>
      </w:rPr>
    </w:lvl>
    <w:lvl w:ilvl="3" w:tentative="0">
      <w:start w:val="1"/>
      <w:numFmt w:val="decimal"/>
      <w:isLgl/>
      <w:suff w:val="space"/>
      <w:lvlText w:val="%1.%2.%3.%4 "/>
      <w:lvlJc w:val="left"/>
      <w:pPr>
        <w:ind w:left="0" w:firstLine="0"/>
      </w:pPr>
      <w:rPr>
        <w:rFonts w:hint="eastAsia"/>
      </w:rPr>
    </w:lvl>
    <w:lvl w:ilvl="4" w:tentative="0">
      <w:start w:val="1"/>
      <w:numFmt w:val="none"/>
      <w:suff w:val="nothing"/>
      <w:lvlText w:val=""/>
      <w:lvlJc w:val="left"/>
      <w:pPr>
        <w:ind w:left="-425" w:firstLine="0"/>
      </w:pPr>
      <w:rPr>
        <w:rFonts w:hint="eastAsia"/>
      </w:rPr>
    </w:lvl>
    <w:lvl w:ilvl="5" w:tentative="0">
      <w:start w:val="1"/>
      <w:numFmt w:val="none"/>
      <w:suff w:val="nothing"/>
      <w:lvlText w:val=""/>
      <w:lvlJc w:val="left"/>
      <w:pPr>
        <w:ind w:left="-425" w:firstLine="0"/>
      </w:pPr>
      <w:rPr>
        <w:rFonts w:hint="eastAsia"/>
      </w:rPr>
    </w:lvl>
    <w:lvl w:ilvl="6" w:tentative="0">
      <w:start w:val="1"/>
      <w:numFmt w:val="none"/>
      <w:suff w:val="nothing"/>
      <w:lvlText w:val=""/>
      <w:lvlJc w:val="left"/>
      <w:pPr>
        <w:ind w:left="-425" w:firstLine="0"/>
      </w:pPr>
      <w:rPr>
        <w:rFonts w:hint="eastAsia"/>
      </w:rPr>
    </w:lvl>
    <w:lvl w:ilvl="7" w:tentative="0">
      <w:start w:val="1"/>
      <w:numFmt w:val="none"/>
      <w:suff w:val="nothing"/>
      <w:lvlText w:val=""/>
      <w:lvlJc w:val="left"/>
      <w:pPr>
        <w:ind w:left="-425" w:firstLine="0"/>
      </w:pPr>
      <w:rPr>
        <w:rFonts w:hint="eastAsia"/>
      </w:rPr>
    </w:lvl>
    <w:lvl w:ilvl="8" w:tentative="0">
      <w:start w:val="1"/>
      <w:numFmt w:val="decimal"/>
      <w:pStyle w:val="7"/>
      <w:isLgl/>
      <w:suff w:val="nothing"/>
      <w:lvlText w:val="%9、"/>
      <w:lvlJc w:val="left"/>
      <w:pPr>
        <w:ind w:left="567" w:firstLine="0"/>
      </w:pPr>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MDA0YWQzNWY3MDhiMTdiZDA2NDg4YWU5MGRhOWMifQ=="/>
  </w:docVars>
  <w:rsids>
    <w:rsidRoot w:val="000B007F"/>
    <w:rsid w:val="00001F63"/>
    <w:rsid w:val="0000599A"/>
    <w:rsid w:val="00011B71"/>
    <w:rsid w:val="00016FB9"/>
    <w:rsid w:val="00021351"/>
    <w:rsid w:val="00021731"/>
    <w:rsid w:val="00022A4C"/>
    <w:rsid w:val="00023FE3"/>
    <w:rsid w:val="00024027"/>
    <w:rsid w:val="00025EB5"/>
    <w:rsid w:val="0002640C"/>
    <w:rsid w:val="00030961"/>
    <w:rsid w:val="00031624"/>
    <w:rsid w:val="00033302"/>
    <w:rsid w:val="000351DB"/>
    <w:rsid w:val="00036E98"/>
    <w:rsid w:val="00043B57"/>
    <w:rsid w:val="00043BF6"/>
    <w:rsid w:val="0005221A"/>
    <w:rsid w:val="00053837"/>
    <w:rsid w:val="00054DC6"/>
    <w:rsid w:val="000550C6"/>
    <w:rsid w:val="00056179"/>
    <w:rsid w:val="0005779F"/>
    <w:rsid w:val="00061E88"/>
    <w:rsid w:val="00066046"/>
    <w:rsid w:val="000714C4"/>
    <w:rsid w:val="0007270C"/>
    <w:rsid w:val="00075068"/>
    <w:rsid w:val="0008297C"/>
    <w:rsid w:val="00082C0A"/>
    <w:rsid w:val="0008348F"/>
    <w:rsid w:val="00084572"/>
    <w:rsid w:val="000856F4"/>
    <w:rsid w:val="000867C7"/>
    <w:rsid w:val="00086D8A"/>
    <w:rsid w:val="0009290C"/>
    <w:rsid w:val="000933BC"/>
    <w:rsid w:val="00097AE8"/>
    <w:rsid w:val="000A1AB7"/>
    <w:rsid w:val="000A6260"/>
    <w:rsid w:val="000A6829"/>
    <w:rsid w:val="000A6D8C"/>
    <w:rsid w:val="000A79C4"/>
    <w:rsid w:val="000B007F"/>
    <w:rsid w:val="000B0EF3"/>
    <w:rsid w:val="000B1174"/>
    <w:rsid w:val="000B4988"/>
    <w:rsid w:val="000B67CD"/>
    <w:rsid w:val="000B6C6B"/>
    <w:rsid w:val="000B7759"/>
    <w:rsid w:val="000B77BE"/>
    <w:rsid w:val="000B7DED"/>
    <w:rsid w:val="000C0491"/>
    <w:rsid w:val="000C7B59"/>
    <w:rsid w:val="000D2250"/>
    <w:rsid w:val="000F1E5B"/>
    <w:rsid w:val="000F2A03"/>
    <w:rsid w:val="000F3630"/>
    <w:rsid w:val="000F3722"/>
    <w:rsid w:val="000F3E30"/>
    <w:rsid w:val="000F4428"/>
    <w:rsid w:val="000F4BF7"/>
    <w:rsid w:val="000F7EEC"/>
    <w:rsid w:val="00100B86"/>
    <w:rsid w:val="00102D26"/>
    <w:rsid w:val="0010665D"/>
    <w:rsid w:val="00110AE0"/>
    <w:rsid w:val="00115281"/>
    <w:rsid w:val="00116736"/>
    <w:rsid w:val="00116CBF"/>
    <w:rsid w:val="00116DC0"/>
    <w:rsid w:val="00117C27"/>
    <w:rsid w:val="001200CF"/>
    <w:rsid w:val="001206D8"/>
    <w:rsid w:val="00122793"/>
    <w:rsid w:val="001234AE"/>
    <w:rsid w:val="001278D4"/>
    <w:rsid w:val="001307E7"/>
    <w:rsid w:val="00132F98"/>
    <w:rsid w:val="001379AC"/>
    <w:rsid w:val="001445FA"/>
    <w:rsid w:val="0014550F"/>
    <w:rsid w:val="001479C8"/>
    <w:rsid w:val="001567AE"/>
    <w:rsid w:val="0016419D"/>
    <w:rsid w:val="00165342"/>
    <w:rsid w:val="00165D39"/>
    <w:rsid w:val="001732CA"/>
    <w:rsid w:val="00181508"/>
    <w:rsid w:val="00182DCF"/>
    <w:rsid w:val="0018474C"/>
    <w:rsid w:val="00192AAE"/>
    <w:rsid w:val="00193DC2"/>
    <w:rsid w:val="001A00D9"/>
    <w:rsid w:val="001A7F03"/>
    <w:rsid w:val="001B27AD"/>
    <w:rsid w:val="001B7EBF"/>
    <w:rsid w:val="001C688F"/>
    <w:rsid w:val="001C76A9"/>
    <w:rsid w:val="001D117C"/>
    <w:rsid w:val="001D2DDF"/>
    <w:rsid w:val="001D7B88"/>
    <w:rsid w:val="001E413F"/>
    <w:rsid w:val="001E436F"/>
    <w:rsid w:val="001E652E"/>
    <w:rsid w:val="001F013B"/>
    <w:rsid w:val="001F0FF9"/>
    <w:rsid w:val="001F10C6"/>
    <w:rsid w:val="001F15F2"/>
    <w:rsid w:val="001F25B6"/>
    <w:rsid w:val="001F3002"/>
    <w:rsid w:val="001F64E1"/>
    <w:rsid w:val="001F70B4"/>
    <w:rsid w:val="002002DF"/>
    <w:rsid w:val="00205892"/>
    <w:rsid w:val="002149BB"/>
    <w:rsid w:val="00214FFB"/>
    <w:rsid w:val="00220E0C"/>
    <w:rsid w:val="002240D3"/>
    <w:rsid w:val="00231D0C"/>
    <w:rsid w:val="002352E9"/>
    <w:rsid w:val="002401E6"/>
    <w:rsid w:val="002444B0"/>
    <w:rsid w:val="002447D7"/>
    <w:rsid w:val="00247FFC"/>
    <w:rsid w:val="0025353F"/>
    <w:rsid w:val="00257C94"/>
    <w:rsid w:val="00264BDA"/>
    <w:rsid w:val="0026604F"/>
    <w:rsid w:val="00267A98"/>
    <w:rsid w:val="00270D2D"/>
    <w:rsid w:val="00274204"/>
    <w:rsid w:val="002745D7"/>
    <w:rsid w:val="0027515D"/>
    <w:rsid w:val="00275CAA"/>
    <w:rsid w:val="00277EBD"/>
    <w:rsid w:val="002818C6"/>
    <w:rsid w:val="00282F47"/>
    <w:rsid w:val="00286593"/>
    <w:rsid w:val="002906B5"/>
    <w:rsid w:val="002A190C"/>
    <w:rsid w:val="002A300C"/>
    <w:rsid w:val="002A46A8"/>
    <w:rsid w:val="002A4D41"/>
    <w:rsid w:val="002A60C6"/>
    <w:rsid w:val="002B01AA"/>
    <w:rsid w:val="002B06D1"/>
    <w:rsid w:val="002B66C0"/>
    <w:rsid w:val="002B6923"/>
    <w:rsid w:val="002C114E"/>
    <w:rsid w:val="002C1A2B"/>
    <w:rsid w:val="002C5864"/>
    <w:rsid w:val="002C7712"/>
    <w:rsid w:val="002D0788"/>
    <w:rsid w:val="002D14D6"/>
    <w:rsid w:val="002D3FED"/>
    <w:rsid w:val="002D58CD"/>
    <w:rsid w:val="002D7BFC"/>
    <w:rsid w:val="002E2974"/>
    <w:rsid w:val="002E2A1A"/>
    <w:rsid w:val="002E37B7"/>
    <w:rsid w:val="002E471C"/>
    <w:rsid w:val="002E48FB"/>
    <w:rsid w:val="002E4F5A"/>
    <w:rsid w:val="002E7347"/>
    <w:rsid w:val="002F4DBA"/>
    <w:rsid w:val="003041E3"/>
    <w:rsid w:val="00327695"/>
    <w:rsid w:val="003276E4"/>
    <w:rsid w:val="003351A3"/>
    <w:rsid w:val="00341C50"/>
    <w:rsid w:val="00342DC4"/>
    <w:rsid w:val="00343AEB"/>
    <w:rsid w:val="003452A2"/>
    <w:rsid w:val="003574A6"/>
    <w:rsid w:val="00357804"/>
    <w:rsid w:val="0037264C"/>
    <w:rsid w:val="0038281A"/>
    <w:rsid w:val="00382EBE"/>
    <w:rsid w:val="003942C9"/>
    <w:rsid w:val="003A51EF"/>
    <w:rsid w:val="003A54E8"/>
    <w:rsid w:val="003B3FA3"/>
    <w:rsid w:val="003B5730"/>
    <w:rsid w:val="003B712A"/>
    <w:rsid w:val="003C1480"/>
    <w:rsid w:val="003C1505"/>
    <w:rsid w:val="003C261C"/>
    <w:rsid w:val="003C387C"/>
    <w:rsid w:val="003C4C74"/>
    <w:rsid w:val="003C5691"/>
    <w:rsid w:val="003C56E3"/>
    <w:rsid w:val="003C64F9"/>
    <w:rsid w:val="003C7DD5"/>
    <w:rsid w:val="003D2E75"/>
    <w:rsid w:val="003E4628"/>
    <w:rsid w:val="003E5ACC"/>
    <w:rsid w:val="003E6690"/>
    <w:rsid w:val="003F1334"/>
    <w:rsid w:val="003F230B"/>
    <w:rsid w:val="003F2C1B"/>
    <w:rsid w:val="003F3957"/>
    <w:rsid w:val="00404035"/>
    <w:rsid w:val="00406F7D"/>
    <w:rsid w:val="00410451"/>
    <w:rsid w:val="00412C88"/>
    <w:rsid w:val="00413A09"/>
    <w:rsid w:val="00414AEC"/>
    <w:rsid w:val="004151A0"/>
    <w:rsid w:val="00415905"/>
    <w:rsid w:val="004209DF"/>
    <w:rsid w:val="00423C6D"/>
    <w:rsid w:val="00424F02"/>
    <w:rsid w:val="00426A92"/>
    <w:rsid w:val="0043059D"/>
    <w:rsid w:val="00440066"/>
    <w:rsid w:val="00442956"/>
    <w:rsid w:val="00445C2B"/>
    <w:rsid w:val="00454296"/>
    <w:rsid w:val="004551B3"/>
    <w:rsid w:val="004569B1"/>
    <w:rsid w:val="00457191"/>
    <w:rsid w:val="00457BBD"/>
    <w:rsid w:val="00457E12"/>
    <w:rsid w:val="004619AD"/>
    <w:rsid w:val="0046477C"/>
    <w:rsid w:val="00466E6B"/>
    <w:rsid w:val="004673E5"/>
    <w:rsid w:val="004702DB"/>
    <w:rsid w:val="004729E6"/>
    <w:rsid w:val="0047514F"/>
    <w:rsid w:val="004779B1"/>
    <w:rsid w:val="00481060"/>
    <w:rsid w:val="0048306F"/>
    <w:rsid w:val="00483D48"/>
    <w:rsid w:val="004860E5"/>
    <w:rsid w:val="004A08E2"/>
    <w:rsid w:val="004A6952"/>
    <w:rsid w:val="004A77AB"/>
    <w:rsid w:val="004B1813"/>
    <w:rsid w:val="004B5144"/>
    <w:rsid w:val="004C111D"/>
    <w:rsid w:val="004D2465"/>
    <w:rsid w:val="004D27B7"/>
    <w:rsid w:val="004D4480"/>
    <w:rsid w:val="004D4CA3"/>
    <w:rsid w:val="004D6711"/>
    <w:rsid w:val="004E0E38"/>
    <w:rsid w:val="004E14FA"/>
    <w:rsid w:val="004E3E73"/>
    <w:rsid w:val="004E45AA"/>
    <w:rsid w:val="004E69B7"/>
    <w:rsid w:val="004F1EC9"/>
    <w:rsid w:val="004F2C39"/>
    <w:rsid w:val="004F3B56"/>
    <w:rsid w:val="004F4178"/>
    <w:rsid w:val="004F6C5E"/>
    <w:rsid w:val="004F6D9F"/>
    <w:rsid w:val="005020F6"/>
    <w:rsid w:val="00511228"/>
    <w:rsid w:val="00514B61"/>
    <w:rsid w:val="0051618F"/>
    <w:rsid w:val="00516CC7"/>
    <w:rsid w:val="00520966"/>
    <w:rsid w:val="00520E2E"/>
    <w:rsid w:val="005226EA"/>
    <w:rsid w:val="005242D5"/>
    <w:rsid w:val="0052436F"/>
    <w:rsid w:val="00527264"/>
    <w:rsid w:val="00527EE1"/>
    <w:rsid w:val="00530A66"/>
    <w:rsid w:val="00532D93"/>
    <w:rsid w:val="00537C98"/>
    <w:rsid w:val="00541965"/>
    <w:rsid w:val="005423D1"/>
    <w:rsid w:val="00550535"/>
    <w:rsid w:val="0055279D"/>
    <w:rsid w:val="00553E29"/>
    <w:rsid w:val="00555774"/>
    <w:rsid w:val="00555CCE"/>
    <w:rsid w:val="005648C3"/>
    <w:rsid w:val="00567382"/>
    <w:rsid w:val="005720A2"/>
    <w:rsid w:val="00572B65"/>
    <w:rsid w:val="00572F0B"/>
    <w:rsid w:val="0057478E"/>
    <w:rsid w:val="005762FD"/>
    <w:rsid w:val="005779C2"/>
    <w:rsid w:val="00580202"/>
    <w:rsid w:val="005805FA"/>
    <w:rsid w:val="00581F34"/>
    <w:rsid w:val="0058340F"/>
    <w:rsid w:val="00585C11"/>
    <w:rsid w:val="00590CB3"/>
    <w:rsid w:val="00591FB4"/>
    <w:rsid w:val="00593BB9"/>
    <w:rsid w:val="00594594"/>
    <w:rsid w:val="00594828"/>
    <w:rsid w:val="00594FF3"/>
    <w:rsid w:val="00596A61"/>
    <w:rsid w:val="00597541"/>
    <w:rsid w:val="005A09C6"/>
    <w:rsid w:val="005A29C5"/>
    <w:rsid w:val="005A4B36"/>
    <w:rsid w:val="005B13AE"/>
    <w:rsid w:val="005B2D3C"/>
    <w:rsid w:val="005B3A6D"/>
    <w:rsid w:val="005B4C14"/>
    <w:rsid w:val="005C3F73"/>
    <w:rsid w:val="005C41B6"/>
    <w:rsid w:val="005D04AB"/>
    <w:rsid w:val="005D3D93"/>
    <w:rsid w:val="005E036D"/>
    <w:rsid w:val="005E2366"/>
    <w:rsid w:val="005F087B"/>
    <w:rsid w:val="005F1216"/>
    <w:rsid w:val="005F1698"/>
    <w:rsid w:val="005F2B5C"/>
    <w:rsid w:val="005F4022"/>
    <w:rsid w:val="005F71BD"/>
    <w:rsid w:val="005F726E"/>
    <w:rsid w:val="00603225"/>
    <w:rsid w:val="006066C1"/>
    <w:rsid w:val="00607B44"/>
    <w:rsid w:val="00612DA7"/>
    <w:rsid w:val="006220E0"/>
    <w:rsid w:val="006225C5"/>
    <w:rsid w:val="006242B2"/>
    <w:rsid w:val="00625B23"/>
    <w:rsid w:val="00625D2E"/>
    <w:rsid w:val="00632129"/>
    <w:rsid w:val="00632B09"/>
    <w:rsid w:val="006364C5"/>
    <w:rsid w:val="00637B26"/>
    <w:rsid w:val="00641FFA"/>
    <w:rsid w:val="006427CC"/>
    <w:rsid w:val="00643D81"/>
    <w:rsid w:val="006478D7"/>
    <w:rsid w:val="00661064"/>
    <w:rsid w:val="0066171E"/>
    <w:rsid w:val="00663D82"/>
    <w:rsid w:val="006644DC"/>
    <w:rsid w:val="00666A7F"/>
    <w:rsid w:val="00681976"/>
    <w:rsid w:val="006849BE"/>
    <w:rsid w:val="006902B2"/>
    <w:rsid w:val="00690A3A"/>
    <w:rsid w:val="006932B6"/>
    <w:rsid w:val="00694267"/>
    <w:rsid w:val="006942CF"/>
    <w:rsid w:val="006A1D6E"/>
    <w:rsid w:val="006A6731"/>
    <w:rsid w:val="006A6DA9"/>
    <w:rsid w:val="006B068C"/>
    <w:rsid w:val="006B155A"/>
    <w:rsid w:val="006B584A"/>
    <w:rsid w:val="006B609C"/>
    <w:rsid w:val="006B7249"/>
    <w:rsid w:val="006B7582"/>
    <w:rsid w:val="006B7FA3"/>
    <w:rsid w:val="006C1A30"/>
    <w:rsid w:val="006C36C1"/>
    <w:rsid w:val="006D1CAE"/>
    <w:rsid w:val="006D647B"/>
    <w:rsid w:val="006E3C2F"/>
    <w:rsid w:val="006E7EB2"/>
    <w:rsid w:val="006F0144"/>
    <w:rsid w:val="00705DA5"/>
    <w:rsid w:val="007120AC"/>
    <w:rsid w:val="00713371"/>
    <w:rsid w:val="00715E71"/>
    <w:rsid w:val="00716C0E"/>
    <w:rsid w:val="00720CA9"/>
    <w:rsid w:val="0072367F"/>
    <w:rsid w:val="00724A29"/>
    <w:rsid w:val="0072750D"/>
    <w:rsid w:val="00734D39"/>
    <w:rsid w:val="00737EEE"/>
    <w:rsid w:val="00742C5C"/>
    <w:rsid w:val="00745751"/>
    <w:rsid w:val="00750BA6"/>
    <w:rsid w:val="00756F1D"/>
    <w:rsid w:val="00757304"/>
    <w:rsid w:val="007620CB"/>
    <w:rsid w:val="00781105"/>
    <w:rsid w:val="00785570"/>
    <w:rsid w:val="007860C0"/>
    <w:rsid w:val="00787308"/>
    <w:rsid w:val="00790630"/>
    <w:rsid w:val="00792744"/>
    <w:rsid w:val="007949CC"/>
    <w:rsid w:val="00794C23"/>
    <w:rsid w:val="007976CD"/>
    <w:rsid w:val="007A0A50"/>
    <w:rsid w:val="007A3EE5"/>
    <w:rsid w:val="007A4499"/>
    <w:rsid w:val="007A498F"/>
    <w:rsid w:val="007A7159"/>
    <w:rsid w:val="007B21B1"/>
    <w:rsid w:val="007C4DF9"/>
    <w:rsid w:val="007D0E40"/>
    <w:rsid w:val="007D100B"/>
    <w:rsid w:val="007D5986"/>
    <w:rsid w:val="007D6245"/>
    <w:rsid w:val="007D65F4"/>
    <w:rsid w:val="007E1D2A"/>
    <w:rsid w:val="007E2676"/>
    <w:rsid w:val="007E3286"/>
    <w:rsid w:val="007E5692"/>
    <w:rsid w:val="007F1620"/>
    <w:rsid w:val="007F2944"/>
    <w:rsid w:val="007F36BA"/>
    <w:rsid w:val="007F3BA2"/>
    <w:rsid w:val="007F7AC9"/>
    <w:rsid w:val="008037DF"/>
    <w:rsid w:val="00805C65"/>
    <w:rsid w:val="00810602"/>
    <w:rsid w:val="0081243A"/>
    <w:rsid w:val="00820F2F"/>
    <w:rsid w:val="00825033"/>
    <w:rsid w:val="00834A0F"/>
    <w:rsid w:val="00837A08"/>
    <w:rsid w:val="00837BFC"/>
    <w:rsid w:val="0084039E"/>
    <w:rsid w:val="0084737A"/>
    <w:rsid w:val="00850DC0"/>
    <w:rsid w:val="00851974"/>
    <w:rsid w:val="00853F5F"/>
    <w:rsid w:val="00857BDD"/>
    <w:rsid w:val="0086067A"/>
    <w:rsid w:val="00862DF1"/>
    <w:rsid w:val="00864969"/>
    <w:rsid w:val="0087297F"/>
    <w:rsid w:val="0087471A"/>
    <w:rsid w:val="008847FD"/>
    <w:rsid w:val="00885B23"/>
    <w:rsid w:val="00886C26"/>
    <w:rsid w:val="008A097C"/>
    <w:rsid w:val="008A49C9"/>
    <w:rsid w:val="008A6762"/>
    <w:rsid w:val="008A69B0"/>
    <w:rsid w:val="008B1F7F"/>
    <w:rsid w:val="008B31EA"/>
    <w:rsid w:val="008B456A"/>
    <w:rsid w:val="008C6F64"/>
    <w:rsid w:val="008D257D"/>
    <w:rsid w:val="008E1027"/>
    <w:rsid w:val="008E2C8B"/>
    <w:rsid w:val="008E5703"/>
    <w:rsid w:val="008E64E0"/>
    <w:rsid w:val="008E7572"/>
    <w:rsid w:val="008E7E91"/>
    <w:rsid w:val="008F08A4"/>
    <w:rsid w:val="00900752"/>
    <w:rsid w:val="00901E25"/>
    <w:rsid w:val="00902A0C"/>
    <w:rsid w:val="009057F4"/>
    <w:rsid w:val="00907FF6"/>
    <w:rsid w:val="00913620"/>
    <w:rsid w:val="009224FE"/>
    <w:rsid w:val="009279E8"/>
    <w:rsid w:val="00932158"/>
    <w:rsid w:val="00932280"/>
    <w:rsid w:val="009355A9"/>
    <w:rsid w:val="00940CD6"/>
    <w:rsid w:val="00942A71"/>
    <w:rsid w:val="00944DCD"/>
    <w:rsid w:val="0094531E"/>
    <w:rsid w:val="00947FE8"/>
    <w:rsid w:val="00950229"/>
    <w:rsid w:val="009557A7"/>
    <w:rsid w:val="0095600C"/>
    <w:rsid w:val="0095620B"/>
    <w:rsid w:val="00956772"/>
    <w:rsid w:val="009628E8"/>
    <w:rsid w:val="0096697D"/>
    <w:rsid w:val="00972BA3"/>
    <w:rsid w:val="00974CF0"/>
    <w:rsid w:val="009756EB"/>
    <w:rsid w:val="00977B14"/>
    <w:rsid w:val="00977C9C"/>
    <w:rsid w:val="00977DA9"/>
    <w:rsid w:val="00980198"/>
    <w:rsid w:val="00992B27"/>
    <w:rsid w:val="00995A9E"/>
    <w:rsid w:val="009A15BB"/>
    <w:rsid w:val="009B0513"/>
    <w:rsid w:val="009B1F9F"/>
    <w:rsid w:val="009B26FB"/>
    <w:rsid w:val="009B4304"/>
    <w:rsid w:val="009C0234"/>
    <w:rsid w:val="009C1DCA"/>
    <w:rsid w:val="009C2220"/>
    <w:rsid w:val="009D1794"/>
    <w:rsid w:val="009D60D6"/>
    <w:rsid w:val="009D6502"/>
    <w:rsid w:val="009D73D3"/>
    <w:rsid w:val="009E07E9"/>
    <w:rsid w:val="009E241C"/>
    <w:rsid w:val="009E4B9B"/>
    <w:rsid w:val="009E5347"/>
    <w:rsid w:val="009F214C"/>
    <w:rsid w:val="009F462F"/>
    <w:rsid w:val="00A02A6E"/>
    <w:rsid w:val="00A03606"/>
    <w:rsid w:val="00A03C32"/>
    <w:rsid w:val="00A077D5"/>
    <w:rsid w:val="00A2224F"/>
    <w:rsid w:val="00A22946"/>
    <w:rsid w:val="00A24128"/>
    <w:rsid w:val="00A25239"/>
    <w:rsid w:val="00A30794"/>
    <w:rsid w:val="00A328FB"/>
    <w:rsid w:val="00A34835"/>
    <w:rsid w:val="00A4146B"/>
    <w:rsid w:val="00A45FD9"/>
    <w:rsid w:val="00A517D6"/>
    <w:rsid w:val="00A54FFA"/>
    <w:rsid w:val="00A555F1"/>
    <w:rsid w:val="00A557F0"/>
    <w:rsid w:val="00A601D1"/>
    <w:rsid w:val="00A63271"/>
    <w:rsid w:val="00A636F8"/>
    <w:rsid w:val="00A645B8"/>
    <w:rsid w:val="00A64C60"/>
    <w:rsid w:val="00A6675C"/>
    <w:rsid w:val="00A677E0"/>
    <w:rsid w:val="00A7065B"/>
    <w:rsid w:val="00A70740"/>
    <w:rsid w:val="00A7209B"/>
    <w:rsid w:val="00A7455C"/>
    <w:rsid w:val="00A8079F"/>
    <w:rsid w:val="00A87E79"/>
    <w:rsid w:val="00A90A17"/>
    <w:rsid w:val="00AA0110"/>
    <w:rsid w:val="00AA2DA2"/>
    <w:rsid w:val="00AA79C2"/>
    <w:rsid w:val="00AB053E"/>
    <w:rsid w:val="00AB0B53"/>
    <w:rsid w:val="00AB192D"/>
    <w:rsid w:val="00AB21A8"/>
    <w:rsid w:val="00AB6017"/>
    <w:rsid w:val="00AB63DA"/>
    <w:rsid w:val="00AC1DEE"/>
    <w:rsid w:val="00AC28DC"/>
    <w:rsid w:val="00AC467A"/>
    <w:rsid w:val="00AD252B"/>
    <w:rsid w:val="00AD3788"/>
    <w:rsid w:val="00AE214A"/>
    <w:rsid w:val="00AE73DD"/>
    <w:rsid w:val="00AF2C11"/>
    <w:rsid w:val="00AF39AB"/>
    <w:rsid w:val="00AF3CD9"/>
    <w:rsid w:val="00AF4448"/>
    <w:rsid w:val="00AF6816"/>
    <w:rsid w:val="00AF7324"/>
    <w:rsid w:val="00B02B6B"/>
    <w:rsid w:val="00B03583"/>
    <w:rsid w:val="00B04156"/>
    <w:rsid w:val="00B05DF8"/>
    <w:rsid w:val="00B07314"/>
    <w:rsid w:val="00B144E1"/>
    <w:rsid w:val="00B14836"/>
    <w:rsid w:val="00B21C80"/>
    <w:rsid w:val="00B22046"/>
    <w:rsid w:val="00B23C8E"/>
    <w:rsid w:val="00B24F92"/>
    <w:rsid w:val="00B3295A"/>
    <w:rsid w:val="00B35AE9"/>
    <w:rsid w:val="00B36788"/>
    <w:rsid w:val="00B41756"/>
    <w:rsid w:val="00B4291D"/>
    <w:rsid w:val="00B47C9F"/>
    <w:rsid w:val="00B52CF9"/>
    <w:rsid w:val="00B57A9B"/>
    <w:rsid w:val="00B70D3F"/>
    <w:rsid w:val="00B717D8"/>
    <w:rsid w:val="00B751F8"/>
    <w:rsid w:val="00B806C4"/>
    <w:rsid w:val="00B80C78"/>
    <w:rsid w:val="00B81D21"/>
    <w:rsid w:val="00B87CB9"/>
    <w:rsid w:val="00B931E6"/>
    <w:rsid w:val="00B9328F"/>
    <w:rsid w:val="00B9376B"/>
    <w:rsid w:val="00B9453E"/>
    <w:rsid w:val="00BA2323"/>
    <w:rsid w:val="00BA5CA6"/>
    <w:rsid w:val="00BC223F"/>
    <w:rsid w:val="00BD3753"/>
    <w:rsid w:val="00BD45EA"/>
    <w:rsid w:val="00BD5897"/>
    <w:rsid w:val="00BE0BBC"/>
    <w:rsid w:val="00BE7D0F"/>
    <w:rsid w:val="00BF0E19"/>
    <w:rsid w:val="00BF0E83"/>
    <w:rsid w:val="00BF635E"/>
    <w:rsid w:val="00BF7755"/>
    <w:rsid w:val="00C03279"/>
    <w:rsid w:val="00C0528E"/>
    <w:rsid w:val="00C065F7"/>
    <w:rsid w:val="00C06D1D"/>
    <w:rsid w:val="00C06D71"/>
    <w:rsid w:val="00C11C03"/>
    <w:rsid w:val="00C1328C"/>
    <w:rsid w:val="00C14507"/>
    <w:rsid w:val="00C154E4"/>
    <w:rsid w:val="00C1765B"/>
    <w:rsid w:val="00C21FA8"/>
    <w:rsid w:val="00C25D8F"/>
    <w:rsid w:val="00C2671E"/>
    <w:rsid w:val="00C2704F"/>
    <w:rsid w:val="00C375F4"/>
    <w:rsid w:val="00C37FFD"/>
    <w:rsid w:val="00C45E7B"/>
    <w:rsid w:val="00C46057"/>
    <w:rsid w:val="00C4766D"/>
    <w:rsid w:val="00C575E2"/>
    <w:rsid w:val="00C611D0"/>
    <w:rsid w:val="00C6204C"/>
    <w:rsid w:val="00C6353B"/>
    <w:rsid w:val="00C657D1"/>
    <w:rsid w:val="00C72571"/>
    <w:rsid w:val="00C763E7"/>
    <w:rsid w:val="00C81712"/>
    <w:rsid w:val="00C82E2D"/>
    <w:rsid w:val="00C8390B"/>
    <w:rsid w:val="00C8482C"/>
    <w:rsid w:val="00C92AAF"/>
    <w:rsid w:val="00C92E69"/>
    <w:rsid w:val="00C92F60"/>
    <w:rsid w:val="00C93E8E"/>
    <w:rsid w:val="00C94B77"/>
    <w:rsid w:val="00CA0AA8"/>
    <w:rsid w:val="00CA22F3"/>
    <w:rsid w:val="00CA26A5"/>
    <w:rsid w:val="00CA4A85"/>
    <w:rsid w:val="00CA613C"/>
    <w:rsid w:val="00CA6272"/>
    <w:rsid w:val="00CA704E"/>
    <w:rsid w:val="00CB0724"/>
    <w:rsid w:val="00CB0777"/>
    <w:rsid w:val="00CB0DB5"/>
    <w:rsid w:val="00CB1177"/>
    <w:rsid w:val="00CB36C5"/>
    <w:rsid w:val="00CB7B3A"/>
    <w:rsid w:val="00CC0522"/>
    <w:rsid w:val="00CC19C2"/>
    <w:rsid w:val="00CD181A"/>
    <w:rsid w:val="00CD4345"/>
    <w:rsid w:val="00CE2479"/>
    <w:rsid w:val="00CE2A98"/>
    <w:rsid w:val="00CE3CF3"/>
    <w:rsid w:val="00CE4B6D"/>
    <w:rsid w:val="00CE7765"/>
    <w:rsid w:val="00CF1E27"/>
    <w:rsid w:val="00CF1E2A"/>
    <w:rsid w:val="00CF2B3B"/>
    <w:rsid w:val="00CF4478"/>
    <w:rsid w:val="00CF643A"/>
    <w:rsid w:val="00D0029A"/>
    <w:rsid w:val="00D01A67"/>
    <w:rsid w:val="00D02B2D"/>
    <w:rsid w:val="00D0335A"/>
    <w:rsid w:val="00D04302"/>
    <w:rsid w:val="00D14361"/>
    <w:rsid w:val="00D15C7B"/>
    <w:rsid w:val="00D225C1"/>
    <w:rsid w:val="00D2340A"/>
    <w:rsid w:val="00D24A4B"/>
    <w:rsid w:val="00D3187F"/>
    <w:rsid w:val="00D348B1"/>
    <w:rsid w:val="00D366D2"/>
    <w:rsid w:val="00D409D5"/>
    <w:rsid w:val="00D40D7F"/>
    <w:rsid w:val="00D40E61"/>
    <w:rsid w:val="00D413E9"/>
    <w:rsid w:val="00D426AD"/>
    <w:rsid w:val="00D4608C"/>
    <w:rsid w:val="00D47048"/>
    <w:rsid w:val="00D50B4B"/>
    <w:rsid w:val="00D52A59"/>
    <w:rsid w:val="00D530AC"/>
    <w:rsid w:val="00D53608"/>
    <w:rsid w:val="00D54B8B"/>
    <w:rsid w:val="00D6168E"/>
    <w:rsid w:val="00D63309"/>
    <w:rsid w:val="00D63AC1"/>
    <w:rsid w:val="00D70BE9"/>
    <w:rsid w:val="00D73614"/>
    <w:rsid w:val="00D7471D"/>
    <w:rsid w:val="00D800A9"/>
    <w:rsid w:val="00D8021A"/>
    <w:rsid w:val="00D835D4"/>
    <w:rsid w:val="00D844D4"/>
    <w:rsid w:val="00D85145"/>
    <w:rsid w:val="00D86C61"/>
    <w:rsid w:val="00D91D70"/>
    <w:rsid w:val="00D91F86"/>
    <w:rsid w:val="00D92B00"/>
    <w:rsid w:val="00D946AC"/>
    <w:rsid w:val="00D94B25"/>
    <w:rsid w:val="00D95CA5"/>
    <w:rsid w:val="00D9756C"/>
    <w:rsid w:val="00DA5E5C"/>
    <w:rsid w:val="00DA71CF"/>
    <w:rsid w:val="00DB0B35"/>
    <w:rsid w:val="00DB170E"/>
    <w:rsid w:val="00DB1CC7"/>
    <w:rsid w:val="00DB33E1"/>
    <w:rsid w:val="00DB64FF"/>
    <w:rsid w:val="00DC0952"/>
    <w:rsid w:val="00DC2DFB"/>
    <w:rsid w:val="00DC40AD"/>
    <w:rsid w:val="00DC46BA"/>
    <w:rsid w:val="00DC4F41"/>
    <w:rsid w:val="00DC6808"/>
    <w:rsid w:val="00DC795E"/>
    <w:rsid w:val="00DC7E42"/>
    <w:rsid w:val="00DD0C85"/>
    <w:rsid w:val="00DD5CDD"/>
    <w:rsid w:val="00DE55E6"/>
    <w:rsid w:val="00DE5FD2"/>
    <w:rsid w:val="00DE6A13"/>
    <w:rsid w:val="00DE6C55"/>
    <w:rsid w:val="00E05F48"/>
    <w:rsid w:val="00E07D2D"/>
    <w:rsid w:val="00E1093F"/>
    <w:rsid w:val="00E11779"/>
    <w:rsid w:val="00E12822"/>
    <w:rsid w:val="00E12FD1"/>
    <w:rsid w:val="00E22B27"/>
    <w:rsid w:val="00E261B9"/>
    <w:rsid w:val="00E26780"/>
    <w:rsid w:val="00E342CA"/>
    <w:rsid w:val="00E362A0"/>
    <w:rsid w:val="00E414A5"/>
    <w:rsid w:val="00E422BB"/>
    <w:rsid w:val="00E47346"/>
    <w:rsid w:val="00E47951"/>
    <w:rsid w:val="00E47C1F"/>
    <w:rsid w:val="00E510C3"/>
    <w:rsid w:val="00E52C18"/>
    <w:rsid w:val="00E53FC5"/>
    <w:rsid w:val="00E54575"/>
    <w:rsid w:val="00E56489"/>
    <w:rsid w:val="00E5697E"/>
    <w:rsid w:val="00E626C0"/>
    <w:rsid w:val="00E638E8"/>
    <w:rsid w:val="00E65CC4"/>
    <w:rsid w:val="00E70F0A"/>
    <w:rsid w:val="00E7180C"/>
    <w:rsid w:val="00E73EDA"/>
    <w:rsid w:val="00E75E52"/>
    <w:rsid w:val="00E8189C"/>
    <w:rsid w:val="00E85FC9"/>
    <w:rsid w:val="00E86185"/>
    <w:rsid w:val="00E86CA1"/>
    <w:rsid w:val="00E925D1"/>
    <w:rsid w:val="00E92C4F"/>
    <w:rsid w:val="00E95696"/>
    <w:rsid w:val="00E97D0D"/>
    <w:rsid w:val="00EA3BD7"/>
    <w:rsid w:val="00EA469A"/>
    <w:rsid w:val="00EA4F53"/>
    <w:rsid w:val="00EA7662"/>
    <w:rsid w:val="00EA7DD1"/>
    <w:rsid w:val="00EB1491"/>
    <w:rsid w:val="00EB2E83"/>
    <w:rsid w:val="00EB41E8"/>
    <w:rsid w:val="00EB6B5C"/>
    <w:rsid w:val="00EC3FDA"/>
    <w:rsid w:val="00EC5367"/>
    <w:rsid w:val="00ED052D"/>
    <w:rsid w:val="00ED59A0"/>
    <w:rsid w:val="00EE04E4"/>
    <w:rsid w:val="00EE3652"/>
    <w:rsid w:val="00EE3BA8"/>
    <w:rsid w:val="00EE5D84"/>
    <w:rsid w:val="00EE6598"/>
    <w:rsid w:val="00EF0BBE"/>
    <w:rsid w:val="00EF0F1C"/>
    <w:rsid w:val="00EF1D91"/>
    <w:rsid w:val="00F00F85"/>
    <w:rsid w:val="00F02FD7"/>
    <w:rsid w:val="00F03A1C"/>
    <w:rsid w:val="00F03DAC"/>
    <w:rsid w:val="00F053E7"/>
    <w:rsid w:val="00F07732"/>
    <w:rsid w:val="00F162A2"/>
    <w:rsid w:val="00F23D71"/>
    <w:rsid w:val="00F2776F"/>
    <w:rsid w:val="00F37137"/>
    <w:rsid w:val="00F421DB"/>
    <w:rsid w:val="00F424CF"/>
    <w:rsid w:val="00F47A04"/>
    <w:rsid w:val="00F64689"/>
    <w:rsid w:val="00F64F99"/>
    <w:rsid w:val="00F660A5"/>
    <w:rsid w:val="00F82CD4"/>
    <w:rsid w:val="00F870D7"/>
    <w:rsid w:val="00F911A3"/>
    <w:rsid w:val="00F91426"/>
    <w:rsid w:val="00F94312"/>
    <w:rsid w:val="00FA1350"/>
    <w:rsid w:val="00FA3D61"/>
    <w:rsid w:val="00FA58AB"/>
    <w:rsid w:val="00FC0AE9"/>
    <w:rsid w:val="00FC1A8A"/>
    <w:rsid w:val="00FC64A5"/>
    <w:rsid w:val="00FD03F9"/>
    <w:rsid w:val="00FD15F5"/>
    <w:rsid w:val="00FD1703"/>
    <w:rsid w:val="00FD2155"/>
    <w:rsid w:val="00FD7CB7"/>
    <w:rsid w:val="00FE5C58"/>
    <w:rsid w:val="00FE74E0"/>
    <w:rsid w:val="00FF029B"/>
    <w:rsid w:val="00FF7BEE"/>
    <w:rsid w:val="01050F22"/>
    <w:rsid w:val="011B0745"/>
    <w:rsid w:val="01227D26"/>
    <w:rsid w:val="01376800"/>
    <w:rsid w:val="016B3C5F"/>
    <w:rsid w:val="017E2E02"/>
    <w:rsid w:val="018E7169"/>
    <w:rsid w:val="01916F0E"/>
    <w:rsid w:val="01A264D1"/>
    <w:rsid w:val="01BC4285"/>
    <w:rsid w:val="01CB528E"/>
    <w:rsid w:val="01D54A92"/>
    <w:rsid w:val="020016E9"/>
    <w:rsid w:val="02477318"/>
    <w:rsid w:val="025A704C"/>
    <w:rsid w:val="028916DF"/>
    <w:rsid w:val="02A46519"/>
    <w:rsid w:val="02BF2764"/>
    <w:rsid w:val="02D256FE"/>
    <w:rsid w:val="02DE5ECF"/>
    <w:rsid w:val="02DF2CFB"/>
    <w:rsid w:val="02EE3C38"/>
    <w:rsid w:val="02F1781F"/>
    <w:rsid w:val="02F71857"/>
    <w:rsid w:val="0341645D"/>
    <w:rsid w:val="03546191"/>
    <w:rsid w:val="035937A7"/>
    <w:rsid w:val="038325D2"/>
    <w:rsid w:val="03A46A20"/>
    <w:rsid w:val="03A80B98"/>
    <w:rsid w:val="03AE3AF3"/>
    <w:rsid w:val="03BA2189"/>
    <w:rsid w:val="03EF7C67"/>
    <w:rsid w:val="03F13ECF"/>
    <w:rsid w:val="03F23D0A"/>
    <w:rsid w:val="03F77F39"/>
    <w:rsid w:val="042C253E"/>
    <w:rsid w:val="04453BBB"/>
    <w:rsid w:val="046807BD"/>
    <w:rsid w:val="046B19E4"/>
    <w:rsid w:val="048851DD"/>
    <w:rsid w:val="048B0EF3"/>
    <w:rsid w:val="04932829"/>
    <w:rsid w:val="04D23811"/>
    <w:rsid w:val="04E13A54"/>
    <w:rsid w:val="050B287F"/>
    <w:rsid w:val="051B5EDA"/>
    <w:rsid w:val="0534627A"/>
    <w:rsid w:val="053629EB"/>
    <w:rsid w:val="0539007C"/>
    <w:rsid w:val="05525531"/>
    <w:rsid w:val="055E6A85"/>
    <w:rsid w:val="05753B42"/>
    <w:rsid w:val="058B637F"/>
    <w:rsid w:val="058F1702"/>
    <w:rsid w:val="05924D4E"/>
    <w:rsid w:val="05B60433"/>
    <w:rsid w:val="05B60EBD"/>
    <w:rsid w:val="05BB42A5"/>
    <w:rsid w:val="05C23F5D"/>
    <w:rsid w:val="05D04360"/>
    <w:rsid w:val="05D83DAD"/>
    <w:rsid w:val="05DC78AE"/>
    <w:rsid w:val="05E052FA"/>
    <w:rsid w:val="05EE1EFE"/>
    <w:rsid w:val="05EF21A1"/>
    <w:rsid w:val="063522A9"/>
    <w:rsid w:val="06430515"/>
    <w:rsid w:val="06450047"/>
    <w:rsid w:val="066E57BB"/>
    <w:rsid w:val="067B116D"/>
    <w:rsid w:val="06A10228"/>
    <w:rsid w:val="06C70A28"/>
    <w:rsid w:val="07624DF8"/>
    <w:rsid w:val="076D5A73"/>
    <w:rsid w:val="078D1C71"/>
    <w:rsid w:val="07927288"/>
    <w:rsid w:val="07B94814"/>
    <w:rsid w:val="07D40B13"/>
    <w:rsid w:val="07D91E6C"/>
    <w:rsid w:val="07E25AAE"/>
    <w:rsid w:val="07EC6998"/>
    <w:rsid w:val="07F4584C"/>
    <w:rsid w:val="07FC1021"/>
    <w:rsid w:val="083572E7"/>
    <w:rsid w:val="0837069C"/>
    <w:rsid w:val="0887776E"/>
    <w:rsid w:val="089A4646"/>
    <w:rsid w:val="08A47A82"/>
    <w:rsid w:val="08B03E69"/>
    <w:rsid w:val="08B651F8"/>
    <w:rsid w:val="08BF22FE"/>
    <w:rsid w:val="08D923D1"/>
    <w:rsid w:val="08EF6C78"/>
    <w:rsid w:val="090F38F2"/>
    <w:rsid w:val="09134E45"/>
    <w:rsid w:val="09246605"/>
    <w:rsid w:val="092C2859"/>
    <w:rsid w:val="09540C99"/>
    <w:rsid w:val="0978425B"/>
    <w:rsid w:val="097A2E19"/>
    <w:rsid w:val="097B71D6"/>
    <w:rsid w:val="09816C22"/>
    <w:rsid w:val="09886B94"/>
    <w:rsid w:val="099217C1"/>
    <w:rsid w:val="09A943A4"/>
    <w:rsid w:val="09B01F73"/>
    <w:rsid w:val="09EA33AB"/>
    <w:rsid w:val="09EA6F07"/>
    <w:rsid w:val="09ED2E9B"/>
    <w:rsid w:val="09F91840"/>
    <w:rsid w:val="0A2829C8"/>
    <w:rsid w:val="0A35465E"/>
    <w:rsid w:val="0A437EB3"/>
    <w:rsid w:val="0A576829"/>
    <w:rsid w:val="0A5D5410"/>
    <w:rsid w:val="0A6B0E86"/>
    <w:rsid w:val="0A8D3D36"/>
    <w:rsid w:val="0A967AE3"/>
    <w:rsid w:val="0AB34DE9"/>
    <w:rsid w:val="0ACE05D7"/>
    <w:rsid w:val="0B100D93"/>
    <w:rsid w:val="0B372620"/>
    <w:rsid w:val="0B505490"/>
    <w:rsid w:val="0B8D0492"/>
    <w:rsid w:val="0B9730BE"/>
    <w:rsid w:val="0BA17A99"/>
    <w:rsid w:val="0BD0037E"/>
    <w:rsid w:val="0BEF2EFA"/>
    <w:rsid w:val="0C197F77"/>
    <w:rsid w:val="0C1E1317"/>
    <w:rsid w:val="0C2A7A8F"/>
    <w:rsid w:val="0C3B7F93"/>
    <w:rsid w:val="0C4E3DF1"/>
    <w:rsid w:val="0C564D28"/>
    <w:rsid w:val="0C5B40EC"/>
    <w:rsid w:val="0C5D0E4C"/>
    <w:rsid w:val="0C607954"/>
    <w:rsid w:val="0C6311F3"/>
    <w:rsid w:val="0C7B6B67"/>
    <w:rsid w:val="0C98479A"/>
    <w:rsid w:val="0C9E222B"/>
    <w:rsid w:val="0CE35178"/>
    <w:rsid w:val="0CFD0E35"/>
    <w:rsid w:val="0D0C53E6"/>
    <w:rsid w:val="0D2B0B0B"/>
    <w:rsid w:val="0D366374"/>
    <w:rsid w:val="0D3E2EA9"/>
    <w:rsid w:val="0D5648B3"/>
    <w:rsid w:val="0D585E47"/>
    <w:rsid w:val="0D5C0BCE"/>
    <w:rsid w:val="0D774F56"/>
    <w:rsid w:val="0D821B4C"/>
    <w:rsid w:val="0DA638BA"/>
    <w:rsid w:val="0E0C4C04"/>
    <w:rsid w:val="0E19600D"/>
    <w:rsid w:val="0E1A18CC"/>
    <w:rsid w:val="0E1C1EE3"/>
    <w:rsid w:val="0E296049"/>
    <w:rsid w:val="0E2A2545"/>
    <w:rsid w:val="0E2B3541"/>
    <w:rsid w:val="0E4714E2"/>
    <w:rsid w:val="0E556D2C"/>
    <w:rsid w:val="0E567261"/>
    <w:rsid w:val="0E590AFF"/>
    <w:rsid w:val="0E604368"/>
    <w:rsid w:val="0E8F2473"/>
    <w:rsid w:val="0E946FD3"/>
    <w:rsid w:val="0E955613"/>
    <w:rsid w:val="0EE2269B"/>
    <w:rsid w:val="0EE91E83"/>
    <w:rsid w:val="0EFC6D1F"/>
    <w:rsid w:val="0F0237EF"/>
    <w:rsid w:val="0F0E18EA"/>
    <w:rsid w:val="0F1F58A5"/>
    <w:rsid w:val="0F3A519E"/>
    <w:rsid w:val="0F661726"/>
    <w:rsid w:val="0FA91612"/>
    <w:rsid w:val="0FC401FA"/>
    <w:rsid w:val="0FC62C79"/>
    <w:rsid w:val="10046849"/>
    <w:rsid w:val="10090103"/>
    <w:rsid w:val="1010343F"/>
    <w:rsid w:val="101D790A"/>
    <w:rsid w:val="10207B26"/>
    <w:rsid w:val="102D459C"/>
    <w:rsid w:val="104F21BA"/>
    <w:rsid w:val="106F4958"/>
    <w:rsid w:val="10891786"/>
    <w:rsid w:val="1093553E"/>
    <w:rsid w:val="10951381"/>
    <w:rsid w:val="10B43A6D"/>
    <w:rsid w:val="10BA10A8"/>
    <w:rsid w:val="10D6085B"/>
    <w:rsid w:val="10E253CB"/>
    <w:rsid w:val="10F9359D"/>
    <w:rsid w:val="112278CE"/>
    <w:rsid w:val="11433163"/>
    <w:rsid w:val="114535BD"/>
    <w:rsid w:val="11697506"/>
    <w:rsid w:val="11813C2B"/>
    <w:rsid w:val="11A8661C"/>
    <w:rsid w:val="11AD363C"/>
    <w:rsid w:val="11C52008"/>
    <w:rsid w:val="11D010D8"/>
    <w:rsid w:val="11D230A2"/>
    <w:rsid w:val="11E31E7F"/>
    <w:rsid w:val="11F0177A"/>
    <w:rsid w:val="12024E68"/>
    <w:rsid w:val="12280F14"/>
    <w:rsid w:val="122A4C8C"/>
    <w:rsid w:val="123159A7"/>
    <w:rsid w:val="123A68BF"/>
    <w:rsid w:val="123F1DBA"/>
    <w:rsid w:val="12483364"/>
    <w:rsid w:val="127F665A"/>
    <w:rsid w:val="1283614B"/>
    <w:rsid w:val="12836C90"/>
    <w:rsid w:val="128A5C88"/>
    <w:rsid w:val="12930F4F"/>
    <w:rsid w:val="12984F2A"/>
    <w:rsid w:val="129C3206"/>
    <w:rsid w:val="12A53693"/>
    <w:rsid w:val="12C73486"/>
    <w:rsid w:val="12CB12DC"/>
    <w:rsid w:val="12CC5D44"/>
    <w:rsid w:val="12F232D0"/>
    <w:rsid w:val="12F928B1"/>
    <w:rsid w:val="132711CC"/>
    <w:rsid w:val="132D007C"/>
    <w:rsid w:val="133D09EF"/>
    <w:rsid w:val="134C708C"/>
    <w:rsid w:val="13693592"/>
    <w:rsid w:val="136A6C68"/>
    <w:rsid w:val="13723F7D"/>
    <w:rsid w:val="137A3FE8"/>
    <w:rsid w:val="139B74C4"/>
    <w:rsid w:val="13A01DA6"/>
    <w:rsid w:val="13A74A6A"/>
    <w:rsid w:val="13B91121"/>
    <w:rsid w:val="13C20EF5"/>
    <w:rsid w:val="13CA599E"/>
    <w:rsid w:val="13DC1CE6"/>
    <w:rsid w:val="13E250F3"/>
    <w:rsid w:val="14034084"/>
    <w:rsid w:val="1405252B"/>
    <w:rsid w:val="14087B0E"/>
    <w:rsid w:val="140A39B3"/>
    <w:rsid w:val="141D643A"/>
    <w:rsid w:val="145002AE"/>
    <w:rsid w:val="1466192E"/>
    <w:rsid w:val="14A71EEB"/>
    <w:rsid w:val="14EC0958"/>
    <w:rsid w:val="151D0C85"/>
    <w:rsid w:val="152E4807"/>
    <w:rsid w:val="155144B0"/>
    <w:rsid w:val="156B64AD"/>
    <w:rsid w:val="15711B2E"/>
    <w:rsid w:val="1573694A"/>
    <w:rsid w:val="15866F2A"/>
    <w:rsid w:val="1594066F"/>
    <w:rsid w:val="15A9275A"/>
    <w:rsid w:val="15B14D7D"/>
    <w:rsid w:val="15CD3230"/>
    <w:rsid w:val="15DA2525"/>
    <w:rsid w:val="15E11B06"/>
    <w:rsid w:val="15EE5FD1"/>
    <w:rsid w:val="15EF35C9"/>
    <w:rsid w:val="160615AE"/>
    <w:rsid w:val="161672D6"/>
    <w:rsid w:val="1653052A"/>
    <w:rsid w:val="16627107"/>
    <w:rsid w:val="169E79F7"/>
    <w:rsid w:val="16BD3B7A"/>
    <w:rsid w:val="16EB5D1E"/>
    <w:rsid w:val="16FB6BF7"/>
    <w:rsid w:val="1740460A"/>
    <w:rsid w:val="174165D4"/>
    <w:rsid w:val="17451C21"/>
    <w:rsid w:val="17534F7D"/>
    <w:rsid w:val="1758789C"/>
    <w:rsid w:val="175A3AB3"/>
    <w:rsid w:val="1776002C"/>
    <w:rsid w:val="17885FB1"/>
    <w:rsid w:val="17942BA8"/>
    <w:rsid w:val="17C47B17"/>
    <w:rsid w:val="182757CA"/>
    <w:rsid w:val="18297794"/>
    <w:rsid w:val="18343F5C"/>
    <w:rsid w:val="18500EE4"/>
    <w:rsid w:val="186F3188"/>
    <w:rsid w:val="18820C52"/>
    <w:rsid w:val="18837205"/>
    <w:rsid w:val="189D783A"/>
    <w:rsid w:val="189E3617"/>
    <w:rsid w:val="18A474FD"/>
    <w:rsid w:val="18B21EA4"/>
    <w:rsid w:val="18D45952"/>
    <w:rsid w:val="18D47700"/>
    <w:rsid w:val="18E11E1D"/>
    <w:rsid w:val="18EF3961"/>
    <w:rsid w:val="191621E2"/>
    <w:rsid w:val="19265A82"/>
    <w:rsid w:val="193E101D"/>
    <w:rsid w:val="196842EC"/>
    <w:rsid w:val="196A01A7"/>
    <w:rsid w:val="196F11D7"/>
    <w:rsid w:val="197478B3"/>
    <w:rsid w:val="1982597F"/>
    <w:rsid w:val="1985320B"/>
    <w:rsid w:val="198550CD"/>
    <w:rsid w:val="19B60BB4"/>
    <w:rsid w:val="19E82D37"/>
    <w:rsid w:val="1A00113C"/>
    <w:rsid w:val="1A0C111B"/>
    <w:rsid w:val="1A2A3350"/>
    <w:rsid w:val="1A3441CE"/>
    <w:rsid w:val="1A57052A"/>
    <w:rsid w:val="1A6C3968"/>
    <w:rsid w:val="1A9058A9"/>
    <w:rsid w:val="1AC14671"/>
    <w:rsid w:val="1AC75042"/>
    <w:rsid w:val="1B190004"/>
    <w:rsid w:val="1B3C333B"/>
    <w:rsid w:val="1B4062BB"/>
    <w:rsid w:val="1B446693"/>
    <w:rsid w:val="1B4A7B52"/>
    <w:rsid w:val="1B4D379A"/>
    <w:rsid w:val="1B544B28"/>
    <w:rsid w:val="1B570174"/>
    <w:rsid w:val="1B575BA2"/>
    <w:rsid w:val="1B5B5EB7"/>
    <w:rsid w:val="1B6B1E72"/>
    <w:rsid w:val="1B6C5C86"/>
    <w:rsid w:val="1B835D4B"/>
    <w:rsid w:val="1BB03B3E"/>
    <w:rsid w:val="1BBB6955"/>
    <w:rsid w:val="1BD9363A"/>
    <w:rsid w:val="1BFA2E7A"/>
    <w:rsid w:val="1C0F6CA1"/>
    <w:rsid w:val="1C197B20"/>
    <w:rsid w:val="1C253EE4"/>
    <w:rsid w:val="1C376F65"/>
    <w:rsid w:val="1C3B68C3"/>
    <w:rsid w:val="1C480CEA"/>
    <w:rsid w:val="1C5D09CD"/>
    <w:rsid w:val="1C6407FA"/>
    <w:rsid w:val="1C804D80"/>
    <w:rsid w:val="1C8632F4"/>
    <w:rsid w:val="1CBB4733"/>
    <w:rsid w:val="1CD53A47"/>
    <w:rsid w:val="1CE30D4C"/>
    <w:rsid w:val="1CED6D06"/>
    <w:rsid w:val="1CF245F9"/>
    <w:rsid w:val="1D000507"/>
    <w:rsid w:val="1D096725"/>
    <w:rsid w:val="1D152095"/>
    <w:rsid w:val="1D167BBB"/>
    <w:rsid w:val="1D3C1D18"/>
    <w:rsid w:val="1D436C02"/>
    <w:rsid w:val="1D462110"/>
    <w:rsid w:val="1D4A7C0F"/>
    <w:rsid w:val="1D7065FD"/>
    <w:rsid w:val="1D721295"/>
    <w:rsid w:val="1D75574C"/>
    <w:rsid w:val="1D7F67FB"/>
    <w:rsid w:val="1D927673"/>
    <w:rsid w:val="1DBE272D"/>
    <w:rsid w:val="1DD8763B"/>
    <w:rsid w:val="1DD925F6"/>
    <w:rsid w:val="1DF51B31"/>
    <w:rsid w:val="1DFE521F"/>
    <w:rsid w:val="1E0740D4"/>
    <w:rsid w:val="1E236A34"/>
    <w:rsid w:val="1E2F362A"/>
    <w:rsid w:val="1E3D18A3"/>
    <w:rsid w:val="1E4F2254"/>
    <w:rsid w:val="1E6037E4"/>
    <w:rsid w:val="1E632DE0"/>
    <w:rsid w:val="1E7C1DD8"/>
    <w:rsid w:val="1E7D4396"/>
    <w:rsid w:val="1E843945"/>
    <w:rsid w:val="1E890F8D"/>
    <w:rsid w:val="1E937715"/>
    <w:rsid w:val="1ED03DDD"/>
    <w:rsid w:val="1ED3045A"/>
    <w:rsid w:val="1ED710E6"/>
    <w:rsid w:val="1EDA17E8"/>
    <w:rsid w:val="1EDF0BAD"/>
    <w:rsid w:val="1EE06169"/>
    <w:rsid w:val="1EF26B32"/>
    <w:rsid w:val="1EF87EC0"/>
    <w:rsid w:val="1F332CA6"/>
    <w:rsid w:val="1F3802BD"/>
    <w:rsid w:val="1F3A0E1F"/>
    <w:rsid w:val="1F4B6242"/>
    <w:rsid w:val="1FAF3D9F"/>
    <w:rsid w:val="1FBB7B67"/>
    <w:rsid w:val="1FE05965"/>
    <w:rsid w:val="1FFC753C"/>
    <w:rsid w:val="20142A70"/>
    <w:rsid w:val="20196340"/>
    <w:rsid w:val="202A59DC"/>
    <w:rsid w:val="203A5927"/>
    <w:rsid w:val="203C577E"/>
    <w:rsid w:val="206063FE"/>
    <w:rsid w:val="209D487B"/>
    <w:rsid w:val="20AE781D"/>
    <w:rsid w:val="20B77599"/>
    <w:rsid w:val="20B83463"/>
    <w:rsid w:val="20CA13E8"/>
    <w:rsid w:val="20F578C8"/>
    <w:rsid w:val="20F76CF2"/>
    <w:rsid w:val="21041C00"/>
    <w:rsid w:val="21074889"/>
    <w:rsid w:val="2116462E"/>
    <w:rsid w:val="213B1EE2"/>
    <w:rsid w:val="2149301E"/>
    <w:rsid w:val="21792990"/>
    <w:rsid w:val="21970550"/>
    <w:rsid w:val="219A525F"/>
    <w:rsid w:val="219F0AC7"/>
    <w:rsid w:val="21AF0D0A"/>
    <w:rsid w:val="21B87493"/>
    <w:rsid w:val="21EC5844"/>
    <w:rsid w:val="2201708C"/>
    <w:rsid w:val="221473EE"/>
    <w:rsid w:val="22160D89"/>
    <w:rsid w:val="22317971"/>
    <w:rsid w:val="22370D00"/>
    <w:rsid w:val="224376A4"/>
    <w:rsid w:val="224539EC"/>
    <w:rsid w:val="22596EC8"/>
    <w:rsid w:val="226C07AE"/>
    <w:rsid w:val="2274785E"/>
    <w:rsid w:val="22811A2C"/>
    <w:rsid w:val="22D327D6"/>
    <w:rsid w:val="230063DC"/>
    <w:rsid w:val="23105DBD"/>
    <w:rsid w:val="23131DEE"/>
    <w:rsid w:val="232C1665"/>
    <w:rsid w:val="233C28E7"/>
    <w:rsid w:val="23447230"/>
    <w:rsid w:val="235A75F8"/>
    <w:rsid w:val="235B1D41"/>
    <w:rsid w:val="235C0A1E"/>
    <w:rsid w:val="23820928"/>
    <w:rsid w:val="238373B5"/>
    <w:rsid w:val="238629CF"/>
    <w:rsid w:val="23D261A8"/>
    <w:rsid w:val="23DD70FB"/>
    <w:rsid w:val="23E9602A"/>
    <w:rsid w:val="24196848"/>
    <w:rsid w:val="241A5C0D"/>
    <w:rsid w:val="241C01AD"/>
    <w:rsid w:val="242D4168"/>
    <w:rsid w:val="24376D95"/>
    <w:rsid w:val="243C1AF0"/>
    <w:rsid w:val="247C0775"/>
    <w:rsid w:val="247D7BD3"/>
    <w:rsid w:val="248024EA"/>
    <w:rsid w:val="2496440F"/>
    <w:rsid w:val="24A51F50"/>
    <w:rsid w:val="24AC1531"/>
    <w:rsid w:val="24C368D6"/>
    <w:rsid w:val="24D740D4"/>
    <w:rsid w:val="24DC16EA"/>
    <w:rsid w:val="24F167C8"/>
    <w:rsid w:val="24F33D50"/>
    <w:rsid w:val="250531BC"/>
    <w:rsid w:val="25275F7D"/>
    <w:rsid w:val="252B281D"/>
    <w:rsid w:val="25461985"/>
    <w:rsid w:val="255D69BA"/>
    <w:rsid w:val="256242E5"/>
    <w:rsid w:val="257007B0"/>
    <w:rsid w:val="257B68F1"/>
    <w:rsid w:val="25983863"/>
    <w:rsid w:val="25987D07"/>
    <w:rsid w:val="25A510CE"/>
    <w:rsid w:val="25CC3D11"/>
    <w:rsid w:val="25D52D09"/>
    <w:rsid w:val="25D54EAB"/>
    <w:rsid w:val="25E90563"/>
    <w:rsid w:val="25EB6089"/>
    <w:rsid w:val="25F0024A"/>
    <w:rsid w:val="26127758"/>
    <w:rsid w:val="261F3F85"/>
    <w:rsid w:val="2620283A"/>
    <w:rsid w:val="263F5D82"/>
    <w:rsid w:val="26413C3E"/>
    <w:rsid w:val="264D08CA"/>
    <w:rsid w:val="264D464E"/>
    <w:rsid w:val="26526108"/>
    <w:rsid w:val="2661634B"/>
    <w:rsid w:val="269947E7"/>
    <w:rsid w:val="26995AE5"/>
    <w:rsid w:val="26A85D28"/>
    <w:rsid w:val="26B97F35"/>
    <w:rsid w:val="26BF4BB5"/>
    <w:rsid w:val="26E74AA2"/>
    <w:rsid w:val="27035654"/>
    <w:rsid w:val="2753038A"/>
    <w:rsid w:val="27541A0C"/>
    <w:rsid w:val="276E6F72"/>
    <w:rsid w:val="27856069"/>
    <w:rsid w:val="278A4F8F"/>
    <w:rsid w:val="278B529D"/>
    <w:rsid w:val="279544FE"/>
    <w:rsid w:val="27C13545"/>
    <w:rsid w:val="27DF39CB"/>
    <w:rsid w:val="280D0539"/>
    <w:rsid w:val="28260244"/>
    <w:rsid w:val="282E2A57"/>
    <w:rsid w:val="2856494B"/>
    <w:rsid w:val="28673C63"/>
    <w:rsid w:val="286D547B"/>
    <w:rsid w:val="28884063"/>
    <w:rsid w:val="28AB03FD"/>
    <w:rsid w:val="28AB7D51"/>
    <w:rsid w:val="28BC4994"/>
    <w:rsid w:val="28C31D3D"/>
    <w:rsid w:val="28E05C4D"/>
    <w:rsid w:val="28E3573D"/>
    <w:rsid w:val="28EC2844"/>
    <w:rsid w:val="28F2772E"/>
    <w:rsid w:val="290E0FD5"/>
    <w:rsid w:val="293460DB"/>
    <w:rsid w:val="29362E60"/>
    <w:rsid w:val="296543A4"/>
    <w:rsid w:val="29736AC1"/>
    <w:rsid w:val="29794065"/>
    <w:rsid w:val="29915199"/>
    <w:rsid w:val="29A63891"/>
    <w:rsid w:val="29AE5D4B"/>
    <w:rsid w:val="29B03871"/>
    <w:rsid w:val="29B6075C"/>
    <w:rsid w:val="29E76B67"/>
    <w:rsid w:val="29EB715A"/>
    <w:rsid w:val="29EF3C6E"/>
    <w:rsid w:val="29F00112"/>
    <w:rsid w:val="29F43A2A"/>
    <w:rsid w:val="29FD638B"/>
    <w:rsid w:val="2A080C54"/>
    <w:rsid w:val="2A17569E"/>
    <w:rsid w:val="2A4030CE"/>
    <w:rsid w:val="2AAF3B29"/>
    <w:rsid w:val="2AC375D4"/>
    <w:rsid w:val="2AC831EB"/>
    <w:rsid w:val="2B0100FD"/>
    <w:rsid w:val="2B0B4435"/>
    <w:rsid w:val="2B12230A"/>
    <w:rsid w:val="2B166C16"/>
    <w:rsid w:val="2B275DB5"/>
    <w:rsid w:val="2B2C33CC"/>
    <w:rsid w:val="2B2F28A9"/>
    <w:rsid w:val="2B434D13"/>
    <w:rsid w:val="2B6B61DC"/>
    <w:rsid w:val="2B941070"/>
    <w:rsid w:val="2BBE4084"/>
    <w:rsid w:val="2BC74EA2"/>
    <w:rsid w:val="2BCC7B1D"/>
    <w:rsid w:val="2BEB6DE3"/>
    <w:rsid w:val="2BF043F9"/>
    <w:rsid w:val="2BF17D18"/>
    <w:rsid w:val="2BFF463C"/>
    <w:rsid w:val="2C230F61"/>
    <w:rsid w:val="2C351E0C"/>
    <w:rsid w:val="2C416FE4"/>
    <w:rsid w:val="2C5A5D16"/>
    <w:rsid w:val="2C8025E6"/>
    <w:rsid w:val="2CA927FA"/>
    <w:rsid w:val="2CB3174D"/>
    <w:rsid w:val="2CF10822"/>
    <w:rsid w:val="2CF33A75"/>
    <w:rsid w:val="2D1759B5"/>
    <w:rsid w:val="2D454C83"/>
    <w:rsid w:val="2D937732"/>
    <w:rsid w:val="2DA619DD"/>
    <w:rsid w:val="2DA74F8B"/>
    <w:rsid w:val="2DA9319A"/>
    <w:rsid w:val="2DAF5BEE"/>
    <w:rsid w:val="2DD41AF8"/>
    <w:rsid w:val="2DD438A6"/>
    <w:rsid w:val="2DDA388C"/>
    <w:rsid w:val="2DEE2BBA"/>
    <w:rsid w:val="2DFF00C2"/>
    <w:rsid w:val="2E0413D2"/>
    <w:rsid w:val="2E08212D"/>
    <w:rsid w:val="2E184E1D"/>
    <w:rsid w:val="2E1F0FC6"/>
    <w:rsid w:val="2E222864"/>
    <w:rsid w:val="2E255EB0"/>
    <w:rsid w:val="2E301144"/>
    <w:rsid w:val="2E3B3926"/>
    <w:rsid w:val="2E576798"/>
    <w:rsid w:val="2E7330BF"/>
    <w:rsid w:val="2E756E38"/>
    <w:rsid w:val="2E850592"/>
    <w:rsid w:val="2E923AF4"/>
    <w:rsid w:val="2E9F2106"/>
    <w:rsid w:val="2EAD7E90"/>
    <w:rsid w:val="2EBE2ABC"/>
    <w:rsid w:val="2EC92CDF"/>
    <w:rsid w:val="2F077C0C"/>
    <w:rsid w:val="2F191EB9"/>
    <w:rsid w:val="2F2B74F6"/>
    <w:rsid w:val="2F376888"/>
    <w:rsid w:val="2F753E89"/>
    <w:rsid w:val="2F7E7F6E"/>
    <w:rsid w:val="2F827A5E"/>
    <w:rsid w:val="2F86523C"/>
    <w:rsid w:val="2F8C545F"/>
    <w:rsid w:val="2F931175"/>
    <w:rsid w:val="2F9F1779"/>
    <w:rsid w:val="2FA9132B"/>
    <w:rsid w:val="2FE57FED"/>
    <w:rsid w:val="2FF7387C"/>
    <w:rsid w:val="301F63BC"/>
    <w:rsid w:val="305331A8"/>
    <w:rsid w:val="30590093"/>
    <w:rsid w:val="305E0606"/>
    <w:rsid w:val="307915D0"/>
    <w:rsid w:val="308570DA"/>
    <w:rsid w:val="308E5F8F"/>
    <w:rsid w:val="30D53BBD"/>
    <w:rsid w:val="30DF2C8E"/>
    <w:rsid w:val="30E0445B"/>
    <w:rsid w:val="30FC4DFB"/>
    <w:rsid w:val="31175F84"/>
    <w:rsid w:val="311F308B"/>
    <w:rsid w:val="31350B00"/>
    <w:rsid w:val="31556AAC"/>
    <w:rsid w:val="31816197"/>
    <w:rsid w:val="31A83080"/>
    <w:rsid w:val="31D2405E"/>
    <w:rsid w:val="31E8297A"/>
    <w:rsid w:val="31FD7870"/>
    <w:rsid w:val="321B7CF6"/>
    <w:rsid w:val="32391C3C"/>
    <w:rsid w:val="3263534E"/>
    <w:rsid w:val="327127D7"/>
    <w:rsid w:val="3276317E"/>
    <w:rsid w:val="32926F21"/>
    <w:rsid w:val="329B0E37"/>
    <w:rsid w:val="32B048E2"/>
    <w:rsid w:val="32C91500"/>
    <w:rsid w:val="32EB3B6C"/>
    <w:rsid w:val="33055644"/>
    <w:rsid w:val="332562B4"/>
    <w:rsid w:val="33330017"/>
    <w:rsid w:val="3352264A"/>
    <w:rsid w:val="33AF4B9A"/>
    <w:rsid w:val="33D41D34"/>
    <w:rsid w:val="33D740F0"/>
    <w:rsid w:val="33DE547F"/>
    <w:rsid w:val="33F151B2"/>
    <w:rsid w:val="33F94067"/>
    <w:rsid w:val="33FC0975"/>
    <w:rsid w:val="340B0D72"/>
    <w:rsid w:val="34282044"/>
    <w:rsid w:val="34384B8F"/>
    <w:rsid w:val="344022E0"/>
    <w:rsid w:val="344E5B55"/>
    <w:rsid w:val="34677222"/>
    <w:rsid w:val="348D25E1"/>
    <w:rsid w:val="34936269"/>
    <w:rsid w:val="34E70363"/>
    <w:rsid w:val="354B444E"/>
    <w:rsid w:val="354B6B44"/>
    <w:rsid w:val="354E7D75"/>
    <w:rsid w:val="3555351F"/>
    <w:rsid w:val="35893329"/>
    <w:rsid w:val="35A3072E"/>
    <w:rsid w:val="35A40002"/>
    <w:rsid w:val="35C7236F"/>
    <w:rsid w:val="35CB37E1"/>
    <w:rsid w:val="35D953D5"/>
    <w:rsid w:val="35FE7713"/>
    <w:rsid w:val="36034D29"/>
    <w:rsid w:val="36085CF8"/>
    <w:rsid w:val="36181042"/>
    <w:rsid w:val="361C228F"/>
    <w:rsid w:val="36204793"/>
    <w:rsid w:val="3638571F"/>
    <w:rsid w:val="36566A89"/>
    <w:rsid w:val="365757D6"/>
    <w:rsid w:val="3660217B"/>
    <w:rsid w:val="36A04C6E"/>
    <w:rsid w:val="36A80715"/>
    <w:rsid w:val="36BE6EA2"/>
    <w:rsid w:val="36C56482"/>
    <w:rsid w:val="36DF562B"/>
    <w:rsid w:val="36EE59D9"/>
    <w:rsid w:val="37076A9B"/>
    <w:rsid w:val="372F0098"/>
    <w:rsid w:val="374970B3"/>
    <w:rsid w:val="37503F9E"/>
    <w:rsid w:val="37685C83"/>
    <w:rsid w:val="378D3E9F"/>
    <w:rsid w:val="379E4369"/>
    <w:rsid w:val="37C24A54"/>
    <w:rsid w:val="38063178"/>
    <w:rsid w:val="38243A5B"/>
    <w:rsid w:val="38675A43"/>
    <w:rsid w:val="38CD76EA"/>
    <w:rsid w:val="38F44DFD"/>
    <w:rsid w:val="391060DB"/>
    <w:rsid w:val="394C0AD8"/>
    <w:rsid w:val="394F5453"/>
    <w:rsid w:val="397440E8"/>
    <w:rsid w:val="397C551E"/>
    <w:rsid w:val="397F500E"/>
    <w:rsid w:val="3982604D"/>
    <w:rsid w:val="398268AC"/>
    <w:rsid w:val="39830040"/>
    <w:rsid w:val="39D4535A"/>
    <w:rsid w:val="39DA7D9B"/>
    <w:rsid w:val="39FE7053"/>
    <w:rsid w:val="3A0D29F1"/>
    <w:rsid w:val="3A0F6CB1"/>
    <w:rsid w:val="3A1E092C"/>
    <w:rsid w:val="3A1F4AEB"/>
    <w:rsid w:val="3A2F2590"/>
    <w:rsid w:val="3A415917"/>
    <w:rsid w:val="3A444D77"/>
    <w:rsid w:val="3A4D2A17"/>
    <w:rsid w:val="3A546876"/>
    <w:rsid w:val="3A681B75"/>
    <w:rsid w:val="3A7601BF"/>
    <w:rsid w:val="3A7C154E"/>
    <w:rsid w:val="3AAA1C17"/>
    <w:rsid w:val="3AAB21AB"/>
    <w:rsid w:val="3AD155DE"/>
    <w:rsid w:val="3AD35612"/>
    <w:rsid w:val="3AD47503"/>
    <w:rsid w:val="3ADB622B"/>
    <w:rsid w:val="3B286FE0"/>
    <w:rsid w:val="3B3671FB"/>
    <w:rsid w:val="3B4E6954"/>
    <w:rsid w:val="3B5D4EDB"/>
    <w:rsid w:val="3B5E2A01"/>
    <w:rsid w:val="3B963036"/>
    <w:rsid w:val="3B9C1EA7"/>
    <w:rsid w:val="3BC76026"/>
    <w:rsid w:val="3BDB13D8"/>
    <w:rsid w:val="3BF33A92"/>
    <w:rsid w:val="3BF375EE"/>
    <w:rsid w:val="3C074E6D"/>
    <w:rsid w:val="3C177780"/>
    <w:rsid w:val="3C23718C"/>
    <w:rsid w:val="3C277E24"/>
    <w:rsid w:val="3C406CD7"/>
    <w:rsid w:val="3C4815BD"/>
    <w:rsid w:val="3C5373AC"/>
    <w:rsid w:val="3C551209"/>
    <w:rsid w:val="3C6329C5"/>
    <w:rsid w:val="3C6C532A"/>
    <w:rsid w:val="3C805325"/>
    <w:rsid w:val="3C826567"/>
    <w:rsid w:val="3CA74F18"/>
    <w:rsid w:val="3CF47AC1"/>
    <w:rsid w:val="3D0763B7"/>
    <w:rsid w:val="3D112421"/>
    <w:rsid w:val="3D285B0B"/>
    <w:rsid w:val="3D435CE0"/>
    <w:rsid w:val="3D4674F0"/>
    <w:rsid w:val="3D4D7C6A"/>
    <w:rsid w:val="3D6726BF"/>
    <w:rsid w:val="3D7D4D0C"/>
    <w:rsid w:val="3D864BBD"/>
    <w:rsid w:val="3DB72FC9"/>
    <w:rsid w:val="3DEE4511"/>
    <w:rsid w:val="3E077380"/>
    <w:rsid w:val="3E2F1D14"/>
    <w:rsid w:val="3E7B69A2"/>
    <w:rsid w:val="3E7C7D6E"/>
    <w:rsid w:val="3E832EAB"/>
    <w:rsid w:val="3E8D210C"/>
    <w:rsid w:val="3EB67348"/>
    <w:rsid w:val="3EC51715"/>
    <w:rsid w:val="3EC7548D"/>
    <w:rsid w:val="3EED47C8"/>
    <w:rsid w:val="3EF45CBB"/>
    <w:rsid w:val="3EFB3B74"/>
    <w:rsid w:val="3F03223E"/>
    <w:rsid w:val="3F0E1D80"/>
    <w:rsid w:val="3F300905"/>
    <w:rsid w:val="3F313292"/>
    <w:rsid w:val="3F342AE2"/>
    <w:rsid w:val="3F373C30"/>
    <w:rsid w:val="3F3C12AC"/>
    <w:rsid w:val="3F3D0AF1"/>
    <w:rsid w:val="3F4940F4"/>
    <w:rsid w:val="3F4B54D1"/>
    <w:rsid w:val="3F5900B0"/>
    <w:rsid w:val="3F592854"/>
    <w:rsid w:val="3F5C54AA"/>
    <w:rsid w:val="3F84512C"/>
    <w:rsid w:val="3F8E1B07"/>
    <w:rsid w:val="3FAC6431"/>
    <w:rsid w:val="3FB028D3"/>
    <w:rsid w:val="3FB223D4"/>
    <w:rsid w:val="3FCA12BB"/>
    <w:rsid w:val="3FDF05B5"/>
    <w:rsid w:val="3FE71217"/>
    <w:rsid w:val="3FEF631E"/>
    <w:rsid w:val="4000052B"/>
    <w:rsid w:val="4013200C"/>
    <w:rsid w:val="4026508C"/>
    <w:rsid w:val="40384169"/>
    <w:rsid w:val="40497D6B"/>
    <w:rsid w:val="40581FAB"/>
    <w:rsid w:val="4077259B"/>
    <w:rsid w:val="40936D08"/>
    <w:rsid w:val="40C90854"/>
    <w:rsid w:val="40CA6C10"/>
    <w:rsid w:val="40CD78D7"/>
    <w:rsid w:val="40ED6D01"/>
    <w:rsid w:val="40F0234E"/>
    <w:rsid w:val="40F7192E"/>
    <w:rsid w:val="4105229D"/>
    <w:rsid w:val="41377F7D"/>
    <w:rsid w:val="413D7979"/>
    <w:rsid w:val="415051F3"/>
    <w:rsid w:val="41637E73"/>
    <w:rsid w:val="416A65A4"/>
    <w:rsid w:val="419329F4"/>
    <w:rsid w:val="41A43864"/>
    <w:rsid w:val="41C619F5"/>
    <w:rsid w:val="41CE08AC"/>
    <w:rsid w:val="41EF2605"/>
    <w:rsid w:val="41FA16D6"/>
    <w:rsid w:val="42111C84"/>
    <w:rsid w:val="4239468E"/>
    <w:rsid w:val="42411CE9"/>
    <w:rsid w:val="424741EF"/>
    <w:rsid w:val="4247665C"/>
    <w:rsid w:val="42642B73"/>
    <w:rsid w:val="42975280"/>
    <w:rsid w:val="429C453B"/>
    <w:rsid w:val="42A653BA"/>
    <w:rsid w:val="42AE24C0"/>
    <w:rsid w:val="42BE0955"/>
    <w:rsid w:val="42D02437"/>
    <w:rsid w:val="42D41701"/>
    <w:rsid w:val="42D433F9"/>
    <w:rsid w:val="42D74207"/>
    <w:rsid w:val="42F73E67"/>
    <w:rsid w:val="430F640C"/>
    <w:rsid w:val="43246EDC"/>
    <w:rsid w:val="433D2C2C"/>
    <w:rsid w:val="4346094B"/>
    <w:rsid w:val="43503578"/>
    <w:rsid w:val="435A7F52"/>
    <w:rsid w:val="436573B3"/>
    <w:rsid w:val="43721740"/>
    <w:rsid w:val="43747ABE"/>
    <w:rsid w:val="43AA68C9"/>
    <w:rsid w:val="43B92ECB"/>
    <w:rsid w:val="43CA50D8"/>
    <w:rsid w:val="43DE0B83"/>
    <w:rsid w:val="441746AF"/>
    <w:rsid w:val="44342F05"/>
    <w:rsid w:val="44427364"/>
    <w:rsid w:val="444A7FC7"/>
    <w:rsid w:val="44564BBE"/>
    <w:rsid w:val="448636F5"/>
    <w:rsid w:val="4488746D"/>
    <w:rsid w:val="44A15C7B"/>
    <w:rsid w:val="44A678F3"/>
    <w:rsid w:val="44BA6EFA"/>
    <w:rsid w:val="44C84BF6"/>
    <w:rsid w:val="44EB3558"/>
    <w:rsid w:val="45120AE5"/>
    <w:rsid w:val="451C5BBF"/>
    <w:rsid w:val="452457E1"/>
    <w:rsid w:val="45286BB0"/>
    <w:rsid w:val="454E48BD"/>
    <w:rsid w:val="454F1D39"/>
    <w:rsid w:val="454F528E"/>
    <w:rsid w:val="455D076D"/>
    <w:rsid w:val="45616F96"/>
    <w:rsid w:val="45667082"/>
    <w:rsid w:val="456E54E2"/>
    <w:rsid w:val="457C2402"/>
    <w:rsid w:val="459F01B9"/>
    <w:rsid w:val="45D73ADC"/>
    <w:rsid w:val="45E22BAD"/>
    <w:rsid w:val="45FE550D"/>
    <w:rsid w:val="46072613"/>
    <w:rsid w:val="461426D7"/>
    <w:rsid w:val="46195EA3"/>
    <w:rsid w:val="46202199"/>
    <w:rsid w:val="463D7DE3"/>
    <w:rsid w:val="464E1FF0"/>
    <w:rsid w:val="464E56AF"/>
    <w:rsid w:val="464F7389"/>
    <w:rsid w:val="465C6279"/>
    <w:rsid w:val="46696E2A"/>
    <w:rsid w:val="469A3487"/>
    <w:rsid w:val="46BA58D8"/>
    <w:rsid w:val="46BD7176"/>
    <w:rsid w:val="46C329DE"/>
    <w:rsid w:val="470D5968"/>
    <w:rsid w:val="47484C91"/>
    <w:rsid w:val="477C3392"/>
    <w:rsid w:val="47984645"/>
    <w:rsid w:val="47A0155D"/>
    <w:rsid w:val="47C84024"/>
    <w:rsid w:val="47F6293F"/>
    <w:rsid w:val="480A0199"/>
    <w:rsid w:val="480F301E"/>
    <w:rsid w:val="48297FEF"/>
    <w:rsid w:val="483A2442"/>
    <w:rsid w:val="483B2A48"/>
    <w:rsid w:val="484B7A51"/>
    <w:rsid w:val="484F02A2"/>
    <w:rsid w:val="48515D90"/>
    <w:rsid w:val="485B3970"/>
    <w:rsid w:val="485C617C"/>
    <w:rsid w:val="48636163"/>
    <w:rsid w:val="487454C8"/>
    <w:rsid w:val="487B2E45"/>
    <w:rsid w:val="48AE427C"/>
    <w:rsid w:val="48B03752"/>
    <w:rsid w:val="48B06F92"/>
    <w:rsid w:val="48DB1B35"/>
    <w:rsid w:val="48F21359"/>
    <w:rsid w:val="490D603C"/>
    <w:rsid w:val="49170107"/>
    <w:rsid w:val="49261002"/>
    <w:rsid w:val="492C413F"/>
    <w:rsid w:val="493D634C"/>
    <w:rsid w:val="494E0559"/>
    <w:rsid w:val="49543DC1"/>
    <w:rsid w:val="495777FB"/>
    <w:rsid w:val="496936AE"/>
    <w:rsid w:val="497C6E74"/>
    <w:rsid w:val="499E444F"/>
    <w:rsid w:val="499F0DB5"/>
    <w:rsid w:val="49CD5922"/>
    <w:rsid w:val="4A172FFF"/>
    <w:rsid w:val="4A302885"/>
    <w:rsid w:val="4A381A7F"/>
    <w:rsid w:val="4A3C5376"/>
    <w:rsid w:val="4A4F217B"/>
    <w:rsid w:val="4A916951"/>
    <w:rsid w:val="4A965D14"/>
    <w:rsid w:val="4A983946"/>
    <w:rsid w:val="4AA62B1C"/>
    <w:rsid w:val="4AA743C5"/>
    <w:rsid w:val="4AC46D25"/>
    <w:rsid w:val="4AC960E9"/>
    <w:rsid w:val="4AED0453"/>
    <w:rsid w:val="4AF91486"/>
    <w:rsid w:val="4B0435C5"/>
    <w:rsid w:val="4B141AEF"/>
    <w:rsid w:val="4B1A06F3"/>
    <w:rsid w:val="4B373AA2"/>
    <w:rsid w:val="4B553E21"/>
    <w:rsid w:val="4B565FA9"/>
    <w:rsid w:val="4B6B71A0"/>
    <w:rsid w:val="4B75001F"/>
    <w:rsid w:val="4B797B0F"/>
    <w:rsid w:val="4B814C16"/>
    <w:rsid w:val="4BA32DDE"/>
    <w:rsid w:val="4BED4EAA"/>
    <w:rsid w:val="4BFE1DC3"/>
    <w:rsid w:val="4C066EC9"/>
    <w:rsid w:val="4C112999"/>
    <w:rsid w:val="4C1E06B7"/>
    <w:rsid w:val="4C3E6663"/>
    <w:rsid w:val="4C40062D"/>
    <w:rsid w:val="4C6A38FC"/>
    <w:rsid w:val="4CB91EB3"/>
    <w:rsid w:val="4D0E7048"/>
    <w:rsid w:val="4D10756F"/>
    <w:rsid w:val="4D3C7046"/>
    <w:rsid w:val="4D4F5DDD"/>
    <w:rsid w:val="4D514BA1"/>
    <w:rsid w:val="4D5B295E"/>
    <w:rsid w:val="4D851C76"/>
    <w:rsid w:val="4DB27309"/>
    <w:rsid w:val="4DB82445"/>
    <w:rsid w:val="4DD97C2D"/>
    <w:rsid w:val="4DE07400"/>
    <w:rsid w:val="4DF83329"/>
    <w:rsid w:val="4E402B66"/>
    <w:rsid w:val="4E402BBF"/>
    <w:rsid w:val="4E575062"/>
    <w:rsid w:val="4E580585"/>
    <w:rsid w:val="4E5F3F25"/>
    <w:rsid w:val="4E8C66CE"/>
    <w:rsid w:val="4E9A3059"/>
    <w:rsid w:val="4E9A7E64"/>
    <w:rsid w:val="4EA56E6D"/>
    <w:rsid w:val="4EB1136E"/>
    <w:rsid w:val="4EB40E5E"/>
    <w:rsid w:val="4EC15329"/>
    <w:rsid w:val="4EC9198C"/>
    <w:rsid w:val="4ECC43FA"/>
    <w:rsid w:val="4F1658B8"/>
    <w:rsid w:val="4F3B50DC"/>
    <w:rsid w:val="4F4A6AA6"/>
    <w:rsid w:val="4F4C48A4"/>
    <w:rsid w:val="4F55619D"/>
    <w:rsid w:val="4F671881"/>
    <w:rsid w:val="4F7505EE"/>
    <w:rsid w:val="4FA107F2"/>
    <w:rsid w:val="4FA709C3"/>
    <w:rsid w:val="4FAE5DBB"/>
    <w:rsid w:val="4FBF7ABB"/>
    <w:rsid w:val="4FC60E49"/>
    <w:rsid w:val="4FEB1054"/>
    <w:rsid w:val="4FEC63D6"/>
    <w:rsid w:val="4FF736F9"/>
    <w:rsid w:val="50046449"/>
    <w:rsid w:val="5019366F"/>
    <w:rsid w:val="50346F06"/>
    <w:rsid w:val="504E2060"/>
    <w:rsid w:val="506A3DEE"/>
    <w:rsid w:val="50707007"/>
    <w:rsid w:val="50783EFD"/>
    <w:rsid w:val="50796879"/>
    <w:rsid w:val="50797CC1"/>
    <w:rsid w:val="50B42F2A"/>
    <w:rsid w:val="50C25AB5"/>
    <w:rsid w:val="50DD469C"/>
    <w:rsid w:val="510341A8"/>
    <w:rsid w:val="510A2CDD"/>
    <w:rsid w:val="510A4FE4"/>
    <w:rsid w:val="510E0CFA"/>
    <w:rsid w:val="51147D4A"/>
    <w:rsid w:val="512027DB"/>
    <w:rsid w:val="51381760"/>
    <w:rsid w:val="514737DE"/>
    <w:rsid w:val="514B29AD"/>
    <w:rsid w:val="515A7735"/>
    <w:rsid w:val="51610292"/>
    <w:rsid w:val="517C3887"/>
    <w:rsid w:val="51865E75"/>
    <w:rsid w:val="519136D9"/>
    <w:rsid w:val="51956D25"/>
    <w:rsid w:val="519D207E"/>
    <w:rsid w:val="51CC64BF"/>
    <w:rsid w:val="51D51B93"/>
    <w:rsid w:val="51EE4687"/>
    <w:rsid w:val="51F55815"/>
    <w:rsid w:val="521560B8"/>
    <w:rsid w:val="525F6931"/>
    <w:rsid w:val="52747482"/>
    <w:rsid w:val="527530CE"/>
    <w:rsid w:val="528E5E72"/>
    <w:rsid w:val="52C27FEE"/>
    <w:rsid w:val="52FC0750"/>
    <w:rsid w:val="53191BD8"/>
    <w:rsid w:val="531B76FE"/>
    <w:rsid w:val="53536E98"/>
    <w:rsid w:val="536A1421"/>
    <w:rsid w:val="537B63EF"/>
    <w:rsid w:val="538C05FC"/>
    <w:rsid w:val="53B11E10"/>
    <w:rsid w:val="53C51D39"/>
    <w:rsid w:val="53CF08F5"/>
    <w:rsid w:val="542149C4"/>
    <w:rsid w:val="54295E4B"/>
    <w:rsid w:val="542E2EFA"/>
    <w:rsid w:val="5434116E"/>
    <w:rsid w:val="543D2803"/>
    <w:rsid w:val="54907C78"/>
    <w:rsid w:val="549732E4"/>
    <w:rsid w:val="549A523E"/>
    <w:rsid w:val="549B548E"/>
    <w:rsid w:val="549D3677"/>
    <w:rsid w:val="54A11D47"/>
    <w:rsid w:val="54AA2BEC"/>
    <w:rsid w:val="54D940C9"/>
    <w:rsid w:val="54DD7595"/>
    <w:rsid w:val="54E81862"/>
    <w:rsid w:val="54EB4EAE"/>
    <w:rsid w:val="54ED55F4"/>
    <w:rsid w:val="54F77C1B"/>
    <w:rsid w:val="54FF2587"/>
    <w:rsid w:val="55027D49"/>
    <w:rsid w:val="55104E28"/>
    <w:rsid w:val="55346855"/>
    <w:rsid w:val="553A3451"/>
    <w:rsid w:val="554051FA"/>
    <w:rsid w:val="555313D1"/>
    <w:rsid w:val="55A559A5"/>
    <w:rsid w:val="55B300C2"/>
    <w:rsid w:val="55BF4BF7"/>
    <w:rsid w:val="55D409D2"/>
    <w:rsid w:val="55F343AC"/>
    <w:rsid w:val="560E354A"/>
    <w:rsid w:val="561E7941"/>
    <w:rsid w:val="565151E5"/>
    <w:rsid w:val="565C42B5"/>
    <w:rsid w:val="565F7902"/>
    <w:rsid w:val="56650393"/>
    <w:rsid w:val="568630E0"/>
    <w:rsid w:val="56A06D12"/>
    <w:rsid w:val="56A30136"/>
    <w:rsid w:val="56D8626A"/>
    <w:rsid w:val="56D9030D"/>
    <w:rsid w:val="56E878F7"/>
    <w:rsid w:val="5718003A"/>
    <w:rsid w:val="57203535"/>
    <w:rsid w:val="572F19CA"/>
    <w:rsid w:val="574E6C33"/>
    <w:rsid w:val="57573EDC"/>
    <w:rsid w:val="57664CC0"/>
    <w:rsid w:val="57842C6E"/>
    <w:rsid w:val="57925AB5"/>
    <w:rsid w:val="57A8352A"/>
    <w:rsid w:val="57AD4064"/>
    <w:rsid w:val="57D52571"/>
    <w:rsid w:val="57DB56AE"/>
    <w:rsid w:val="57E00F16"/>
    <w:rsid w:val="5805075F"/>
    <w:rsid w:val="580620E1"/>
    <w:rsid w:val="5827444F"/>
    <w:rsid w:val="583D1EC5"/>
    <w:rsid w:val="588653B2"/>
    <w:rsid w:val="58977827"/>
    <w:rsid w:val="58A4081A"/>
    <w:rsid w:val="58A91308"/>
    <w:rsid w:val="58B55EFF"/>
    <w:rsid w:val="58BF0B2C"/>
    <w:rsid w:val="58F00CE5"/>
    <w:rsid w:val="58F74774"/>
    <w:rsid w:val="59012EF2"/>
    <w:rsid w:val="590A165C"/>
    <w:rsid w:val="590D6AC3"/>
    <w:rsid w:val="5940532C"/>
    <w:rsid w:val="59567523"/>
    <w:rsid w:val="59590F80"/>
    <w:rsid w:val="597E09E7"/>
    <w:rsid w:val="59891133"/>
    <w:rsid w:val="59934492"/>
    <w:rsid w:val="59AC371D"/>
    <w:rsid w:val="59BC1723"/>
    <w:rsid w:val="59BD0EF5"/>
    <w:rsid w:val="59C36FD2"/>
    <w:rsid w:val="59C844EB"/>
    <w:rsid w:val="59EB55AC"/>
    <w:rsid w:val="5A0C4DED"/>
    <w:rsid w:val="5A0F7891"/>
    <w:rsid w:val="5A12465E"/>
    <w:rsid w:val="5A134EEC"/>
    <w:rsid w:val="5A1B6236"/>
    <w:rsid w:val="5A2450EA"/>
    <w:rsid w:val="5A276988"/>
    <w:rsid w:val="5A400CD9"/>
    <w:rsid w:val="5A451CD7"/>
    <w:rsid w:val="5A4532B2"/>
    <w:rsid w:val="5A4901E6"/>
    <w:rsid w:val="5A4D43FF"/>
    <w:rsid w:val="5A7812F8"/>
    <w:rsid w:val="5A865DA5"/>
    <w:rsid w:val="5A951B44"/>
    <w:rsid w:val="5ABC17C7"/>
    <w:rsid w:val="5AE02ADF"/>
    <w:rsid w:val="5B1F3B03"/>
    <w:rsid w:val="5B21162A"/>
    <w:rsid w:val="5B3124FF"/>
    <w:rsid w:val="5B4779A9"/>
    <w:rsid w:val="5B6F57D8"/>
    <w:rsid w:val="5B9E75B9"/>
    <w:rsid w:val="5BCC1717"/>
    <w:rsid w:val="5BCE7A03"/>
    <w:rsid w:val="5BDB267D"/>
    <w:rsid w:val="5BF64864"/>
    <w:rsid w:val="5C142F3C"/>
    <w:rsid w:val="5C182A2D"/>
    <w:rsid w:val="5C195C09"/>
    <w:rsid w:val="5C2529CD"/>
    <w:rsid w:val="5C2A24B1"/>
    <w:rsid w:val="5C3864A3"/>
    <w:rsid w:val="5C4626CF"/>
    <w:rsid w:val="5C4E1F9A"/>
    <w:rsid w:val="5C50666A"/>
    <w:rsid w:val="5C821651"/>
    <w:rsid w:val="5C94782E"/>
    <w:rsid w:val="5CB52971"/>
    <w:rsid w:val="5CD32DF8"/>
    <w:rsid w:val="5CE2128D"/>
    <w:rsid w:val="5D105DFA"/>
    <w:rsid w:val="5D11749B"/>
    <w:rsid w:val="5D153410"/>
    <w:rsid w:val="5D277C85"/>
    <w:rsid w:val="5D6A4BD0"/>
    <w:rsid w:val="5D955ED9"/>
    <w:rsid w:val="5D9C768D"/>
    <w:rsid w:val="5DAA2BBF"/>
    <w:rsid w:val="5DBE7604"/>
    <w:rsid w:val="5DCD7847"/>
    <w:rsid w:val="5DDC7A8A"/>
    <w:rsid w:val="5DF01870"/>
    <w:rsid w:val="5DF43D57"/>
    <w:rsid w:val="5E2468C7"/>
    <w:rsid w:val="5E2D6E72"/>
    <w:rsid w:val="5E330F15"/>
    <w:rsid w:val="5E394EDC"/>
    <w:rsid w:val="5E6A778C"/>
    <w:rsid w:val="5E6E1B51"/>
    <w:rsid w:val="5E7B54F5"/>
    <w:rsid w:val="5E8455B7"/>
    <w:rsid w:val="5E8E08E8"/>
    <w:rsid w:val="5EA522CC"/>
    <w:rsid w:val="5ECB3377"/>
    <w:rsid w:val="5EDD7F5D"/>
    <w:rsid w:val="5EDF5A84"/>
    <w:rsid w:val="5EF05EE3"/>
    <w:rsid w:val="5EFD5F0A"/>
    <w:rsid w:val="5F04373C"/>
    <w:rsid w:val="5F10773B"/>
    <w:rsid w:val="5F1576F7"/>
    <w:rsid w:val="5F265461"/>
    <w:rsid w:val="5F346B47"/>
    <w:rsid w:val="5F3833E6"/>
    <w:rsid w:val="5F3E265D"/>
    <w:rsid w:val="5F3F29C6"/>
    <w:rsid w:val="5F4A6A45"/>
    <w:rsid w:val="5F6B5EEE"/>
    <w:rsid w:val="5F926F9A"/>
    <w:rsid w:val="5F954394"/>
    <w:rsid w:val="5FB44474"/>
    <w:rsid w:val="5FF30850"/>
    <w:rsid w:val="6005450B"/>
    <w:rsid w:val="601260A9"/>
    <w:rsid w:val="60185E74"/>
    <w:rsid w:val="601F47BF"/>
    <w:rsid w:val="60217AA4"/>
    <w:rsid w:val="60350732"/>
    <w:rsid w:val="6045400C"/>
    <w:rsid w:val="605346C7"/>
    <w:rsid w:val="60752D43"/>
    <w:rsid w:val="60A54B61"/>
    <w:rsid w:val="60BB7E2A"/>
    <w:rsid w:val="60C56EFB"/>
    <w:rsid w:val="60E2185B"/>
    <w:rsid w:val="61181721"/>
    <w:rsid w:val="612105D5"/>
    <w:rsid w:val="61321DBF"/>
    <w:rsid w:val="613227E3"/>
    <w:rsid w:val="61350CA5"/>
    <w:rsid w:val="613D4CE3"/>
    <w:rsid w:val="61475666"/>
    <w:rsid w:val="6160294E"/>
    <w:rsid w:val="61750921"/>
    <w:rsid w:val="6175447D"/>
    <w:rsid w:val="61A11716"/>
    <w:rsid w:val="61B96A60"/>
    <w:rsid w:val="61C22B27"/>
    <w:rsid w:val="61E804E3"/>
    <w:rsid w:val="61F555BE"/>
    <w:rsid w:val="621B669C"/>
    <w:rsid w:val="62794EF5"/>
    <w:rsid w:val="629848C7"/>
    <w:rsid w:val="62B612C4"/>
    <w:rsid w:val="62C0797A"/>
    <w:rsid w:val="62D003E9"/>
    <w:rsid w:val="62D43425"/>
    <w:rsid w:val="62F835B8"/>
    <w:rsid w:val="63017A09"/>
    <w:rsid w:val="630D799B"/>
    <w:rsid w:val="63310878"/>
    <w:rsid w:val="633164AE"/>
    <w:rsid w:val="633B34A5"/>
    <w:rsid w:val="63461EEC"/>
    <w:rsid w:val="63645C00"/>
    <w:rsid w:val="63805E41"/>
    <w:rsid w:val="639E415F"/>
    <w:rsid w:val="63C76034"/>
    <w:rsid w:val="63ED0C43"/>
    <w:rsid w:val="63EE10EA"/>
    <w:rsid w:val="63F7561D"/>
    <w:rsid w:val="641E0DFC"/>
    <w:rsid w:val="642C18C7"/>
    <w:rsid w:val="643A780A"/>
    <w:rsid w:val="645F6163"/>
    <w:rsid w:val="646F3406"/>
    <w:rsid w:val="647A6A9A"/>
    <w:rsid w:val="64981243"/>
    <w:rsid w:val="64A60D53"/>
    <w:rsid w:val="64E70B07"/>
    <w:rsid w:val="64EA1600"/>
    <w:rsid w:val="64F1206D"/>
    <w:rsid w:val="64F565FE"/>
    <w:rsid w:val="651A5A67"/>
    <w:rsid w:val="65436FAA"/>
    <w:rsid w:val="65640A91"/>
    <w:rsid w:val="656668F8"/>
    <w:rsid w:val="65681658"/>
    <w:rsid w:val="6572772F"/>
    <w:rsid w:val="658B10E8"/>
    <w:rsid w:val="65A01E7E"/>
    <w:rsid w:val="65A96DEB"/>
    <w:rsid w:val="65B64BE3"/>
    <w:rsid w:val="65C5732A"/>
    <w:rsid w:val="65E9368C"/>
    <w:rsid w:val="65F8742B"/>
    <w:rsid w:val="662273FC"/>
    <w:rsid w:val="662809A0"/>
    <w:rsid w:val="663225B1"/>
    <w:rsid w:val="6632293D"/>
    <w:rsid w:val="667D7425"/>
    <w:rsid w:val="6685516D"/>
    <w:rsid w:val="66AA4BC9"/>
    <w:rsid w:val="66E259B0"/>
    <w:rsid w:val="66F1118D"/>
    <w:rsid w:val="66F83B86"/>
    <w:rsid w:val="671169F6"/>
    <w:rsid w:val="672877CA"/>
    <w:rsid w:val="67376F0C"/>
    <w:rsid w:val="67645C10"/>
    <w:rsid w:val="6779459B"/>
    <w:rsid w:val="679715F1"/>
    <w:rsid w:val="679F04A6"/>
    <w:rsid w:val="67A61834"/>
    <w:rsid w:val="67B87403"/>
    <w:rsid w:val="67C2654A"/>
    <w:rsid w:val="67C577E1"/>
    <w:rsid w:val="67C63851"/>
    <w:rsid w:val="67EB73E9"/>
    <w:rsid w:val="67F46D51"/>
    <w:rsid w:val="67FC6A45"/>
    <w:rsid w:val="68016A6B"/>
    <w:rsid w:val="6808604B"/>
    <w:rsid w:val="680A0E54"/>
    <w:rsid w:val="680E708B"/>
    <w:rsid w:val="68216989"/>
    <w:rsid w:val="682F2A7B"/>
    <w:rsid w:val="684822A5"/>
    <w:rsid w:val="68637725"/>
    <w:rsid w:val="687A6833"/>
    <w:rsid w:val="687D1E6A"/>
    <w:rsid w:val="6884144A"/>
    <w:rsid w:val="6887169E"/>
    <w:rsid w:val="68925E05"/>
    <w:rsid w:val="68AD42AF"/>
    <w:rsid w:val="68C12DCF"/>
    <w:rsid w:val="68E322A8"/>
    <w:rsid w:val="68ED3493"/>
    <w:rsid w:val="68FE7531"/>
    <w:rsid w:val="69004F74"/>
    <w:rsid w:val="69006D22"/>
    <w:rsid w:val="691E5FF7"/>
    <w:rsid w:val="69283C71"/>
    <w:rsid w:val="693E3CEF"/>
    <w:rsid w:val="69794D27"/>
    <w:rsid w:val="69831701"/>
    <w:rsid w:val="69925ED5"/>
    <w:rsid w:val="6996293F"/>
    <w:rsid w:val="69A71BB4"/>
    <w:rsid w:val="69B31FE7"/>
    <w:rsid w:val="69D87C9F"/>
    <w:rsid w:val="69FC1BE0"/>
    <w:rsid w:val="6A2230B3"/>
    <w:rsid w:val="6A3D3FA6"/>
    <w:rsid w:val="6A415844"/>
    <w:rsid w:val="6A7A48B2"/>
    <w:rsid w:val="6AC01C9F"/>
    <w:rsid w:val="6AC56475"/>
    <w:rsid w:val="6AFE54E3"/>
    <w:rsid w:val="6B152E86"/>
    <w:rsid w:val="6B154F60"/>
    <w:rsid w:val="6B1D005F"/>
    <w:rsid w:val="6B2D401B"/>
    <w:rsid w:val="6B2E18B2"/>
    <w:rsid w:val="6B4355EC"/>
    <w:rsid w:val="6B4F3EEC"/>
    <w:rsid w:val="6B641B0C"/>
    <w:rsid w:val="6B6D2669"/>
    <w:rsid w:val="6B75170A"/>
    <w:rsid w:val="6B872974"/>
    <w:rsid w:val="6B8D0B83"/>
    <w:rsid w:val="6BB43DF4"/>
    <w:rsid w:val="6BBF2EC5"/>
    <w:rsid w:val="6BCE6328"/>
    <w:rsid w:val="6BE00A77"/>
    <w:rsid w:val="6BF608B1"/>
    <w:rsid w:val="6C066D46"/>
    <w:rsid w:val="6C07486C"/>
    <w:rsid w:val="6C0B610A"/>
    <w:rsid w:val="6C115E3F"/>
    <w:rsid w:val="6C246ED6"/>
    <w:rsid w:val="6C2C6080"/>
    <w:rsid w:val="6C2D5DC0"/>
    <w:rsid w:val="6C2E1DF8"/>
    <w:rsid w:val="6C3C4515"/>
    <w:rsid w:val="6C442B6B"/>
    <w:rsid w:val="6C4C2271"/>
    <w:rsid w:val="6C521059"/>
    <w:rsid w:val="6C670457"/>
    <w:rsid w:val="6C677879"/>
    <w:rsid w:val="6CAA4B46"/>
    <w:rsid w:val="6CAE5F57"/>
    <w:rsid w:val="6CBC7B76"/>
    <w:rsid w:val="6CC8096D"/>
    <w:rsid w:val="6CC85DA9"/>
    <w:rsid w:val="6CCC7FBB"/>
    <w:rsid w:val="6CDB6E8A"/>
    <w:rsid w:val="6CED3A62"/>
    <w:rsid w:val="6CFE56DF"/>
    <w:rsid w:val="6D06067F"/>
    <w:rsid w:val="6D1016FA"/>
    <w:rsid w:val="6D125276"/>
    <w:rsid w:val="6D400035"/>
    <w:rsid w:val="6D641E4C"/>
    <w:rsid w:val="6D6F091A"/>
    <w:rsid w:val="6D8C0420"/>
    <w:rsid w:val="6D9C13E7"/>
    <w:rsid w:val="6DC018FC"/>
    <w:rsid w:val="6DEF55B7"/>
    <w:rsid w:val="6E11327E"/>
    <w:rsid w:val="6E153270"/>
    <w:rsid w:val="6E1B63AC"/>
    <w:rsid w:val="6E31797E"/>
    <w:rsid w:val="6E630D7B"/>
    <w:rsid w:val="6E70494A"/>
    <w:rsid w:val="6E764DFC"/>
    <w:rsid w:val="6E82467D"/>
    <w:rsid w:val="6E8E4DD0"/>
    <w:rsid w:val="6E8E5568"/>
    <w:rsid w:val="6EC86534"/>
    <w:rsid w:val="6ED70525"/>
    <w:rsid w:val="6EDD18B4"/>
    <w:rsid w:val="6EF530A1"/>
    <w:rsid w:val="6EFB06D8"/>
    <w:rsid w:val="6EFC0E94"/>
    <w:rsid w:val="6F1445F8"/>
    <w:rsid w:val="6F196D90"/>
    <w:rsid w:val="6F213E96"/>
    <w:rsid w:val="6F2E6B11"/>
    <w:rsid w:val="6F305E87"/>
    <w:rsid w:val="6F435BBB"/>
    <w:rsid w:val="6F6576C7"/>
    <w:rsid w:val="6F7538EF"/>
    <w:rsid w:val="6F860807"/>
    <w:rsid w:val="6F975F07"/>
    <w:rsid w:val="6F981E2B"/>
    <w:rsid w:val="6F9D65DD"/>
    <w:rsid w:val="6FA06B69"/>
    <w:rsid w:val="6FC34F4E"/>
    <w:rsid w:val="6FCC5BB0"/>
    <w:rsid w:val="6FE70EE8"/>
    <w:rsid w:val="6FF4251F"/>
    <w:rsid w:val="6FFB0243"/>
    <w:rsid w:val="70001CFE"/>
    <w:rsid w:val="70463B4B"/>
    <w:rsid w:val="70651549"/>
    <w:rsid w:val="706C2EEF"/>
    <w:rsid w:val="70733268"/>
    <w:rsid w:val="70746064"/>
    <w:rsid w:val="707D1E0A"/>
    <w:rsid w:val="709B37D5"/>
    <w:rsid w:val="70CC5C94"/>
    <w:rsid w:val="70DD3B27"/>
    <w:rsid w:val="70E1568B"/>
    <w:rsid w:val="70E83988"/>
    <w:rsid w:val="70ED0BE3"/>
    <w:rsid w:val="70FE02DC"/>
    <w:rsid w:val="7104137A"/>
    <w:rsid w:val="713F0E45"/>
    <w:rsid w:val="714B27BD"/>
    <w:rsid w:val="71631E2F"/>
    <w:rsid w:val="716342F2"/>
    <w:rsid w:val="719C7804"/>
    <w:rsid w:val="71C70D25"/>
    <w:rsid w:val="71D81693"/>
    <w:rsid w:val="71F31B1A"/>
    <w:rsid w:val="71F92EA9"/>
    <w:rsid w:val="72103967"/>
    <w:rsid w:val="72584A9A"/>
    <w:rsid w:val="72763829"/>
    <w:rsid w:val="72881073"/>
    <w:rsid w:val="728E1843"/>
    <w:rsid w:val="72A03324"/>
    <w:rsid w:val="72BA6C45"/>
    <w:rsid w:val="72BF19FC"/>
    <w:rsid w:val="72C0653A"/>
    <w:rsid w:val="72FA692B"/>
    <w:rsid w:val="72FC72C0"/>
    <w:rsid w:val="73151A91"/>
    <w:rsid w:val="733F6699"/>
    <w:rsid w:val="73532145"/>
    <w:rsid w:val="73832A2A"/>
    <w:rsid w:val="738B5D82"/>
    <w:rsid w:val="738E13CF"/>
    <w:rsid w:val="73A725A1"/>
    <w:rsid w:val="73BD7C81"/>
    <w:rsid w:val="73BE3A62"/>
    <w:rsid w:val="73BF0441"/>
    <w:rsid w:val="73C3376E"/>
    <w:rsid w:val="73CC3AB4"/>
    <w:rsid w:val="73ED5108"/>
    <w:rsid w:val="741E22D4"/>
    <w:rsid w:val="74314780"/>
    <w:rsid w:val="74567281"/>
    <w:rsid w:val="7463285B"/>
    <w:rsid w:val="747031BC"/>
    <w:rsid w:val="7486444B"/>
    <w:rsid w:val="7487654A"/>
    <w:rsid w:val="748C590E"/>
    <w:rsid w:val="748D1686"/>
    <w:rsid w:val="74BD6383"/>
    <w:rsid w:val="74CD5161"/>
    <w:rsid w:val="74D22F0D"/>
    <w:rsid w:val="74DB6895"/>
    <w:rsid w:val="74E818AE"/>
    <w:rsid w:val="75096F5F"/>
    <w:rsid w:val="750A5D5F"/>
    <w:rsid w:val="750D000B"/>
    <w:rsid w:val="751B23F6"/>
    <w:rsid w:val="752136E9"/>
    <w:rsid w:val="75356BF2"/>
    <w:rsid w:val="75436915"/>
    <w:rsid w:val="75510906"/>
    <w:rsid w:val="755928A9"/>
    <w:rsid w:val="755C1784"/>
    <w:rsid w:val="75696A96"/>
    <w:rsid w:val="757F3A75"/>
    <w:rsid w:val="75BB2BFD"/>
    <w:rsid w:val="75BE1F17"/>
    <w:rsid w:val="75BF1D13"/>
    <w:rsid w:val="75CB2637"/>
    <w:rsid w:val="75CD22FF"/>
    <w:rsid w:val="75D752AF"/>
    <w:rsid w:val="75F145C2"/>
    <w:rsid w:val="75F5230F"/>
    <w:rsid w:val="763340F0"/>
    <w:rsid w:val="764D37C3"/>
    <w:rsid w:val="76B81653"/>
    <w:rsid w:val="76E9529A"/>
    <w:rsid w:val="7705113B"/>
    <w:rsid w:val="770D392A"/>
    <w:rsid w:val="7710223A"/>
    <w:rsid w:val="7742433F"/>
    <w:rsid w:val="775748F9"/>
    <w:rsid w:val="777A05E8"/>
    <w:rsid w:val="778615D8"/>
    <w:rsid w:val="77905A67"/>
    <w:rsid w:val="77961161"/>
    <w:rsid w:val="77974CF6"/>
    <w:rsid w:val="77992A2F"/>
    <w:rsid w:val="779F3DE9"/>
    <w:rsid w:val="77A64117"/>
    <w:rsid w:val="77AA0B1F"/>
    <w:rsid w:val="77CA50CB"/>
    <w:rsid w:val="78047EB1"/>
    <w:rsid w:val="78061E7B"/>
    <w:rsid w:val="78164848"/>
    <w:rsid w:val="782567A5"/>
    <w:rsid w:val="78670B6C"/>
    <w:rsid w:val="788A485A"/>
    <w:rsid w:val="78A3591C"/>
    <w:rsid w:val="78A71DBF"/>
    <w:rsid w:val="78AC1CA3"/>
    <w:rsid w:val="78AD7E32"/>
    <w:rsid w:val="78C85C21"/>
    <w:rsid w:val="78E21FA1"/>
    <w:rsid w:val="78E51A91"/>
    <w:rsid w:val="78ED6446"/>
    <w:rsid w:val="78F16688"/>
    <w:rsid w:val="78F230ED"/>
    <w:rsid w:val="790E7239"/>
    <w:rsid w:val="79102FB2"/>
    <w:rsid w:val="79106264"/>
    <w:rsid w:val="794C38BE"/>
    <w:rsid w:val="79537342"/>
    <w:rsid w:val="79607EAC"/>
    <w:rsid w:val="79654980"/>
    <w:rsid w:val="7971043B"/>
    <w:rsid w:val="797D7F1B"/>
    <w:rsid w:val="798017B9"/>
    <w:rsid w:val="798A150A"/>
    <w:rsid w:val="79BF18B1"/>
    <w:rsid w:val="79CD2C51"/>
    <w:rsid w:val="79E61F64"/>
    <w:rsid w:val="7A2E4F39"/>
    <w:rsid w:val="7A401675"/>
    <w:rsid w:val="7A4078C7"/>
    <w:rsid w:val="7A4B453E"/>
    <w:rsid w:val="7A5A5398"/>
    <w:rsid w:val="7A6020D1"/>
    <w:rsid w:val="7A7C4677"/>
    <w:rsid w:val="7A996FD7"/>
    <w:rsid w:val="7A9A5FC9"/>
    <w:rsid w:val="7ADE49EA"/>
    <w:rsid w:val="7AE85672"/>
    <w:rsid w:val="7B175622"/>
    <w:rsid w:val="7B187FAA"/>
    <w:rsid w:val="7B234B9D"/>
    <w:rsid w:val="7B4220D4"/>
    <w:rsid w:val="7B476A33"/>
    <w:rsid w:val="7B66335D"/>
    <w:rsid w:val="7B8E622C"/>
    <w:rsid w:val="7B95154C"/>
    <w:rsid w:val="7B9854E0"/>
    <w:rsid w:val="7B9F23CB"/>
    <w:rsid w:val="7BA619AB"/>
    <w:rsid w:val="7BA63759"/>
    <w:rsid w:val="7BB73BB8"/>
    <w:rsid w:val="7BBA5457"/>
    <w:rsid w:val="7BC22BFF"/>
    <w:rsid w:val="7BC95407"/>
    <w:rsid w:val="7BD36518"/>
    <w:rsid w:val="7BD742F0"/>
    <w:rsid w:val="7BE35CBC"/>
    <w:rsid w:val="7BFD3595"/>
    <w:rsid w:val="7C0B7364"/>
    <w:rsid w:val="7C2A25DC"/>
    <w:rsid w:val="7C336FB7"/>
    <w:rsid w:val="7C43369E"/>
    <w:rsid w:val="7C5F2EA5"/>
    <w:rsid w:val="7C701245"/>
    <w:rsid w:val="7C892AAF"/>
    <w:rsid w:val="7C943EFA"/>
    <w:rsid w:val="7CA331DB"/>
    <w:rsid w:val="7CB37868"/>
    <w:rsid w:val="7CB63E70"/>
    <w:rsid w:val="7CC876FF"/>
    <w:rsid w:val="7CDF6B6E"/>
    <w:rsid w:val="7D00333D"/>
    <w:rsid w:val="7D006E99"/>
    <w:rsid w:val="7D070E10"/>
    <w:rsid w:val="7D0938C2"/>
    <w:rsid w:val="7D0A5F6A"/>
    <w:rsid w:val="7D1B3CD3"/>
    <w:rsid w:val="7D1D1A03"/>
    <w:rsid w:val="7D24527D"/>
    <w:rsid w:val="7D45285A"/>
    <w:rsid w:val="7D483C18"/>
    <w:rsid w:val="7D4E2653"/>
    <w:rsid w:val="7D642AC1"/>
    <w:rsid w:val="7D6768E5"/>
    <w:rsid w:val="7D676F18"/>
    <w:rsid w:val="7D757FDB"/>
    <w:rsid w:val="7D762947"/>
    <w:rsid w:val="7D851A94"/>
    <w:rsid w:val="7D983576"/>
    <w:rsid w:val="7DBA2679"/>
    <w:rsid w:val="7DBD3626"/>
    <w:rsid w:val="7DC96F46"/>
    <w:rsid w:val="7DDE37DF"/>
    <w:rsid w:val="7DEC566F"/>
    <w:rsid w:val="7DF32EA2"/>
    <w:rsid w:val="7DFD787D"/>
    <w:rsid w:val="7E0C716E"/>
    <w:rsid w:val="7E1B090D"/>
    <w:rsid w:val="7E313F70"/>
    <w:rsid w:val="7E340930"/>
    <w:rsid w:val="7E3F4248"/>
    <w:rsid w:val="7E413C0D"/>
    <w:rsid w:val="7E655B4E"/>
    <w:rsid w:val="7E7F2FEF"/>
    <w:rsid w:val="7E8423E7"/>
    <w:rsid w:val="7E950D42"/>
    <w:rsid w:val="7E991900"/>
    <w:rsid w:val="7ECD54A1"/>
    <w:rsid w:val="7EE07A9F"/>
    <w:rsid w:val="7EF61719"/>
    <w:rsid w:val="7F2A644F"/>
    <w:rsid w:val="7F327676"/>
    <w:rsid w:val="7F385010"/>
    <w:rsid w:val="7F3C5F66"/>
    <w:rsid w:val="7F4734A5"/>
    <w:rsid w:val="7F741DC0"/>
    <w:rsid w:val="7F842D09"/>
    <w:rsid w:val="7F8F6BFA"/>
    <w:rsid w:val="7FB36445"/>
    <w:rsid w:val="7FD10FC1"/>
    <w:rsid w:val="7FDA38C0"/>
    <w:rsid w:val="7FDD6DE5"/>
    <w:rsid w:val="7FF20E2D"/>
    <w:rsid w:val="7FF52F01"/>
    <w:rsid w:val="FFA51E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adjustRightInd w:val="0"/>
      <w:spacing w:before="120" w:line="360" w:lineRule="auto"/>
      <w:ind w:left="284"/>
      <w:textAlignment w:val="baseline"/>
      <w:outlineLvl w:val="0"/>
    </w:pPr>
    <w:rPr>
      <w:rFonts w:eastAsia="黑体"/>
      <w:color w:val="000000"/>
      <w:kern w:val="44"/>
      <w:sz w:val="36"/>
      <w:szCs w:val="20"/>
    </w:rPr>
  </w:style>
  <w:style w:type="paragraph" w:styleId="4">
    <w:name w:val="heading 2"/>
    <w:basedOn w:val="1"/>
    <w:next w:val="1"/>
    <w:link w:val="46"/>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5">
    <w:name w:val="heading 3"/>
    <w:basedOn w:val="1"/>
    <w:next w:val="1"/>
    <w:link w:val="47"/>
    <w:qFormat/>
    <w:uiPriority w:val="0"/>
    <w:pPr>
      <w:numPr>
        <w:ilvl w:val="2"/>
        <w:numId w:val="1"/>
      </w:numPr>
      <w:tabs>
        <w:tab w:val="left" w:pos="900"/>
      </w:tabs>
      <w:adjustRightInd w:val="0"/>
      <w:spacing w:before="120" w:line="360" w:lineRule="auto"/>
      <w:textAlignment w:val="baseline"/>
      <w:outlineLvl w:val="2"/>
    </w:pPr>
    <w:rPr>
      <w:rFonts w:eastAsia="黑体"/>
      <w:b/>
      <w:kern w:val="0"/>
      <w:sz w:val="28"/>
      <w:szCs w:val="20"/>
    </w:rPr>
  </w:style>
  <w:style w:type="paragraph" w:styleId="6">
    <w:name w:val="heading 4"/>
    <w:basedOn w:val="1"/>
    <w:next w:val="1"/>
    <w:link w:val="48"/>
    <w:qFormat/>
    <w:uiPriority w:val="0"/>
    <w:pPr>
      <w:numPr>
        <w:ilvl w:val="3"/>
        <w:numId w:val="1"/>
      </w:numPr>
      <w:adjustRightInd w:val="0"/>
      <w:spacing w:before="120" w:line="360" w:lineRule="auto"/>
      <w:textAlignment w:val="baseline"/>
      <w:outlineLvl w:val="3"/>
    </w:pPr>
    <w:rPr>
      <w:rFonts w:ascii="Arial" w:eastAsia="黑体"/>
      <w:kern w:val="0"/>
      <w:sz w:val="28"/>
      <w:szCs w:val="20"/>
    </w:rPr>
  </w:style>
  <w:style w:type="paragraph" w:styleId="7">
    <w:name w:val="heading 9"/>
    <w:basedOn w:val="1"/>
    <w:next w:val="1"/>
    <w:link w:val="49"/>
    <w:qFormat/>
    <w:uiPriority w:val="0"/>
    <w:pPr>
      <w:numPr>
        <w:ilvl w:val="8"/>
        <w:numId w:val="2"/>
      </w:numPr>
      <w:outlineLvl w:val="8"/>
    </w:pPr>
    <w:rPr>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qFormat/>
    <w:uiPriority w:val="0"/>
    <w:pPr>
      <w:spacing w:after="120"/>
    </w:pPr>
  </w:style>
  <w:style w:type="paragraph" w:styleId="8">
    <w:name w:val="index 8"/>
    <w:basedOn w:val="1"/>
    <w:next w:val="1"/>
    <w:qFormat/>
    <w:uiPriority w:val="0"/>
    <w:pPr>
      <w:ind w:left="2940"/>
    </w:pPr>
  </w:style>
  <w:style w:type="paragraph" w:styleId="9">
    <w:name w:val="Document Map"/>
    <w:basedOn w:val="1"/>
    <w:link w:val="52"/>
    <w:qFormat/>
    <w:uiPriority w:val="0"/>
    <w:rPr>
      <w:rFonts w:ascii="宋体"/>
      <w:sz w:val="18"/>
      <w:szCs w:val="18"/>
    </w:rPr>
  </w:style>
  <w:style w:type="paragraph" w:styleId="10">
    <w:name w:val="annotation text"/>
    <w:basedOn w:val="1"/>
    <w:link w:val="50"/>
    <w:unhideWhenUsed/>
    <w:qFormat/>
    <w:uiPriority w:val="0"/>
    <w:pPr>
      <w:jc w:val="left"/>
    </w:pPr>
  </w:style>
  <w:style w:type="paragraph" w:styleId="11">
    <w:name w:val="Body Text Indent"/>
    <w:basedOn w:val="1"/>
    <w:next w:val="1"/>
    <w:link w:val="54"/>
    <w:qFormat/>
    <w:uiPriority w:val="0"/>
    <w:pPr>
      <w:spacing w:line="200" w:lineRule="exact"/>
      <w:ind w:firstLine="301"/>
    </w:pPr>
    <w:rPr>
      <w:rFonts w:ascii="宋体" w:hAnsi="Courier New"/>
      <w:spacing w:val="-4"/>
      <w:sz w:val="18"/>
      <w:szCs w:val="20"/>
    </w:rPr>
  </w:style>
  <w:style w:type="paragraph" w:styleId="12">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3">
    <w:name w:val="Plain Text"/>
    <w:basedOn w:val="1"/>
    <w:next w:val="1"/>
    <w:link w:val="55"/>
    <w:qFormat/>
    <w:uiPriority w:val="0"/>
    <w:rPr>
      <w:rFonts w:ascii="宋体" w:hAnsi="Courier New"/>
      <w:szCs w:val="20"/>
    </w:rPr>
  </w:style>
  <w:style w:type="paragraph" w:styleId="14">
    <w:name w:val="Date"/>
    <w:basedOn w:val="1"/>
    <w:next w:val="1"/>
    <w:link w:val="56"/>
    <w:qFormat/>
    <w:uiPriority w:val="0"/>
  </w:style>
  <w:style w:type="paragraph" w:styleId="15">
    <w:name w:val="Body Text Indent 2"/>
    <w:basedOn w:val="1"/>
    <w:link w:val="57"/>
    <w:qFormat/>
    <w:uiPriority w:val="0"/>
    <w:pPr>
      <w:spacing w:after="120" w:line="480" w:lineRule="auto"/>
      <w:ind w:left="420" w:leftChars="200"/>
    </w:pPr>
  </w:style>
  <w:style w:type="paragraph" w:styleId="16">
    <w:name w:val="Balloon Text"/>
    <w:basedOn w:val="1"/>
    <w:link w:val="58"/>
    <w:semiHidden/>
    <w:qFormat/>
    <w:uiPriority w:val="0"/>
    <w:rPr>
      <w:sz w:val="18"/>
      <w:szCs w:val="18"/>
    </w:rPr>
  </w:style>
  <w:style w:type="paragraph" w:styleId="17">
    <w:name w:val="footer"/>
    <w:basedOn w:val="1"/>
    <w:link w:val="59"/>
    <w:qFormat/>
    <w:uiPriority w:val="99"/>
    <w:pPr>
      <w:tabs>
        <w:tab w:val="center" w:pos="4153"/>
        <w:tab w:val="right" w:pos="8306"/>
      </w:tabs>
      <w:snapToGrid w:val="0"/>
      <w:jc w:val="left"/>
    </w:pPr>
    <w:rPr>
      <w:sz w:val="18"/>
      <w:szCs w:val="18"/>
    </w:rPr>
  </w:style>
  <w:style w:type="paragraph" w:styleId="18">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outlineLvl w:val="0"/>
    </w:pPr>
    <w:rPr>
      <w:b/>
      <w:color w:val="000000"/>
      <w:sz w:val="48"/>
      <w:szCs w:val="48"/>
    </w:rPr>
  </w:style>
  <w:style w:type="paragraph" w:styleId="20">
    <w:name w:val="footnote text"/>
    <w:basedOn w:val="1"/>
    <w:next w:val="21"/>
    <w:qFormat/>
    <w:uiPriority w:val="0"/>
    <w:pPr>
      <w:widowControl/>
      <w:snapToGrid w:val="0"/>
      <w:jc w:val="left"/>
    </w:pPr>
    <w:rPr>
      <w:rFonts w:hint="eastAsia" w:ascii="Calibri" w:hAnsi="Calibri" w:eastAsia="宋体" w:cs="Times New Roman"/>
      <w:kern w:val="0"/>
      <w:sz w:val="18"/>
      <w:szCs w:val="18"/>
    </w:rPr>
  </w:style>
  <w:style w:type="paragraph" w:styleId="21">
    <w:name w:val="Body Text First Indent 2"/>
    <w:basedOn w:val="11"/>
    <w:next w:val="22"/>
    <w:qFormat/>
    <w:uiPriority w:val="0"/>
    <w:pPr>
      <w:ind w:firstLine="200" w:firstLineChars="200"/>
    </w:pPr>
    <w:rPr>
      <w:lang w:val="zh-CN"/>
    </w:rPr>
  </w:style>
  <w:style w:type="paragraph" w:styleId="22">
    <w:name w:val="Body Text First Indent"/>
    <w:basedOn w:val="2"/>
    <w:next w:val="21"/>
    <w:qFormat/>
    <w:uiPriority w:val="99"/>
    <w:pPr>
      <w:ind w:firstLine="420" w:firstLineChars="100"/>
    </w:pPr>
    <w:rPr>
      <w:rFonts w:ascii="宋体"/>
      <w:sz w:val="34"/>
      <w:szCs w:val="22"/>
    </w:rPr>
  </w:style>
  <w:style w:type="paragraph" w:styleId="23">
    <w:name w:val="toc 2"/>
    <w:basedOn w:val="1"/>
    <w:next w:val="1"/>
    <w:qFormat/>
    <w:uiPriority w:val="39"/>
    <w:pPr>
      <w:tabs>
        <w:tab w:val="right" w:leader="dot" w:pos="9628"/>
      </w:tabs>
      <w:ind w:left="420" w:firstLine="120"/>
      <w:jc w:val="left"/>
    </w:pPr>
    <w:rPr>
      <w:smallCaps/>
      <w:sz w:val="20"/>
      <w:szCs w:val="20"/>
    </w:rPr>
  </w:style>
  <w:style w:type="paragraph" w:styleId="24">
    <w:name w:val="Body Text 2"/>
    <w:basedOn w:val="1"/>
    <w:next w:val="2"/>
    <w:unhideWhenUsed/>
    <w:qFormat/>
    <w:uiPriority w:val="99"/>
    <w:pPr>
      <w:widowControl w:val="0"/>
      <w:spacing w:after="120" w:line="480" w:lineRule="auto"/>
      <w:jc w:val="both"/>
    </w:pPr>
    <w:rPr>
      <w:rFonts w:ascii="Calibri" w:hAnsi="Calibri" w:eastAsia="宋体" w:cs="Times New Roman"/>
      <w:kern w:val="2"/>
      <w:sz w:val="21"/>
      <w:szCs w:val="22"/>
      <w:lang w:val="en-US" w:eastAsia="zh-CN" w:bidi="ar-SA"/>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61"/>
    <w:qFormat/>
    <w:uiPriority w:val="0"/>
    <w:pPr>
      <w:spacing w:before="240" w:after="60"/>
      <w:jc w:val="center"/>
      <w:outlineLvl w:val="0"/>
    </w:pPr>
    <w:rPr>
      <w:rFonts w:ascii="Cambria" w:hAnsi="Cambria"/>
      <w:b/>
      <w:bCs/>
      <w:sz w:val="32"/>
      <w:szCs w:val="32"/>
    </w:rPr>
  </w:style>
  <w:style w:type="paragraph" w:styleId="27">
    <w:name w:val="annotation subject"/>
    <w:basedOn w:val="10"/>
    <w:next w:val="10"/>
    <w:link w:val="51"/>
    <w:semiHidden/>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style>
  <w:style w:type="character" w:styleId="32">
    <w:name w:val="page number"/>
    <w:basedOn w:val="30"/>
    <w:qFormat/>
    <w:uiPriority w:val="0"/>
  </w:style>
  <w:style w:type="character" w:styleId="33">
    <w:name w:val="FollowedHyperlink"/>
    <w:basedOn w:val="30"/>
    <w:unhideWhenUsed/>
    <w:qFormat/>
    <w:uiPriority w:val="99"/>
    <w:rPr>
      <w:color w:val="666699"/>
      <w:u w:val="none"/>
    </w:rPr>
  </w:style>
  <w:style w:type="character" w:styleId="34">
    <w:name w:val="Emphasis"/>
    <w:basedOn w:val="30"/>
    <w:qFormat/>
    <w:uiPriority w:val="20"/>
  </w:style>
  <w:style w:type="character" w:styleId="35">
    <w:name w:val="HTML Definition"/>
    <w:basedOn w:val="30"/>
    <w:unhideWhenUsed/>
    <w:qFormat/>
    <w:uiPriority w:val="99"/>
  </w:style>
  <w:style w:type="character" w:styleId="36">
    <w:name w:val="HTML Acronym"/>
    <w:basedOn w:val="30"/>
    <w:unhideWhenUsed/>
    <w:qFormat/>
    <w:uiPriority w:val="99"/>
  </w:style>
  <w:style w:type="character" w:styleId="37">
    <w:name w:val="HTML Variable"/>
    <w:basedOn w:val="30"/>
    <w:unhideWhenUsed/>
    <w:qFormat/>
    <w:uiPriority w:val="99"/>
    <w:rPr>
      <w:color w:val="FFFFFF"/>
      <w:u w:val="none"/>
      <w:shd w:val="clear" w:color="auto" w:fill="FF9933"/>
    </w:rPr>
  </w:style>
  <w:style w:type="character" w:styleId="38">
    <w:name w:val="Hyperlink"/>
    <w:basedOn w:val="30"/>
    <w:qFormat/>
    <w:uiPriority w:val="99"/>
    <w:rPr>
      <w:color w:val="0000FF"/>
      <w:u w:val="none"/>
    </w:rPr>
  </w:style>
  <w:style w:type="character" w:styleId="39">
    <w:name w:val="HTML Code"/>
    <w:basedOn w:val="30"/>
    <w:unhideWhenUsed/>
    <w:qFormat/>
    <w:uiPriority w:val="99"/>
    <w:rPr>
      <w:rFonts w:ascii="Courier New" w:hAnsi="Courier New"/>
      <w:sz w:val="20"/>
    </w:rPr>
  </w:style>
  <w:style w:type="character" w:styleId="40">
    <w:name w:val="annotation reference"/>
    <w:semiHidden/>
    <w:qFormat/>
    <w:uiPriority w:val="0"/>
    <w:rPr>
      <w:sz w:val="21"/>
      <w:szCs w:val="21"/>
    </w:rPr>
  </w:style>
  <w:style w:type="character" w:styleId="41">
    <w:name w:val="HTML Cite"/>
    <w:basedOn w:val="30"/>
    <w:unhideWhenUsed/>
    <w:qFormat/>
    <w:uiPriority w:val="99"/>
  </w:style>
  <w:style w:type="paragraph" w:customStyle="1" w:styleId="42">
    <w:name w:val="样式 标题 2 + 宋体"/>
    <w:basedOn w:val="4"/>
    <w:qFormat/>
    <w:uiPriority w:val="99"/>
    <w:rPr>
      <w:rFonts w:ascii="宋体" w:hAnsi="宋体"/>
      <w:sz w:val="30"/>
    </w:rPr>
  </w:style>
  <w:style w:type="paragraph" w:styleId="4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4">
    <w:name w:val="表格文字"/>
    <w:basedOn w:val="1"/>
    <w:qFormat/>
    <w:uiPriority w:val="99"/>
    <w:pPr>
      <w:spacing w:before="25" w:after="25"/>
      <w:jc w:val="left"/>
    </w:pPr>
    <w:rPr>
      <w:bCs/>
      <w:spacing w:val="10"/>
      <w:kern w:val="0"/>
      <w:sz w:val="24"/>
      <w:szCs w:val="20"/>
    </w:rPr>
  </w:style>
  <w:style w:type="character" w:customStyle="1" w:styleId="45">
    <w:name w:val="标题 1 字符"/>
    <w:basedOn w:val="30"/>
    <w:link w:val="3"/>
    <w:qFormat/>
    <w:uiPriority w:val="0"/>
    <w:rPr>
      <w:rFonts w:ascii="Times New Roman" w:hAnsi="Times New Roman" w:eastAsia="黑体" w:cs="Times New Roman"/>
      <w:color w:val="000000"/>
      <w:kern w:val="44"/>
      <w:sz w:val="36"/>
      <w:szCs w:val="20"/>
    </w:rPr>
  </w:style>
  <w:style w:type="character" w:customStyle="1" w:styleId="46">
    <w:name w:val="标题 2 字符"/>
    <w:basedOn w:val="30"/>
    <w:link w:val="4"/>
    <w:qFormat/>
    <w:uiPriority w:val="0"/>
    <w:rPr>
      <w:rFonts w:ascii="Times New Roman" w:hAnsi="Times New Roman" w:eastAsia="黑体" w:cs="Times New Roman"/>
      <w:b/>
      <w:kern w:val="0"/>
      <w:sz w:val="28"/>
      <w:szCs w:val="20"/>
    </w:rPr>
  </w:style>
  <w:style w:type="character" w:customStyle="1" w:styleId="47">
    <w:name w:val="标题 3 字符"/>
    <w:basedOn w:val="30"/>
    <w:link w:val="5"/>
    <w:qFormat/>
    <w:uiPriority w:val="0"/>
    <w:rPr>
      <w:rFonts w:ascii="Times New Roman" w:hAnsi="Times New Roman" w:eastAsia="黑体" w:cs="Times New Roman"/>
      <w:b/>
      <w:kern w:val="0"/>
      <w:sz w:val="28"/>
      <w:szCs w:val="20"/>
    </w:rPr>
  </w:style>
  <w:style w:type="character" w:customStyle="1" w:styleId="48">
    <w:name w:val="标题 4 字符"/>
    <w:basedOn w:val="30"/>
    <w:link w:val="6"/>
    <w:qFormat/>
    <w:uiPriority w:val="0"/>
    <w:rPr>
      <w:rFonts w:ascii="Arial" w:hAnsi="Times New Roman" w:eastAsia="黑体" w:cs="Times New Roman"/>
      <w:kern w:val="0"/>
      <w:sz w:val="28"/>
      <w:szCs w:val="20"/>
    </w:rPr>
  </w:style>
  <w:style w:type="character" w:customStyle="1" w:styleId="49">
    <w:name w:val="标题 9 字符"/>
    <w:basedOn w:val="30"/>
    <w:link w:val="7"/>
    <w:qFormat/>
    <w:uiPriority w:val="0"/>
    <w:rPr>
      <w:rFonts w:ascii="Times New Roman" w:hAnsi="Times New Roman" w:eastAsia="宋体" w:cs="Times New Roman"/>
      <w:szCs w:val="21"/>
    </w:rPr>
  </w:style>
  <w:style w:type="character" w:customStyle="1" w:styleId="50">
    <w:name w:val="批注文字 字符"/>
    <w:basedOn w:val="30"/>
    <w:link w:val="10"/>
    <w:qFormat/>
    <w:uiPriority w:val="0"/>
    <w:rPr>
      <w:rFonts w:ascii="Times New Roman" w:hAnsi="Times New Roman" w:eastAsia="宋体" w:cs="Times New Roman"/>
      <w:szCs w:val="24"/>
    </w:rPr>
  </w:style>
  <w:style w:type="character" w:customStyle="1" w:styleId="51">
    <w:name w:val="批注主题 字符"/>
    <w:basedOn w:val="50"/>
    <w:link w:val="27"/>
    <w:semiHidden/>
    <w:qFormat/>
    <w:uiPriority w:val="0"/>
    <w:rPr>
      <w:rFonts w:ascii="Times New Roman" w:hAnsi="Times New Roman" w:eastAsia="宋体" w:cs="Times New Roman"/>
      <w:b/>
      <w:bCs/>
      <w:szCs w:val="24"/>
    </w:rPr>
  </w:style>
  <w:style w:type="character" w:customStyle="1" w:styleId="52">
    <w:name w:val="文档结构图 字符"/>
    <w:basedOn w:val="30"/>
    <w:link w:val="9"/>
    <w:qFormat/>
    <w:uiPriority w:val="0"/>
    <w:rPr>
      <w:rFonts w:ascii="宋体" w:hAnsi="Times New Roman" w:eastAsia="宋体" w:cs="Times New Roman"/>
      <w:sz w:val="18"/>
      <w:szCs w:val="18"/>
    </w:rPr>
  </w:style>
  <w:style w:type="character" w:customStyle="1" w:styleId="53">
    <w:name w:val="正文文本 字符"/>
    <w:basedOn w:val="30"/>
    <w:link w:val="2"/>
    <w:qFormat/>
    <w:uiPriority w:val="0"/>
    <w:rPr>
      <w:rFonts w:ascii="Times New Roman" w:hAnsi="Times New Roman" w:eastAsia="宋体" w:cs="Times New Roman"/>
      <w:szCs w:val="24"/>
    </w:rPr>
  </w:style>
  <w:style w:type="character" w:customStyle="1" w:styleId="54">
    <w:name w:val="正文文本缩进 字符"/>
    <w:basedOn w:val="30"/>
    <w:link w:val="11"/>
    <w:qFormat/>
    <w:uiPriority w:val="0"/>
    <w:rPr>
      <w:rFonts w:ascii="宋体" w:hAnsi="Courier New" w:eastAsia="宋体" w:cs="Times New Roman"/>
      <w:spacing w:val="-4"/>
      <w:sz w:val="18"/>
      <w:szCs w:val="20"/>
    </w:rPr>
  </w:style>
  <w:style w:type="character" w:customStyle="1" w:styleId="55">
    <w:name w:val="纯文本 字符"/>
    <w:basedOn w:val="30"/>
    <w:link w:val="13"/>
    <w:qFormat/>
    <w:uiPriority w:val="0"/>
    <w:rPr>
      <w:rFonts w:ascii="宋体" w:hAnsi="Courier New" w:eastAsia="宋体" w:cs="Times New Roman"/>
      <w:szCs w:val="20"/>
    </w:rPr>
  </w:style>
  <w:style w:type="character" w:customStyle="1" w:styleId="56">
    <w:name w:val="日期 字符"/>
    <w:basedOn w:val="30"/>
    <w:link w:val="14"/>
    <w:qFormat/>
    <w:uiPriority w:val="0"/>
    <w:rPr>
      <w:rFonts w:ascii="Times New Roman" w:hAnsi="Times New Roman" w:eastAsia="宋体" w:cs="Times New Roman"/>
      <w:szCs w:val="24"/>
    </w:rPr>
  </w:style>
  <w:style w:type="character" w:customStyle="1" w:styleId="57">
    <w:name w:val="正文文本缩进 2 字符"/>
    <w:basedOn w:val="30"/>
    <w:link w:val="15"/>
    <w:qFormat/>
    <w:uiPriority w:val="0"/>
    <w:rPr>
      <w:rFonts w:ascii="Times New Roman" w:hAnsi="Times New Roman" w:eastAsia="宋体" w:cs="Times New Roman"/>
      <w:szCs w:val="24"/>
    </w:rPr>
  </w:style>
  <w:style w:type="character" w:customStyle="1" w:styleId="58">
    <w:name w:val="批注框文本 字符"/>
    <w:basedOn w:val="30"/>
    <w:link w:val="16"/>
    <w:semiHidden/>
    <w:qFormat/>
    <w:uiPriority w:val="0"/>
    <w:rPr>
      <w:rFonts w:ascii="Times New Roman" w:hAnsi="Times New Roman" w:eastAsia="宋体" w:cs="Times New Roman"/>
      <w:sz w:val="18"/>
      <w:szCs w:val="18"/>
    </w:rPr>
  </w:style>
  <w:style w:type="character" w:customStyle="1" w:styleId="59">
    <w:name w:val="页脚 字符"/>
    <w:basedOn w:val="30"/>
    <w:link w:val="17"/>
    <w:qFormat/>
    <w:uiPriority w:val="99"/>
    <w:rPr>
      <w:rFonts w:ascii="Times New Roman" w:hAnsi="Times New Roman" w:eastAsia="宋体" w:cs="Times New Roman"/>
      <w:sz w:val="18"/>
      <w:szCs w:val="18"/>
    </w:rPr>
  </w:style>
  <w:style w:type="character" w:customStyle="1" w:styleId="60">
    <w:name w:val="页眉 字符"/>
    <w:basedOn w:val="30"/>
    <w:link w:val="18"/>
    <w:qFormat/>
    <w:uiPriority w:val="0"/>
    <w:rPr>
      <w:rFonts w:ascii="Times New Roman" w:hAnsi="Times New Roman" w:eastAsia="宋体" w:cs="Times New Roman"/>
      <w:sz w:val="18"/>
      <w:szCs w:val="18"/>
    </w:rPr>
  </w:style>
  <w:style w:type="character" w:customStyle="1" w:styleId="61">
    <w:name w:val="标题 字符"/>
    <w:basedOn w:val="30"/>
    <w:link w:val="26"/>
    <w:qFormat/>
    <w:uiPriority w:val="0"/>
    <w:rPr>
      <w:rFonts w:ascii="Cambria" w:hAnsi="Cambria" w:eastAsia="宋体" w:cs="Times New Roman"/>
      <w:b/>
      <w:bCs/>
      <w:sz w:val="32"/>
      <w:szCs w:val="32"/>
    </w:rPr>
  </w:style>
  <w:style w:type="paragraph" w:customStyle="1" w:styleId="62">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3">
    <w:name w:val="正文段"/>
    <w:basedOn w:val="1"/>
    <w:qFormat/>
    <w:uiPriority w:val="0"/>
    <w:pPr>
      <w:widowControl/>
      <w:snapToGrid w:val="0"/>
      <w:spacing w:afterLines="50"/>
      <w:ind w:firstLine="200" w:firstLineChars="200"/>
    </w:pPr>
    <w:rPr>
      <w:kern w:val="0"/>
      <w:sz w:val="24"/>
      <w:szCs w:val="20"/>
    </w:rPr>
  </w:style>
  <w:style w:type="paragraph" w:customStyle="1" w:styleId="64">
    <w:name w:val="Char Char Char Char Char Char Char"/>
    <w:basedOn w:val="1"/>
    <w:qFormat/>
    <w:uiPriority w:val="0"/>
    <w:rPr>
      <w:szCs w:val="21"/>
    </w:rPr>
  </w:style>
  <w:style w:type="paragraph" w:customStyle="1" w:styleId="65">
    <w:name w:val="Char"/>
    <w:basedOn w:val="1"/>
    <w:qFormat/>
    <w:uiPriority w:val="0"/>
    <w:rPr>
      <w:szCs w:val="21"/>
    </w:rPr>
  </w:style>
  <w:style w:type="paragraph" w:customStyle="1" w:styleId="66">
    <w:name w:val="Char Char Char1"/>
    <w:basedOn w:val="1"/>
    <w:qFormat/>
    <w:uiPriority w:val="0"/>
    <w:rPr>
      <w:rFonts w:ascii="Tahoma" w:hAnsi="Tahoma"/>
      <w:sz w:val="24"/>
      <w:szCs w:val="20"/>
    </w:rPr>
  </w:style>
  <w:style w:type="paragraph" w:customStyle="1" w:styleId="67">
    <w:name w:val="_Style 33"/>
    <w:basedOn w:val="3"/>
    <w:next w:val="1"/>
    <w:unhideWhenUsed/>
    <w:qFormat/>
    <w:uiPriority w:val="39"/>
    <w:pPr>
      <w:widowControl/>
      <w:adjustRightInd/>
      <w:spacing w:before="480" w:line="276" w:lineRule="auto"/>
      <w:ind w:left="0"/>
      <w:jc w:val="left"/>
      <w:textAlignment w:val="auto"/>
      <w:outlineLvl w:val="9"/>
    </w:pPr>
    <w:rPr>
      <w:rFonts w:ascii="Cambria" w:hAnsi="Cambria" w:eastAsia="宋体"/>
      <w:bCs/>
      <w:color w:val="365F91"/>
      <w:kern w:val="0"/>
      <w:szCs w:val="28"/>
    </w:rPr>
  </w:style>
  <w:style w:type="character" w:customStyle="1" w:styleId="68">
    <w:name w:val="纯文本 Char2"/>
    <w:qFormat/>
    <w:uiPriority w:val="0"/>
    <w:rPr>
      <w:rFonts w:ascii="宋体" w:hAnsi="Courier New" w:eastAsia="宋体"/>
      <w:kern w:val="2"/>
      <w:sz w:val="21"/>
      <w:lang w:val="en-US" w:eastAsia="zh-CN" w:bidi="ar-SA"/>
    </w:rPr>
  </w:style>
  <w:style w:type="paragraph" w:customStyle="1" w:styleId="69">
    <w:name w:val="p16"/>
    <w:basedOn w:val="1"/>
    <w:qFormat/>
    <w:uiPriority w:val="0"/>
    <w:pPr>
      <w:widowControl/>
    </w:pPr>
    <w:rPr>
      <w:rFonts w:ascii="宋体" w:hAnsi="宋体" w:cs="宋体"/>
      <w:kern w:val="0"/>
      <w:szCs w:val="21"/>
    </w:rPr>
  </w:style>
  <w:style w:type="paragraph" w:customStyle="1" w:styleId="70">
    <w:name w:val="列出段落1"/>
    <w:basedOn w:val="1"/>
    <w:unhideWhenUsed/>
    <w:qFormat/>
    <w:uiPriority w:val="34"/>
    <w:pPr>
      <w:ind w:firstLine="420" w:firstLineChars="200"/>
    </w:pPr>
  </w:style>
  <w:style w:type="character" w:customStyle="1" w:styleId="71">
    <w:name w:val="纯文本 Char1"/>
    <w:qFormat/>
    <w:uiPriority w:val="0"/>
    <w:rPr>
      <w:rFonts w:ascii="宋体" w:hAnsi="Courier New" w:eastAsia="宋体"/>
    </w:rPr>
  </w:style>
  <w:style w:type="paragraph" w:customStyle="1" w:styleId="7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3">
    <w:name w:val="#"/>
    <w:basedOn w:val="1"/>
    <w:qFormat/>
    <w:uiPriority w:val="0"/>
    <w:pPr>
      <w:numPr>
        <w:ilvl w:val="0"/>
        <w:numId w:val="2"/>
      </w:numPr>
      <w:tabs>
        <w:tab w:val="left" w:pos="964"/>
      </w:tabs>
      <w:spacing w:line="360" w:lineRule="auto"/>
    </w:pPr>
    <w:rPr>
      <w:sz w:val="24"/>
    </w:rPr>
  </w:style>
  <w:style w:type="paragraph" w:customStyle="1" w:styleId="74">
    <w:name w:val="列出段落2"/>
    <w:basedOn w:val="1"/>
    <w:link w:val="75"/>
    <w:unhideWhenUsed/>
    <w:qFormat/>
    <w:uiPriority w:val="0"/>
    <w:pPr>
      <w:ind w:firstLine="420" w:firstLineChars="200"/>
    </w:pPr>
  </w:style>
  <w:style w:type="character" w:customStyle="1" w:styleId="75">
    <w:name w:val="列出段落 Char"/>
    <w:link w:val="74"/>
    <w:qFormat/>
    <w:uiPriority w:val="34"/>
    <w:rPr>
      <w:rFonts w:ascii="Times New Roman" w:hAnsi="Times New Roman" w:eastAsia="宋体" w:cs="Times New Roman"/>
      <w:szCs w:val="24"/>
    </w:rPr>
  </w:style>
  <w:style w:type="paragraph" w:customStyle="1" w:styleId="76">
    <w:name w:val="列出段落21"/>
    <w:basedOn w:val="1"/>
    <w:qFormat/>
    <w:uiPriority w:val="34"/>
    <w:pPr>
      <w:ind w:firstLine="420" w:firstLineChars="200"/>
    </w:pPr>
  </w:style>
  <w:style w:type="paragraph" w:customStyle="1" w:styleId="77">
    <w:name w:val="_Style 1"/>
    <w:basedOn w:val="1"/>
    <w:qFormat/>
    <w:uiPriority w:val="34"/>
    <w:pPr>
      <w:ind w:firstLine="420" w:firstLineChars="200"/>
    </w:pPr>
  </w:style>
  <w:style w:type="character" w:customStyle="1" w:styleId="78">
    <w:name w:val="now1"/>
    <w:basedOn w:val="30"/>
    <w:qFormat/>
    <w:uiPriority w:val="0"/>
  </w:style>
  <w:style w:type="character" w:customStyle="1" w:styleId="79">
    <w:name w:val="now2"/>
    <w:basedOn w:val="30"/>
    <w:qFormat/>
    <w:uiPriority w:val="0"/>
  </w:style>
  <w:style w:type="character" w:customStyle="1" w:styleId="80">
    <w:name w:val="reason"/>
    <w:basedOn w:val="30"/>
    <w:qFormat/>
    <w:uiPriority w:val="0"/>
    <w:rPr>
      <w:color w:val="999999"/>
    </w:rPr>
  </w:style>
  <w:style w:type="character" w:customStyle="1" w:styleId="81">
    <w:name w:val="inq"/>
    <w:basedOn w:val="30"/>
    <w:qFormat/>
    <w:uiPriority w:val="0"/>
    <w:rPr>
      <w:color w:val="333333"/>
    </w:rPr>
  </w:style>
  <w:style w:type="character" w:customStyle="1" w:styleId="82">
    <w:name w:val="inq1"/>
    <w:basedOn w:val="30"/>
    <w:qFormat/>
    <w:uiPriority w:val="0"/>
  </w:style>
  <w:style w:type="character" w:customStyle="1" w:styleId="83">
    <w:name w:val="submit4"/>
    <w:basedOn w:val="30"/>
    <w:qFormat/>
    <w:uiPriority w:val="0"/>
  </w:style>
  <w:style w:type="character" w:customStyle="1" w:styleId="84">
    <w:name w:val="pl9"/>
    <w:basedOn w:val="30"/>
    <w:qFormat/>
    <w:uiPriority w:val="0"/>
  </w:style>
  <w:style w:type="character" w:customStyle="1" w:styleId="85">
    <w:name w:val="pl10"/>
    <w:basedOn w:val="30"/>
    <w:qFormat/>
    <w:uiPriority w:val="0"/>
  </w:style>
  <w:style w:type="character" w:customStyle="1" w:styleId="86">
    <w:name w:val="info"/>
    <w:basedOn w:val="30"/>
    <w:qFormat/>
    <w:uiPriority w:val="0"/>
    <w:rPr>
      <w:color w:val="666666"/>
    </w:rPr>
  </w:style>
  <w:style w:type="character" w:customStyle="1" w:styleId="87">
    <w:name w:val="up2"/>
    <w:basedOn w:val="30"/>
    <w:qFormat/>
    <w:uiPriority w:val="0"/>
  </w:style>
  <w:style w:type="character" w:customStyle="1" w:styleId="88">
    <w:name w:val="subject-rate2"/>
    <w:basedOn w:val="30"/>
    <w:qFormat/>
    <w:uiPriority w:val="0"/>
    <w:rPr>
      <w:color w:val="E09015"/>
    </w:rPr>
  </w:style>
  <w:style w:type="character" w:customStyle="1" w:styleId="89">
    <w:name w:val="up"/>
    <w:basedOn w:val="30"/>
    <w:qFormat/>
    <w:uiPriority w:val="0"/>
  </w:style>
  <w:style w:type="character" w:customStyle="1" w:styleId="90">
    <w:name w:val="now"/>
    <w:basedOn w:val="30"/>
    <w:qFormat/>
    <w:uiPriority w:val="0"/>
  </w:style>
  <w:style w:type="character" w:customStyle="1" w:styleId="91">
    <w:name w:val="submit"/>
    <w:basedOn w:val="30"/>
    <w:qFormat/>
    <w:uiPriority w:val="0"/>
    <w:rPr>
      <w:vanish/>
    </w:rPr>
  </w:style>
  <w:style w:type="character" w:customStyle="1" w:styleId="92">
    <w:name w:val="pl7"/>
    <w:basedOn w:val="30"/>
    <w:qFormat/>
    <w:uiPriority w:val="0"/>
  </w:style>
  <w:style w:type="character" w:customStyle="1" w:styleId="93">
    <w:name w:val="info12"/>
    <w:basedOn w:val="30"/>
    <w:qFormat/>
    <w:uiPriority w:val="0"/>
    <w:rPr>
      <w:color w:val="666666"/>
    </w:rPr>
  </w:style>
  <w:style w:type="character" w:customStyle="1" w:styleId="94">
    <w:name w:val="pl8"/>
    <w:basedOn w:val="30"/>
    <w:qFormat/>
    <w:uiPriority w:val="0"/>
  </w:style>
  <w:style w:type="paragraph" w:styleId="9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96">
    <w:name w:val="正文文本1"/>
    <w:qFormat/>
    <w:uiPriority w:val="0"/>
    <w:rPr>
      <w:rFonts w:ascii="宋体" w:hAnsi="宋体" w:eastAsia="宋体" w:cs="宋体"/>
      <w:color w:val="000000"/>
      <w:spacing w:val="0"/>
      <w:w w:val="100"/>
      <w:position w:val="0"/>
      <w:sz w:val="22"/>
      <w:szCs w:val="22"/>
      <w:u w:val="none"/>
      <w:shd w:val="clear" w:color="auto" w:fill="FFFFFF"/>
      <w:lang w:val="zh-CN"/>
    </w:rPr>
  </w:style>
  <w:style w:type="character" w:customStyle="1" w:styleId="97">
    <w:name w:val="正文文本 + Gungsuh"/>
    <w:basedOn w:val="98"/>
    <w:qFormat/>
    <w:uiPriority w:val="0"/>
    <w:rPr>
      <w:rFonts w:ascii="Gungsuh" w:hAnsi="Gungsuh" w:eastAsia="Gungsuh" w:cs="Gungsuh"/>
      <w:color w:val="000000"/>
      <w:spacing w:val="0"/>
      <w:w w:val="100"/>
      <w:kern w:val="0"/>
      <w:position w:val="0"/>
      <w:sz w:val="19"/>
      <w:szCs w:val="19"/>
      <w:u w:val="none"/>
      <w:shd w:val="clear" w:color="auto" w:fill="FFFFFF"/>
      <w:lang w:val="zh-CN"/>
    </w:rPr>
  </w:style>
  <w:style w:type="character" w:customStyle="1" w:styleId="98">
    <w:name w:val="正文文本_"/>
    <w:basedOn w:val="30"/>
    <w:link w:val="99"/>
    <w:qFormat/>
    <w:uiPriority w:val="0"/>
    <w:rPr>
      <w:rFonts w:ascii="宋体" w:hAnsi="宋体" w:cs="宋体"/>
      <w:kern w:val="0"/>
      <w:sz w:val="22"/>
      <w:szCs w:val="20"/>
    </w:rPr>
  </w:style>
  <w:style w:type="paragraph" w:customStyle="1" w:styleId="99">
    <w:name w:val="正文文本7"/>
    <w:basedOn w:val="1"/>
    <w:link w:val="98"/>
    <w:qFormat/>
    <w:uiPriority w:val="0"/>
    <w:pPr>
      <w:shd w:val="clear" w:color="auto" w:fill="FFFFFF"/>
      <w:spacing w:before="420" w:line="558" w:lineRule="exact"/>
      <w:jc w:val="center"/>
    </w:pPr>
    <w:rPr>
      <w:rFonts w:ascii="宋体" w:hAnsi="宋体" w:cs="宋体"/>
      <w:kern w:val="0"/>
      <w:sz w:val="22"/>
      <w:szCs w:val="20"/>
    </w:rPr>
  </w:style>
  <w:style w:type="character" w:customStyle="1" w:styleId="100">
    <w:name w:val="layui-layer-tabnow"/>
    <w:basedOn w:val="30"/>
    <w:qFormat/>
    <w:uiPriority w:val="0"/>
    <w:rPr>
      <w:bdr w:val="single" w:color="CCCCCC" w:sz="6" w:space="0"/>
      <w:shd w:val="clear" w:color="auto" w:fill="FFFFFF"/>
    </w:rPr>
  </w:style>
  <w:style w:type="character" w:customStyle="1" w:styleId="101">
    <w:name w:val="dot"/>
    <w:basedOn w:val="30"/>
    <w:qFormat/>
    <w:uiPriority w:val="0"/>
  </w:style>
  <w:style w:type="character" w:customStyle="1" w:styleId="102">
    <w:name w:val="time"/>
    <w:basedOn w:val="30"/>
    <w:qFormat/>
    <w:uiPriority w:val="0"/>
    <w:rPr>
      <w:color w:val="999999"/>
    </w:rPr>
  </w:style>
  <w:style w:type="character" w:customStyle="1" w:styleId="103">
    <w:name w:val="first-child"/>
    <w:basedOn w:val="30"/>
    <w:qFormat/>
    <w:uiPriority w:val="0"/>
  </w:style>
  <w:style w:type="paragraph" w:customStyle="1" w:styleId="104">
    <w:name w:val="cjk"/>
    <w:basedOn w:val="1"/>
    <w:qFormat/>
    <w:uiPriority w:val="0"/>
    <w:pPr>
      <w:spacing w:line="480" w:lineRule="auto"/>
    </w:pPr>
    <w:rPr>
      <w:rFonts w:ascii="宋体" w:hAnsi="宋体"/>
      <w:sz w:val="24"/>
    </w:rPr>
  </w:style>
  <w:style w:type="paragraph" w:customStyle="1" w:styleId="105">
    <w:name w:val="WPSOffice手动目录 1"/>
    <w:qFormat/>
    <w:uiPriority w:val="0"/>
    <w:rPr>
      <w:rFonts w:ascii="Times New Roman" w:hAnsi="Times New Roman" w:eastAsia="宋体" w:cs="Times New Roman"/>
      <w:lang w:val="en-US" w:eastAsia="zh-CN" w:bidi="ar-SA"/>
    </w:rPr>
  </w:style>
  <w:style w:type="paragraph" w:styleId="106">
    <w:name w:val="List Paragraph"/>
    <w:basedOn w:val="1"/>
    <w:qFormat/>
    <w:uiPriority w:val="99"/>
    <w:pPr>
      <w:ind w:firstLine="420" w:firstLineChars="200"/>
    </w:pPr>
  </w:style>
  <w:style w:type="character" w:customStyle="1" w:styleId="107">
    <w:name w:val="NormalCharacter"/>
    <w:qFormat/>
    <w:uiPriority w:val="0"/>
  </w:style>
  <w:style w:type="paragraph" w:customStyle="1" w:styleId="108">
    <w:name w:val="Default"/>
    <w:basedOn w:val="1"/>
    <w:qFormat/>
    <w:uiPriority w:val="99"/>
    <w:pPr>
      <w:autoSpaceDE w:val="0"/>
      <w:autoSpaceDN w:val="0"/>
      <w:adjustRightInd w:val="0"/>
      <w:jc w:val="left"/>
    </w:pPr>
    <w:rPr>
      <w:rFonts w:ascii="仿宋_GB2312" w:hAnsi="仿宋_GB2312"/>
      <w:color w:val="000000"/>
      <w:kern w:val="0"/>
      <w:sz w:val="24"/>
    </w:rPr>
  </w:style>
  <w:style w:type="paragraph" w:customStyle="1" w:styleId="109">
    <w:name w:val="Legal_L2"/>
    <w:basedOn w:val="1"/>
    <w:qFormat/>
    <w:uiPriority w:val="0"/>
    <w:pPr>
      <w:widowControl/>
      <w:spacing w:after="240" w:line="259" w:lineRule="auto"/>
      <w:jc w:val="left"/>
      <w:outlineLvl w:val="1"/>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17616</Words>
  <Characters>18893</Characters>
  <Lines>202</Lines>
  <Paragraphs>57</Paragraphs>
  <TotalTime>7</TotalTime>
  <ScaleCrop>false</ScaleCrop>
  <LinksUpToDate>false</LinksUpToDate>
  <CharactersWithSpaces>19489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2022-10-18T15:24:00Z</dcterms:created>
  <dc:creator>农春燕</dc:creator>
  <cp:lastModifiedBy>婷宝贝</cp:lastModifiedBy>
  <cp:lastPrinted>2020-09-04T10:21:00Z</cp:lastPrinted>
  <dcterms:modified xsi:type="dcterms:W3CDTF">2025-11-21T10:22:20Z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2ABF5DA63C324B98ADE0A087081710AD_13</vt:lpwstr>
  </property>
  <property fmtid="{D5CDD505-2E9C-101B-9397-08002B2CF9AE}" pid="4" name="KSOTemplateDocerSaveRecord">
    <vt:lpwstr>eyJoZGlkIjoiYThhZDA4NmY5NDdmYzdlZjc1YzU2YjI2OTljZTY1ZmMiLCJ1c2VySWQiOiI0MTAzODY4NjMifQ==</vt:lpwstr>
  </property>
</Properties>
</file>