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40C0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color w:val="auto"/>
          <w:sz w:val="44"/>
          <w:szCs w:val="44"/>
          <w:highlight w:val="none"/>
          <w:lang w:eastAsia="zh-CN"/>
        </w:rPr>
      </w:pPr>
      <w:bookmarkStart w:id="210" w:name="_GoBack"/>
      <w:r>
        <w:rPr>
          <w:rFonts w:hint="eastAsia" w:ascii="方正小标宋_GBK" w:hAnsi="方正小标宋_GBK" w:eastAsia="方正小标宋_GBK" w:cs="方正小标宋_GBK"/>
          <w:color w:val="auto"/>
          <w:sz w:val="44"/>
          <w:szCs w:val="44"/>
          <w:highlight w:val="none"/>
          <w:lang w:eastAsia="zh-CN"/>
        </w:rPr>
        <w:t>中天昊建设管理集团股份有限公司</w:t>
      </w:r>
    </w:p>
    <w:p w14:paraId="2D027FF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color w:val="auto"/>
          <w:sz w:val="44"/>
          <w:szCs w:val="44"/>
          <w:highlight w:val="none"/>
          <w:lang w:eastAsia="zh-CN"/>
        </w:rPr>
      </w:pPr>
    </w:p>
    <w:p w14:paraId="31422EC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color w:val="auto"/>
          <w:sz w:val="44"/>
          <w:szCs w:val="44"/>
          <w:highlight w:val="none"/>
          <w:lang w:eastAsia="zh-CN"/>
        </w:rPr>
      </w:pPr>
    </w:p>
    <w:p w14:paraId="3E061BE2">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方正小标宋_GBK" w:hAnsi="方正小标宋_GBK" w:eastAsia="方正小标宋_GBK" w:cs="方正小标宋_GBK"/>
          <w:color w:val="auto"/>
          <w:sz w:val="44"/>
          <w:szCs w:val="44"/>
          <w:highlight w:val="none"/>
          <w:lang w:eastAsia="zh-CN"/>
        </w:rPr>
      </w:pPr>
    </w:p>
    <w:p w14:paraId="53C3401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color w:val="auto"/>
          <w:sz w:val="44"/>
          <w:szCs w:val="44"/>
          <w:highlight w:val="none"/>
          <w:lang w:eastAsia="zh-CN"/>
        </w:rPr>
      </w:pPr>
    </w:p>
    <w:p w14:paraId="65F60AE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color w:val="auto"/>
          <w:sz w:val="44"/>
          <w:szCs w:val="44"/>
          <w:highlight w:val="none"/>
          <w:lang w:eastAsia="zh-CN"/>
        </w:rPr>
      </w:pPr>
    </w:p>
    <w:p w14:paraId="0047277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color w:val="auto"/>
          <w:sz w:val="44"/>
          <w:szCs w:val="44"/>
          <w:highlight w:val="none"/>
          <w:lang w:eastAsia="zh-CN"/>
        </w:rPr>
      </w:pPr>
    </w:p>
    <w:p w14:paraId="4B6FADE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竞争性磋商文件</w:t>
      </w:r>
    </w:p>
    <w:p w14:paraId="679C4764">
      <w:pPr>
        <w:spacing w:line="360" w:lineRule="auto"/>
        <w:jc w:val="both"/>
        <w:rPr>
          <w:rFonts w:hint="eastAsia" w:ascii="新宋体" w:hAnsi="新宋体" w:eastAsia="新宋体" w:cs="新宋体"/>
          <w:b/>
          <w:color w:val="auto"/>
          <w:sz w:val="32"/>
          <w:szCs w:val="32"/>
          <w:highlight w:val="none"/>
        </w:rPr>
      </w:pPr>
    </w:p>
    <w:p w14:paraId="45FEF248">
      <w:pPr>
        <w:spacing w:line="360" w:lineRule="auto"/>
        <w:rPr>
          <w:rFonts w:hint="eastAsia" w:ascii="新宋体" w:hAnsi="新宋体" w:eastAsia="新宋体" w:cs="新宋体"/>
          <w:b/>
          <w:color w:val="auto"/>
          <w:sz w:val="32"/>
          <w:szCs w:val="32"/>
          <w:highlight w:val="none"/>
        </w:rPr>
      </w:pPr>
    </w:p>
    <w:p w14:paraId="010758D8">
      <w:pPr>
        <w:pStyle w:val="2"/>
        <w:rPr>
          <w:rFonts w:hint="eastAsia" w:ascii="仿宋" w:hAnsi="仿宋" w:eastAsia="仿宋" w:cs="仿宋"/>
          <w:b/>
          <w:bCs/>
          <w:color w:val="auto"/>
          <w:sz w:val="32"/>
          <w:szCs w:val="32"/>
          <w:highlight w:val="none"/>
          <w:lang w:eastAsia="zh-CN"/>
        </w:rPr>
      </w:pPr>
    </w:p>
    <w:p w14:paraId="37D7AA63">
      <w:pPr>
        <w:rPr>
          <w:rFonts w:hint="eastAsia"/>
          <w:color w:val="auto"/>
          <w:highlight w:val="none"/>
          <w:lang w:eastAsia="zh-CN"/>
        </w:rPr>
      </w:pPr>
    </w:p>
    <w:p w14:paraId="30B3E16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b/>
          <w:bCs/>
          <w:color w:val="auto"/>
          <w:sz w:val="32"/>
          <w:szCs w:val="32"/>
          <w:highlight w:val="none"/>
          <w:lang w:eastAsia="zh-CN"/>
        </w:rPr>
      </w:pPr>
    </w:p>
    <w:p w14:paraId="2E518E1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b/>
          <w:bCs/>
          <w:color w:val="auto"/>
          <w:sz w:val="32"/>
          <w:szCs w:val="32"/>
          <w:highlight w:val="none"/>
          <w:lang w:eastAsia="zh-CN"/>
        </w:rPr>
      </w:pPr>
    </w:p>
    <w:p w14:paraId="57DE9CA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小标宋_GBK" w:hAnsi="方正小标宋_GBK" w:eastAsia="方正小标宋_GBK" w:cs="方正小标宋_GBK"/>
          <w:color w:val="auto"/>
          <w:sz w:val="32"/>
          <w:szCs w:val="32"/>
          <w:highlight w:val="none"/>
          <w:lang w:eastAsia="zh-CN"/>
        </w:rPr>
      </w:pPr>
      <w:r>
        <w:rPr>
          <w:rFonts w:hint="eastAsia" w:ascii="方正小标宋_GBK" w:hAnsi="方正小标宋_GBK" w:eastAsia="方正小标宋_GBK" w:cs="方正小标宋_GBK"/>
          <w:color w:val="auto"/>
          <w:sz w:val="32"/>
          <w:szCs w:val="32"/>
          <w:highlight w:val="none"/>
          <w:lang w:eastAsia="zh-CN"/>
        </w:rPr>
        <w:t>项目名称：美丽广西建设项目</w:t>
      </w:r>
    </w:p>
    <w:p w14:paraId="6414AE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小标宋_GBK" w:hAnsi="方正小标宋_GBK" w:eastAsia="方正小标宋_GBK" w:cs="方正小标宋_GBK"/>
          <w:color w:val="auto"/>
          <w:sz w:val="32"/>
          <w:szCs w:val="32"/>
          <w:highlight w:val="none"/>
          <w:lang w:eastAsia="zh-CN"/>
        </w:rPr>
      </w:pPr>
      <w:r>
        <w:rPr>
          <w:rFonts w:hint="eastAsia" w:ascii="方正小标宋_GBK" w:hAnsi="方正小标宋_GBK" w:eastAsia="方正小标宋_GBK" w:cs="方正小标宋_GBK"/>
          <w:color w:val="auto"/>
          <w:sz w:val="32"/>
          <w:szCs w:val="32"/>
          <w:highlight w:val="none"/>
          <w:lang w:eastAsia="zh-CN"/>
        </w:rPr>
        <w:t>项目编号：</w:t>
      </w:r>
      <w:r>
        <w:rPr>
          <w:rFonts w:hint="eastAsia" w:ascii="方正小标宋_GBK" w:hAnsi="方正小标宋_GBK" w:eastAsia="方正小标宋_GBK" w:cs="方正小标宋_GBK"/>
          <w:color w:val="auto"/>
          <w:sz w:val="32"/>
          <w:szCs w:val="32"/>
          <w:highlight w:val="none"/>
          <w:lang w:val="en-US" w:eastAsia="zh-CN"/>
        </w:rPr>
        <w:t>GXDC2026-C3-00002-ZTHJ</w:t>
      </w:r>
    </w:p>
    <w:p w14:paraId="5981AB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bCs/>
          <w:color w:val="auto"/>
          <w:sz w:val="32"/>
          <w:szCs w:val="32"/>
          <w:highlight w:val="none"/>
          <w:lang w:eastAsia="zh-CN"/>
        </w:rPr>
      </w:pPr>
      <w:r>
        <w:rPr>
          <w:rFonts w:hint="eastAsia" w:ascii="方正小标宋_GBK" w:hAnsi="方正小标宋_GBK" w:eastAsia="方正小标宋_GBK" w:cs="方正小标宋_GBK"/>
          <w:color w:val="auto"/>
          <w:sz w:val="32"/>
          <w:szCs w:val="32"/>
          <w:highlight w:val="none"/>
          <w:lang w:eastAsia="zh-CN"/>
        </w:rPr>
        <w:t>采 购 人：</w:t>
      </w:r>
      <w:r>
        <w:rPr>
          <w:rFonts w:hint="eastAsia" w:ascii="方正小标宋_GBK" w:hAnsi="方正小标宋_GBK" w:eastAsia="方正小标宋_GBK" w:cs="方正小标宋_GBK"/>
          <w:b w:val="0"/>
          <w:bCs w:val="0"/>
          <w:color w:val="auto"/>
          <w:w w:val="100"/>
          <w:sz w:val="32"/>
          <w:szCs w:val="32"/>
          <w:highlight w:val="none"/>
          <w:lang w:val="en-US" w:eastAsia="zh-CN"/>
        </w:rPr>
        <w:t>广西壮族自治区生态环境厅</w:t>
      </w:r>
      <w:r>
        <w:rPr>
          <w:rFonts w:hint="eastAsia" w:ascii="仿宋" w:hAnsi="仿宋" w:eastAsia="仿宋" w:cs="仿宋"/>
          <w:b/>
          <w:color w:val="auto"/>
          <w:sz w:val="32"/>
          <w:szCs w:val="32"/>
          <w:highlight w:val="none"/>
        </w:rPr>
        <w:drawing>
          <wp:anchor distT="0" distB="0" distL="114300" distR="114300" simplePos="0" relativeHeight="251660288" behindDoc="1" locked="0" layoutInCell="1" allowOverlap="1">
            <wp:simplePos x="0" y="0"/>
            <wp:positionH relativeFrom="column">
              <wp:posOffset>4488180</wp:posOffset>
            </wp:positionH>
            <wp:positionV relativeFrom="paragraph">
              <wp:posOffset>5341620</wp:posOffset>
            </wp:positionV>
            <wp:extent cx="2012950" cy="2202815"/>
            <wp:effectExtent l="0" t="0" r="6350" b="6985"/>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5"/>
                    <a:stretch>
                      <a:fillRect/>
                    </a:stretch>
                  </pic:blipFill>
                  <pic:spPr>
                    <a:xfrm>
                      <a:off x="0" y="0"/>
                      <a:ext cx="2012950" cy="2202815"/>
                    </a:xfrm>
                    <a:prstGeom prst="rect">
                      <a:avLst/>
                    </a:prstGeom>
                    <a:noFill/>
                    <a:ln>
                      <a:noFill/>
                    </a:ln>
                  </pic:spPr>
                </pic:pic>
              </a:graphicData>
            </a:graphic>
          </wp:anchor>
        </w:drawing>
      </w:r>
    </w:p>
    <w:p w14:paraId="0B854B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小标宋_GBK" w:hAnsi="方正小标宋_GBK" w:eastAsia="方正小标宋_GBK" w:cs="方正小标宋_GBK"/>
          <w:color w:val="auto"/>
          <w:sz w:val="32"/>
          <w:szCs w:val="32"/>
          <w:highlight w:val="none"/>
          <w:lang w:eastAsia="zh-CN"/>
        </w:rPr>
      </w:pPr>
      <w:r>
        <w:rPr>
          <w:rFonts w:hint="eastAsia" w:ascii="方正小标宋_GBK" w:hAnsi="方正小标宋_GBK" w:eastAsia="方正小标宋_GBK" w:cs="方正小标宋_GBK"/>
          <w:color w:val="auto"/>
          <w:sz w:val="32"/>
          <w:szCs w:val="32"/>
          <w:highlight w:val="none"/>
          <w:lang w:eastAsia="zh-CN"/>
        </w:rPr>
        <w:t>采购代理机构：中天昊建设管理集团股份有限公司</w:t>
      </w:r>
    </w:p>
    <w:p w14:paraId="0882B4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小标宋_GBK" w:hAnsi="方正小标宋_GBK" w:eastAsia="方正小标宋_GBK" w:cs="方正小标宋_GBK"/>
          <w:color w:val="auto"/>
          <w:sz w:val="32"/>
          <w:szCs w:val="32"/>
          <w:highlight w:val="none"/>
          <w:lang w:eastAsia="zh-CN"/>
        </w:rPr>
      </w:pPr>
    </w:p>
    <w:p w14:paraId="1F12BAF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32"/>
          <w:szCs w:val="32"/>
          <w:highlight w:val="none"/>
          <w:lang w:eastAsia="zh-CN"/>
        </w:rPr>
      </w:pPr>
      <w:r>
        <w:rPr>
          <w:rFonts w:hint="eastAsia" w:ascii="方正小标宋_GBK" w:hAnsi="方正小标宋_GBK" w:eastAsia="方正小标宋_GBK" w:cs="方正小标宋_GBK"/>
          <w:color w:val="auto"/>
          <w:sz w:val="32"/>
          <w:szCs w:val="32"/>
          <w:highlight w:val="none"/>
          <w:lang w:eastAsia="zh-CN"/>
        </w:rPr>
        <w:t>202</w:t>
      </w:r>
      <w:r>
        <w:rPr>
          <w:rFonts w:hint="eastAsia" w:ascii="方正小标宋_GBK" w:hAnsi="方正小标宋_GBK" w:eastAsia="方正小标宋_GBK" w:cs="方正小标宋_GBK"/>
          <w:color w:val="auto"/>
          <w:sz w:val="32"/>
          <w:szCs w:val="32"/>
          <w:highlight w:val="none"/>
          <w:lang w:val="en-US" w:eastAsia="zh-CN"/>
        </w:rPr>
        <w:t>6</w:t>
      </w:r>
      <w:r>
        <w:rPr>
          <w:rFonts w:hint="eastAsia" w:ascii="方正小标宋_GBK" w:hAnsi="方正小标宋_GBK" w:eastAsia="方正小标宋_GBK" w:cs="方正小标宋_GBK"/>
          <w:color w:val="auto"/>
          <w:sz w:val="32"/>
          <w:szCs w:val="32"/>
          <w:highlight w:val="none"/>
          <w:lang w:eastAsia="zh-CN"/>
        </w:rPr>
        <w:t>年</w:t>
      </w:r>
      <w:r>
        <w:rPr>
          <w:rFonts w:hint="eastAsia" w:ascii="方正小标宋_GBK" w:hAnsi="方正小标宋_GBK" w:eastAsia="方正小标宋_GBK" w:cs="方正小标宋_GBK"/>
          <w:color w:val="auto"/>
          <w:sz w:val="32"/>
          <w:szCs w:val="32"/>
          <w:highlight w:val="none"/>
          <w:lang w:val="en-US" w:eastAsia="zh-CN"/>
        </w:rPr>
        <w:t>03</w:t>
      </w:r>
      <w:r>
        <w:rPr>
          <w:rFonts w:hint="eastAsia" w:ascii="方正小标宋_GBK" w:hAnsi="方正小标宋_GBK" w:eastAsia="方正小标宋_GBK" w:cs="方正小标宋_GBK"/>
          <w:color w:val="auto"/>
          <w:sz w:val="32"/>
          <w:szCs w:val="32"/>
          <w:highlight w:val="none"/>
          <w:lang w:eastAsia="zh-CN"/>
        </w:rPr>
        <w:t>月</w:t>
      </w:r>
    </w:p>
    <w:p w14:paraId="24FE556F">
      <w:pPr>
        <w:spacing w:before="0" w:beforeLines="0" w:after="0" w:afterLines="0" w:line="240" w:lineRule="auto"/>
        <w:ind w:left="0" w:leftChars="0" w:right="0" w:rightChars="0" w:firstLine="0" w:firstLineChars="0"/>
        <w:jc w:val="center"/>
        <w:rPr>
          <w:rFonts w:ascii="宋体" w:hAnsi="宋体" w:eastAsia="宋体" w:cs="Times New Roman"/>
          <w:b/>
          <w:bCs/>
          <w:color w:val="auto"/>
          <w:kern w:val="2"/>
          <w:sz w:val="21"/>
          <w:szCs w:val="24"/>
          <w:highlight w:val="none"/>
          <w:lang w:val="en-US" w:eastAsia="zh-CN" w:bidi="ar-SA"/>
        </w:rPr>
        <w:sectPr>
          <w:pgSz w:w="11906" w:h="16838"/>
          <w:pgMar w:top="1440" w:right="1800" w:bottom="1440" w:left="1800" w:header="851" w:footer="992" w:gutter="0"/>
          <w:cols w:space="425" w:num="1"/>
          <w:docGrid w:type="lines" w:linePitch="312" w:charSpace="0"/>
        </w:sectPr>
      </w:pPr>
    </w:p>
    <w:sdt>
      <w:sdtPr>
        <w:rPr>
          <w:rFonts w:ascii="宋体" w:hAnsi="宋体" w:eastAsia="宋体" w:cs="Times New Roman"/>
          <w:b/>
          <w:bCs/>
          <w:color w:val="auto"/>
          <w:kern w:val="2"/>
          <w:sz w:val="21"/>
          <w:szCs w:val="24"/>
          <w:highlight w:val="none"/>
          <w:lang w:val="en-US" w:eastAsia="zh-CN" w:bidi="ar-SA"/>
        </w:rPr>
        <w:id w:val="147459426"/>
        <w15:color w:val="DBDBDB"/>
        <w:docPartObj>
          <w:docPartGallery w:val="Table of Contents"/>
          <w:docPartUnique/>
        </w:docPartObj>
      </w:sdtPr>
      <w:sdtEndPr>
        <w:rPr>
          <w:rFonts w:ascii="宋体" w:hAnsi="宋体" w:eastAsia="宋体" w:cs="Times New Roman"/>
          <w:b/>
          <w:bCs/>
          <w:color w:val="auto"/>
          <w:kern w:val="2"/>
          <w:sz w:val="21"/>
          <w:szCs w:val="24"/>
          <w:highlight w:val="none"/>
          <w:lang w:val="en-US" w:eastAsia="zh-CN" w:bidi="ar-SA"/>
        </w:rPr>
      </w:sdtEndPr>
      <w:sdtContent>
        <w:p w14:paraId="18DA3DE1">
          <w:pPr>
            <w:spacing w:before="0" w:beforeLines="0" w:after="0" w:afterLines="0" w:line="240" w:lineRule="auto"/>
            <w:ind w:left="0" w:leftChars="0" w:right="0" w:rightChars="0" w:firstLine="0" w:firstLineChars="0"/>
            <w:jc w:val="center"/>
            <w:rPr>
              <w:b/>
              <w:bCs/>
              <w:color w:val="auto"/>
              <w:highlight w:val="none"/>
            </w:rPr>
          </w:pPr>
          <w:bookmarkStart w:id="0" w:name="_Toc20895"/>
          <w:r>
            <w:rPr>
              <w:rFonts w:ascii="宋体" w:hAnsi="宋体" w:eastAsia="宋体"/>
              <w:b/>
              <w:bCs/>
              <w:color w:val="auto"/>
              <w:sz w:val="21"/>
              <w:highlight w:val="none"/>
            </w:rPr>
            <w:t>目录</w:t>
          </w:r>
        </w:p>
        <w:p w14:paraId="31EC8F1C">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_Toc28447 </w:instrText>
          </w:r>
          <w:r>
            <w:rPr>
              <w:color w:val="auto"/>
              <w:highlight w:val="none"/>
            </w:rPr>
            <w:fldChar w:fldCharType="separate"/>
          </w:r>
          <w:r>
            <w:rPr>
              <w:rFonts w:hint="eastAsia" w:ascii="方正小标宋_GBK" w:hAnsi="方正小标宋_GBK" w:eastAsia="方正小标宋_GBK" w:cs="方正小标宋_GBK"/>
              <w:bCs w:val="0"/>
              <w:color w:val="auto"/>
              <w:kern w:val="2"/>
              <w:szCs w:val="21"/>
              <w:highlight w:val="none"/>
              <w:lang w:val="en-US" w:eastAsia="zh-CN" w:bidi="ar-SA"/>
            </w:rPr>
            <w:t>第一章  竞争性磋商公告</w:t>
          </w:r>
          <w:r>
            <w:rPr>
              <w:color w:val="auto"/>
              <w:highlight w:val="none"/>
            </w:rPr>
            <w:tab/>
          </w:r>
          <w:r>
            <w:rPr>
              <w:color w:val="auto"/>
              <w:highlight w:val="none"/>
            </w:rPr>
            <w:fldChar w:fldCharType="begin"/>
          </w:r>
          <w:r>
            <w:rPr>
              <w:color w:val="auto"/>
              <w:highlight w:val="none"/>
            </w:rPr>
            <w:instrText xml:space="preserve"> PAGEREF _Toc28447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29C3754A">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highlight w:val="none"/>
            </w:rPr>
          </w:pPr>
          <w:r>
            <w:rPr>
              <w:color w:val="auto"/>
              <w:highlight w:val="none"/>
            </w:rPr>
            <w:fldChar w:fldCharType="begin"/>
          </w:r>
          <w:r>
            <w:rPr>
              <w:color w:val="auto"/>
              <w:highlight w:val="none"/>
            </w:rPr>
            <w:instrText xml:space="preserve"> HYPERLINK \l _Toc27292 </w:instrText>
          </w:r>
          <w:r>
            <w:rPr>
              <w:color w:val="auto"/>
              <w:highlight w:val="none"/>
            </w:rPr>
            <w:fldChar w:fldCharType="separate"/>
          </w:r>
          <w:r>
            <w:rPr>
              <w:rFonts w:hint="eastAsia" w:ascii="方正小标宋_GBK" w:hAnsi="方正小标宋_GBK" w:eastAsia="方正小标宋_GBK" w:cs="方正小标宋_GBK"/>
              <w:bCs w:val="0"/>
              <w:color w:val="auto"/>
              <w:kern w:val="2"/>
              <w:szCs w:val="21"/>
              <w:highlight w:val="none"/>
              <w:lang w:val="en-US" w:eastAsia="zh-CN" w:bidi="ar-SA"/>
            </w:rPr>
            <w:t>第二章  供应商须知</w:t>
          </w:r>
          <w:r>
            <w:rPr>
              <w:color w:val="auto"/>
              <w:highlight w:val="none"/>
            </w:rPr>
            <w:tab/>
          </w:r>
          <w:r>
            <w:rPr>
              <w:color w:val="auto"/>
              <w:highlight w:val="none"/>
            </w:rPr>
            <w:fldChar w:fldCharType="begin"/>
          </w:r>
          <w:r>
            <w:rPr>
              <w:color w:val="auto"/>
              <w:highlight w:val="none"/>
            </w:rPr>
            <w:instrText xml:space="preserve"> PAGEREF _Toc27292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323270FA">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highlight w:val="none"/>
            </w:rPr>
          </w:pPr>
          <w:r>
            <w:rPr>
              <w:color w:val="auto"/>
              <w:highlight w:val="none"/>
            </w:rPr>
            <w:fldChar w:fldCharType="begin"/>
          </w:r>
          <w:r>
            <w:rPr>
              <w:color w:val="auto"/>
              <w:highlight w:val="none"/>
            </w:rPr>
            <w:instrText xml:space="preserve"> HYPERLINK \l _Toc9211 </w:instrText>
          </w:r>
          <w:r>
            <w:rPr>
              <w:color w:val="auto"/>
              <w:highlight w:val="none"/>
            </w:rPr>
            <w:fldChar w:fldCharType="separate"/>
          </w:r>
          <w:r>
            <w:rPr>
              <w:rFonts w:hint="eastAsia" w:ascii="方正小标宋_GBK" w:hAnsi="方正小标宋_GBK" w:eastAsia="方正小标宋_GBK" w:cs="方正小标宋_GBK"/>
              <w:bCs w:val="0"/>
              <w:color w:val="auto"/>
              <w:kern w:val="2"/>
              <w:szCs w:val="21"/>
              <w:highlight w:val="none"/>
              <w:lang w:val="en-US" w:eastAsia="zh-CN" w:bidi="ar-SA"/>
            </w:rPr>
            <w:t>第三章  项目采购需求</w:t>
          </w:r>
          <w:r>
            <w:rPr>
              <w:color w:val="auto"/>
              <w:highlight w:val="none"/>
            </w:rPr>
            <w:tab/>
          </w:r>
          <w:r>
            <w:rPr>
              <w:color w:val="auto"/>
              <w:highlight w:val="none"/>
            </w:rPr>
            <w:fldChar w:fldCharType="begin"/>
          </w:r>
          <w:r>
            <w:rPr>
              <w:color w:val="auto"/>
              <w:highlight w:val="none"/>
            </w:rPr>
            <w:instrText xml:space="preserve"> PAGEREF _Toc9211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1AA5C3F3">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highlight w:val="none"/>
            </w:rPr>
          </w:pPr>
          <w:r>
            <w:rPr>
              <w:color w:val="auto"/>
              <w:highlight w:val="none"/>
            </w:rPr>
            <w:fldChar w:fldCharType="begin"/>
          </w:r>
          <w:r>
            <w:rPr>
              <w:color w:val="auto"/>
              <w:highlight w:val="none"/>
            </w:rPr>
            <w:instrText xml:space="preserve"> HYPERLINK \l _Toc13131 </w:instrText>
          </w:r>
          <w:r>
            <w:rPr>
              <w:color w:val="auto"/>
              <w:highlight w:val="none"/>
            </w:rPr>
            <w:fldChar w:fldCharType="separate"/>
          </w:r>
          <w:r>
            <w:rPr>
              <w:rFonts w:hint="eastAsia" w:ascii="方正小标宋_GBK" w:hAnsi="方正小标宋_GBK" w:eastAsia="方正小标宋_GBK" w:cs="方正小标宋_GBK"/>
              <w:bCs w:val="0"/>
              <w:color w:val="auto"/>
              <w:kern w:val="2"/>
              <w:szCs w:val="21"/>
              <w:highlight w:val="none"/>
              <w:lang w:val="en-US" w:eastAsia="zh-CN" w:bidi="ar-SA"/>
            </w:rPr>
            <w:t>第四章  响应文件格式</w:t>
          </w:r>
          <w:r>
            <w:rPr>
              <w:color w:val="auto"/>
              <w:highlight w:val="none"/>
            </w:rPr>
            <w:tab/>
          </w:r>
          <w:r>
            <w:rPr>
              <w:color w:val="auto"/>
              <w:highlight w:val="none"/>
            </w:rPr>
            <w:fldChar w:fldCharType="begin"/>
          </w:r>
          <w:r>
            <w:rPr>
              <w:color w:val="auto"/>
              <w:highlight w:val="none"/>
            </w:rPr>
            <w:instrText xml:space="preserve"> PAGEREF _Toc13131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3A8873CD">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highlight w:val="none"/>
            </w:rPr>
          </w:pPr>
          <w:r>
            <w:rPr>
              <w:color w:val="auto"/>
              <w:highlight w:val="none"/>
            </w:rPr>
            <w:fldChar w:fldCharType="begin"/>
          </w:r>
          <w:r>
            <w:rPr>
              <w:color w:val="auto"/>
              <w:highlight w:val="none"/>
            </w:rPr>
            <w:instrText xml:space="preserve"> HYPERLINK \l _Toc16939 </w:instrText>
          </w:r>
          <w:r>
            <w:rPr>
              <w:color w:val="auto"/>
              <w:highlight w:val="none"/>
            </w:rPr>
            <w:fldChar w:fldCharType="separate"/>
          </w:r>
          <w:r>
            <w:rPr>
              <w:rFonts w:hint="eastAsia" w:ascii="方正小标宋_GBK" w:hAnsi="方正小标宋_GBK" w:eastAsia="方正小标宋_GBK" w:cs="方正小标宋_GBK"/>
              <w:bCs w:val="0"/>
              <w:color w:val="auto"/>
              <w:kern w:val="2"/>
              <w:szCs w:val="21"/>
              <w:highlight w:val="none"/>
              <w:lang w:val="en-US" w:eastAsia="zh-CN" w:bidi="ar-SA"/>
            </w:rPr>
            <w:t>第五章  合同条款及格式</w:t>
          </w:r>
          <w:r>
            <w:rPr>
              <w:color w:val="auto"/>
              <w:highlight w:val="none"/>
            </w:rPr>
            <w:tab/>
          </w:r>
          <w:r>
            <w:rPr>
              <w:color w:val="auto"/>
              <w:highlight w:val="none"/>
            </w:rPr>
            <w:fldChar w:fldCharType="begin"/>
          </w:r>
          <w:r>
            <w:rPr>
              <w:color w:val="auto"/>
              <w:highlight w:val="none"/>
            </w:rPr>
            <w:instrText xml:space="preserve"> PAGEREF _Toc16939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708C95A5">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highlight w:val="none"/>
            </w:rPr>
          </w:pPr>
          <w:r>
            <w:rPr>
              <w:color w:val="auto"/>
              <w:highlight w:val="none"/>
            </w:rPr>
            <w:fldChar w:fldCharType="begin"/>
          </w:r>
          <w:r>
            <w:rPr>
              <w:color w:val="auto"/>
              <w:highlight w:val="none"/>
            </w:rPr>
            <w:instrText xml:space="preserve"> HYPERLINK \l _Toc25884 </w:instrText>
          </w:r>
          <w:r>
            <w:rPr>
              <w:color w:val="auto"/>
              <w:highlight w:val="none"/>
            </w:rPr>
            <w:fldChar w:fldCharType="separate"/>
          </w:r>
          <w:r>
            <w:rPr>
              <w:rFonts w:hint="eastAsia" w:ascii="方正小标宋_GBK" w:hAnsi="方正小标宋_GBK" w:eastAsia="方正小标宋_GBK" w:cs="方正小标宋_GBK"/>
              <w:bCs w:val="0"/>
              <w:color w:val="auto"/>
              <w:kern w:val="2"/>
              <w:szCs w:val="21"/>
              <w:highlight w:val="none"/>
              <w:lang w:val="en-US" w:eastAsia="zh-CN" w:bidi="ar-SA"/>
            </w:rPr>
            <w:t>第六章  评审方法</w:t>
          </w:r>
          <w:r>
            <w:rPr>
              <w:color w:val="auto"/>
              <w:highlight w:val="none"/>
            </w:rPr>
            <w:tab/>
          </w:r>
          <w:r>
            <w:rPr>
              <w:color w:val="auto"/>
              <w:highlight w:val="none"/>
            </w:rPr>
            <w:fldChar w:fldCharType="begin"/>
          </w:r>
          <w:r>
            <w:rPr>
              <w:color w:val="auto"/>
              <w:highlight w:val="none"/>
            </w:rPr>
            <w:instrText xml:space="preserve"> PAGEREF _Toc25884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22026DDA">
          <w:pPr>
            <w:rPr>
              <w:color w:val="auto"/>
              <w:highlight w:val="none"/>
            </w:rPr>
          </w:pPr>
          <w:r>
            <w:rPr>
              <w:color w:val="auto"/>
              <w:highlight w:val="none"/>
            </w:rPr>
            <w:fldChar w:fldCharType="end"/>
          </w:r>
        </w:p>
      </w:sdtContent>
    </w:sdt>
    <w:p w14:paraId="6C7A1E4A">
      <w:pPr>
        <w:rPr>
          <w:color w:val="auto"/>
          <w:highlight w:val="none"/>
        </w:rPr>
      </w:pPr>
    </w:p>
    <w:p w14:paraId="7D09BE4D">
      <w:pPr>
        <w:rPr>
          <w:rFonts w:hint="eastAsia" w:ascii="方正小标宋_GBK" w:hAnsi="方正小标宋_GBK" w:eastAsia="方正小标宋_GBK" w:cs="方正小标宋_GBK"/>
          <w:b w:val="0"/>
          <w:bCs w:val="0"/>
          <w:color w:val="auto"/>
          <w:kern w:val="2"/>
          <w:sz w:val="28"/>
          <w:szCs w:val="28"/>
          <w:highlight w:val="none"/>
          <w:lang w:val="en-US" w:eastAsia="zh-CN" w:bidi="ar-SA"/>
        </w:rPr>
      </w:pPr>
      <w:r>
        <w:rPr>
          <w:rFonts w:hint="eastAsia" w:ascii="方正小标宋_GBK" w:hAnsi="方正小标宋_GBK" w:eastAsia="方正小标宋_GBK" w:cs="方正小标宋_GBK"/>
          <w:b w:val="0"/>
          <w:bCs w:val="0"/>
          <w:color w:val="auto"/>
          <w:kern w:val="2"/>
          <w:sz w:val="28"/>
          <w:szCs w:val="28"/>
          <w:highlight w:val="none"/>
          <w:lang w:val="en-US" w:eastAsia="zh-CN" w:bidi="ar-SA"/>
        </w:rPr>
        <w:br w:type="page"/>
      </w:r>
    </w:p>
    <w:p w14:paraId="432A09A9">
      <w:pPr>
        <w:pStyle w:val="3"/>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eastAsia" w:ascii="方正小标宋_GBK" w:hAnsi="方正小标宋_GBK" w:eastAsia="方正小标宋_GBK" w:cs="方正小标宋_GBK"/>
          <w:b w:val="0"/>
          <w:bCs w:val="0"/>
          <w:color w:val="auto"/>
          <w:kern w:val="2"/>
          <w:sz w:val="21"/>
          <w:szCs w:val="21"/>
          <w:highlight w:val="none"/>
          <w:lang w:val="en-US" w:eastAsia="zh-CN" w:bidi="ar-SA"/>
        </w:rPr>
      </w:pPr>
      <w:bookmarkStart w:id="1" w:name="_Toc28447"/>
      <w:r>
        <w:rPr>
          <w:rFonts w:hint="eastAsia" w:ascii="方正小标宋_GBK" w:hAnsi="方正小标宋_GBK" w:eastAsia="方正小标宋_GBK" w:cs="方正小标宋_GBK"/>
          <w:b w:val="0"/>
          <w:bCs w:val="0"/>
          <w:color w:val="auto"/>
          <w:kern w:val="2"/>
          <w:sz w:val="21"/>
          <w:szCs w:val="21"/>
          <w:highlight w:val="none"/>
          <w:lang w:val="en-US" w:eastAsia="zh-CN" w:bidi="ar-SA"/>
        </w:rPr>
        <w:t>第一章  竞争性磋商公告</w:t>
      </w:r>
      <w:bookmarkEnd w:id="0"/>
      <w:bookmarkEnd w:id="1"/>
    </w:p>
    <w:p w14:paraId="0E2BE4BF">
      <w:pPr>
        <w:rPr>
          <w:rFonts w:hint="eastAsia"/>
          <w:color w:val="auto"/>
          <w:sz w:val="21"/>
          <w:szCs w:val="21"/>
          <w:highlight w:val="none"/>
          <w:lang w:val="en-US"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2292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noWrap w:val="0"/>
            <w:vAlign w:val="top"/>
          </w:tcPr>
          <w:p w14:paraId="7B0DB3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项目概况</w:t>
            </w:r>
          </w:p>
          <w:p w14:paraId="1DB3C1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color w:val="auto"/>
                <w:sz w:val="21"/>
                <w:szCs w:val="21"/>
                <w:highlight w:val="none"/>
                <w:vertAlign w:val="baseline"/>
                <w:lang w:val="en-US" w:eastAsia="zh-CN"/>
              </w:rPr>
            </w:pPr>
            <w:r>
              <w:rPr>
                <w:rFonts w:hint="eastAsia" w:ascii="宋体" w:hAnsi="宋体" w:eastAsia="宋体" w:cs="宋体"/>
                <w:color w:val="auto"/>
                <w:sz w:val="21"/>
                <w:szCs w:val="21"/>
                <w:highlight w:val="none"/>
                <w:u w:val="single"/>
                <w:lang w:eastAsia="zh-CN"/>
              </w:rPr>
              <w:t>美丽广西建设项目</w:t>
            </w:r>
            <w:r>
              <w:rPr>
                <w:rFonts w:hint="eastAsia" w:ascii="宋体" w:hAnsi="宋体" w:eastAsia="宋体" w:cs="宋体"/>
                <w:color w:val="auto"/>
                <w:sz w:val="21"/>
                <w:szCs w:val="21"/>
                <w:highlight w:val="none"/>
                <w:u w:val="none"/>
                <w:lang w:eastAsia="zh-CN"/>
              </w:rPr>
              <w:t>采购项目</w:t>
            </w:r>
            <w:r>
              <w:rPr>
                <w:rFonts w:hint="eastAsia" w:ascii="宋体" w:hAnsi="宋体" w:eastAsia="宋体" w:cs="宋体"/>
                <w:color w:val="auto"/>
                <w:sz w:val="21"/>
                <w:szCs w:val="21"/>
                <w:highlight w:val="none"/>
              </w:rPr>
              <w:t>的潜在供应商应在</w:t>
            </w:r>
            <w:r>
              <w:rPr>
                <w:rFonts w:hint="eastAsia" w:ascii="宋体" w:hAnsi="宋体" w:eastAsia="宋体" w:cs="宋体"/>
                <w:color w:val="auto"/>
                <w:sz w:val="21"/>
                <w:szCs w:val="21"/>
                <w:highlight w:val="none"/>
                <w:lang w:eastAsia="zh-CN"/>
              </w:rPr>
              <w:t>中天昊建设管理集团股份有限公司</w:t>
            </w:r>
            <w:r>
              <w:rPr>
                <w:rFonts w:hint="eastAsia" w:ascii="宋体" w:hAnsi="宋体" w:eastAsia="宋体" w:cs="宋体"/>
                <w:color w:val="auto"/>
                <w:sz w:val="21"/>
                <w:szCs w:val="21"/>
                <w:highlight w:val="none"/>
              </w:rPr>
              <w:t>获取采购文件，并于202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 9点30分（北京时间）前提交响应文件</w:t>
            </w:r>
          </w:p>
        </w:tc>
      </w:tr>
    </w:tbl>
    <w:p w14:paraId="686912A8">
      <w:pPr>
        <w:pStyle w:val="4"/>
        <w:pageBreakBefore w:val="0"/>
        <w:widowControl w:val="0"/>
        <w:kinsoku/>
        <w:overflowPunct/>
        <w:autoSpaceDE/>
        <w:autoSpaceDN/>
        <w:bidi w:val="0"/>
        <w:adjustRightInd/>
        <w:spacing w:before="0" w:after="0" w:line="400" w:lineRule="exact"/>
        <w:ind w:firstLine="422" w:firstLineChars="200"/>
        <w:jc w:val="both"/>
        <w:textAlignment w:val="auto"/>
        <w:rPr>
          <w:rFonts w:hint="eastAsia" w:ascii="宋体" w:hAnsi="宋体" w:eastAsia="宋体" w:cs="宋体"/>
          <w:b/>
          <w:bCs/>
          <w:color w:val="auto"/>
          <w:sz w:val="21"/>
          <w:szCs w:val="21"/>
          <w:highlight w:val="none"/>
          <w:lang w:val="en-US" w:eastAsia="zh-CN"/>
        </w:rPr>
      </w:pPr>
      <w:bookmarkStart w:id="2" w:name="_Toc28359012"/>
      <w:bookmarkStart w:id="3" w:name="_Toc28359089"/>
      <w:bookmarkStart w:id="4" w:name="_Toc35393629"/>
      <w:bookmarkStart w:id="5" w:name="_Toc44229878"/>
      <w:bookmarkStart w:id="6" w:name="_Toc35393798"/>
      <w:bookmarkStart w:id="7" w:name="_Hlk37430271"/>
      <w:r>
        <w:rPr>
          <w:rFonts w:hint="eastAsia" w:ascii="宋体" w:hAnsi="宋体" w:eastAsia="宋体" w:cs="宋体"/>
          <w:b/>
          <w:bCs/>
          <w:color w:val="auto"/>
          <w:sz w:val="21"/>
          <w:szCs w:val="21"/>
          <w:highlight w:val="none"/>
          <w:lang w:val="en-US" w:eastAsia="zh-CN"/>
        </w:rPr>
        <w:t>一、项目基本情况</w:t>
      </w:r>
      <w:bookmarkEnd w:id="2"/>
      <w:bookmarkEnd w:id="3"/>
      <w:bookmarkEnd w:id="4"/>
      <w:bookmarkEnd w:id="5"/>
      <w:bookmarkEnd w:id="6"/>
    </w:p>
    <w:p w14:paraId="653A1528">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1.项目编号：</w:t>
      </w:r>
      <w:r>
        <w:rPr>
          <w:rFonts w:hint="eastAsia" w:ascii="宋体" w:hAnsi="宋体" w:eastAsia="宋体" w:cs="宋体"/>
          <w:color w:val="auto"/>
          <w:sz w:val="21"/>
          <w:szCs w:val="21"/>
          <w:highlight w:val="none"/>
          <w:lang w:val="en-US" w:eastAsia="zh-CN"/>
        </w:rPr>
        <w:t>GXDC2026-C3-00002-ZTHJ</w:t>
      </w:r>
    </w:p>
    <w:p w14:paraId="587A18DE">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2.项目名称：</w:t>
      </w:r>
      <w:bookmarkStart w:id="8" w:name="OLE_LINK1"/>
      <w:r>
        <w:rPr>
          <w:rFonts w:hint="eastAsia" w:ascii="宋体" w:hAnsi="宋体" w:eastAsia="宋体" w:cs="宋体"/>
          <w:color w:val="auto"/>
          <w:sz w:val="21"/>
          <w:szCs w:val="21"/>
          <w:highlight w:val="none"/>
        </w:rPr>
        <w:t>美丽广西建设项目</w:t>
      </w:r>
      <w:bookmarkEnd w:id="8"/>
    </w:p>
    <w:p w14:paraId="158CCA64">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3.采购方式：竞争性磋商</w:t>
      </w:r>
    </w:p>
    <w:p w14:paraId="1467D760">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4.预算金额：人民币</w:t>
      </w:r>
      <w:r>
        <w:rPr>
          <w:rFonts w:hint="eastAsia" w:ascii="宋体" w:hAnsi="宋体" w:eastAsia="宋体" w:cs="宋体"/>
          <w:color w:val="auto"/>
          <w:sz w:val="21"/>
          <w:szCs w:val="21"/>
          <w:highlight w:val="none"/>
          <w:lang w:val="en-US" w:eastAsia="zh-CN"/>
        </w:rPr>
        <w:t>玖拾捌万元整（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980,000.00</w:t>
      </w:r>
      <w:r>
        <w:rPr>
          <w:rFonts w:hint="eastAsia" w:ascii="宋体" w:hAnsi="宋体" w:eastAsia="宋体" w:cs="宋体"/>
          <w:color w:val="auto"/>
          <w:sz w:val="21"/>
          <w:szCs w:val="21"/>
          <w:highlight w:val="none"/>
          <w:lang w:eastAsia="zh-CN"/>
        </w:rPr>
        <w:t>）</w:t>
      </w:r>
    </w:p>
    <w:p w14:paraId="2F213ADC">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5.最高限价：人民币</w:t>
      </w:r>
      <w:r>
        <w:rPr>
          <w:rFonts w:hint="eastAsia" w:ascii="宋体" w:hAnsi="宋体" w:eastAsia="宋体" w:cs="宋体"/>
          <w:color w:val="auto"/>
          <w:sz w:val="21"/>
          <w:szCs w:val="21"/>
          <w:highlight w:val="none"/>
          <w:lang w:val="en-US" w:eastAsia="zh-CN"/>
        </w:rPr>
        <w:t>玖拾捌万元整（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980,000.00</w:t>
      </w:r>
      <w:r>
        <w:rPr>
          <w:rFonts w:hint="eastAsia" w:ascii="宋体" w:hAnsi="宋体" w:eastAsia="宋体" w:cs="宋体"/>
          <w:color w:val="auto"/>
          <w:sz w:val="21"/>
          <w:szCs w:val="21"/>
          <w:highlight w:val="none"/>
          <w:lang w:eastAsia="zh-CN"/>
        </w:rPr>
        <w:t>）</w:t>
      </w:r>
    </w:p>
    <w:p w14:paraId="4DBA0A88">
      <w:pPr>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6.采购需求：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037"/>
        <w:gridCol w:w="915"/>
        <w:gridCol w:w="5869"/>
      </w:tblGrid>
      <w:tr w14:paraId="4CC4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shd w:val="clear" w:color="auto" w:fill="auto"/>
            <w:vAlign w:val="center"/>
          </w:tcPr>
          <w:p w14:paraId="4985054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序号</w:t>
            </w:r>
          </w:p>
        </w:tc>
        <w:tc>
          <w:tcPr>
            <w:tcW w:w="1037" w:type="dxa"/>
            <w:shd w:val="clear" w:color="auto" w:fill="auto"/>
            <w:vAlign w:val="center"/>
          </w:tcPr>
          <w:p w14:paraId="3210AD6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标的的名称</w:t>
            </w:r>
          </w:p>
        </w:tc>
        <w:tc>
          <w:tcPr>
            <w:tcW w:w="915" w:type="dxa"/>
            <w:shd w:val="clear" w:color="auto" w:fill="auto"/>
            <w:vAlign w:val="center"/>
          </w:tcPr>
          <w:p w14:paraId="2D32EE4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w:t>
            </w:r>
          </w:p>
          <w:p w14:paraId="14915E5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单位</w:t>
            </w:r>
          </w:p>
        </w:tc>
        <w:tc>
          <w:tcPr>
            <w:tcW w:w="5869" w:type="dxa"/>
            <w:shd w:val="clear" w:color="auto" w:fill="auto"/>
            <w:vAlign w:val="center"/>
          </w:tcPr>
          <w:p w14:paraId="4DBE2EF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简要技术需求或者服务要求</w:t>
            </w:r>
          </w:p>
        </w:tc>
      </w:tr>
      <w:tr w14:paraId="4E00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4BB74171">
            <w:pPr>
              <w:pStyle w:val="2"/>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037" w:type="dxa"/>
            <w:vAlign w:val="center"/>
          </w:tcPr>
          <w:p w14:paraId="02F4110D">
            <w:pPr>
              <w:pStyle w:val="2"/>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美丽广西建设项目</w:t>
            </w:r>
          </w:p>
        </w:tc>
        <w:tc>
          <w:tcPr>
            <w:tcW w:w="915" w:type="dxa"/>
            <w:vAlign w:val="center"/>
          </w:tcPr>
          <w:p w14:paraId="7EDF8313">
            <w:pPr>
              <w:pStyle w:val="2"/>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1项</w:t>
            </w:r>
          </w:p>
        </w:tc>
        <w:tc>
          <w:tcPr>
            <w:tcW w:w="5869" w:type="dxa"/>
            <w:vAlign w:val="center"/>
          </w:tcPr>
          <w:p w14:paraId="5DECB09B">
            <w:pPr>
              <w:keepNext w:val="0"/>
              <w:keepLines w:val="0"/>
              <w:pageBreakBefore w:val="0"/>
              <w:widowControl w:val="0"/>
              <w:numPr>
                <w:ilvl w:val="0"/>
                <w:numId w:val="0"/>
              </w:numPr>
              <w:kinsoku/>
              <w:wordWrap/>
              <w:overflowPunct/>
              <w:topLinePunct w:val="0"/>
              <w:autoSpaceDE/>
              <w:autoSpaceDN/>
              <w:bidi w:val="0"/>
              <w:adjustRightInd w:val="0"/>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国家及自治区相关要求，围绕加快发展方式绿色转型、深入推进污染防治攻坚战、提升生态系统多样性稳定性持续性、守牢安全底线、打造美丽建设示范样板等十个方面，对广西落实美丽中国建设、推进美丽广西建设的重点任务实施、指标完成情况进行评估，分析识别建设过程存在的短板、困难和问题，谋划下一步推进措施和计划</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重点</w:t>
            </w:r>
            <w:r>
              <w:rPr>
                <w:rFonts w:hint="eastAsia" w:ascii="宋体" w:hAnsi="宋体" w:eastAsia="宋体" w:cs="宋体"/>
                <w:color w:val="auto"/>
                <w:sz w:val="21"/>
                <w:szCs w:val="21"/>
                <w:highlight w:val="none"/>
                <w:lang w:eastAsia="zh-CN"/>
              </w:rPr>
              <w:t>根据</w:t>
            </w:r>
            <w:r>
              <w:rPr>
                <w:rFonts w:hint="eastAsia" w:ascii="宋体" w:hAnsi="宋体" w:eastAsia="宋体" w:cs="宋体"/>
                <w:color w:val="auto"/>
                <w:sz w:val="21"/>
                <w:szCs w:val="21"/>
                <w:highlight w:val="none"/>
              </w:rPr>
              <w:t>履行美丽中国建设责任落实情况、美丽中国建设年度主要目标重点任务完成情况、资金投入使用情况、公众满意程度等5个方面</w:t>
            </w:r>
            <w:r>
              <w:rPr>
                <w:rFonts w:hint="eastAsia" w:ascii="宋体" w:hAnsi="宋体" w:eastAsia="宋体" w:cs="宋体"/>
                <w:b w:val="0"/>
                <w:bCs w:val="0"/>
                <w:color w:val="auto"/>
                <w:sz w:val="21"/>
                <w:szCs w:val="21"/>
                <w:highlight w:val="none"/>
              </w:rPr>
              <w:t>开展美丽中国建设成效考核2025年度摸底自评</w:t>
            </w:r>
            <w:r>
              <w:rPr>
                <w:rFonts w:hint="eastAsia" w:ascii="宋体" w:hAnsi="宋体" w:eastAsia="宋体" w:cs="宋体"/>
                <w:color w:val="auto"/>
                <w:sz w:val="21"/>
                <w:szCs w:val="21"/>
                <w:highlight w:val="none"/>
                <w:lang w:eastAsia="zh-CN"/>
              </w:rPr>
              <w:t>。</w:t>
            </w:r>
          </w:p>
          <w:p w14:paraId="47869F47">
            <w:pPr>
              <w:keepNext w:val="0"/>
              <w:keepLines w:val="0"/>
              <w:pageBreakBefore w:val="0"/>
              <w:widowControl w:val="0"/>
              <w:numPr>
                <w:ilvl w:val="0"/>
                <w:numId w:val="0"/>
              </w:numPr>
              <w:kinsoku/>
              <w:wordWrap/>
              <w:overflowPunct/>
              <w:topLinePunct w:val="0"/>
              <w:autoSpaceDE/>
              <w:autoSpaceDN/>
              <w:bidi w:val="0"/>
              <w:adjustRightInd w:val="0"/>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围绕广西区域内美丽城市建设，因地制宜研究设置绿色低碳、环境优美、生态宜居等领域指标，构建设区市建成美丽城市的评价标准，从多个维度评价城市的美丽度，客观评估美丽城市建设的进程及成效，探索建立科学有效的美丽城市评估指标体系，编制美丽城市建设评估指标体系研究报告。</w:t>
            </w:r>
          </w:p>
          <w:p w14:paraId="6CE8306C">
            <w:pPr>
              <w:pStyle w:val="2"/>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lang w:val="en-US" w:eastAsia="zh-CN"/>
              </w:rPr>
              <w:t>（3）聚焦在推动绿色低碳发展、促进生态环境根本好转、加强生态保护修复、筑牢生态安全底线、深化生态文明体制改革五个方面走在前、作表率，充分挖掘广西优秀做法、经验、思路、理念及成果，</w:t>
            </w:r>
            <w:r>
              <w:rPr>
                <w:rFonts w:hint="eastAsia" w:ascii="宋体" w:hAnsi="宋体" w:eastAsia="宋体" w:cs="宋体"/>
                <w:color w:val="auto"/>
                <w:sz w:val="21"/>
                <w:szCs w:val="21"/>
                <w:highlight w:val="none"/>
              </w:rPr>
              <w:t>系统梳理、分类呈现具有代表性、创新性、示范性的</w:t>
            </w:r>
            <w:r>
              <w:rPr>
                <w:rFonts w:hint="eastAsia" w:ascii="宋体" w:hAnsi="宋体" w:eastAsia="宋体" w:cs="宋体"/>
                <w:color w:val="auto"/>
                <w:sz w:val="21"/>
                <w:szCs w:val="21"/>
                <w:highlight w:val="none"/>
                <w:lang w:val="en-US" w:eastAsia="zh-CN"/>
              </w:rPr>
              <w:t>美丽广西建设</w:t>
            </w:r>
            <w:r>
              <w:rPr>
                <w:rFonts w:hint="eastAsia" w:ascii="宋体" w:hAnsi="宋体" w:eastAsia="宋体" w:cs="宋体"/>
                <w:color w:val="auto"/>
                <w:sz w:val="21"/>
                <w:szCs w:val="21"/>
                <w:highlight w:val="none"/>
              </w:rPr>
              <w:t>先行典型案例，根据采购方要求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编制广西建设美丽中国先行区典型案例集。</w:t>
            </w:r>
            <w:r>
              <w:rPr>
                <w:rFonts w:hint="eastAsia" w:ascii="宋体" w:hAnsi="宋体" w:eastAsia="宋体" w:cs="宋体"/>
                <w:color w:val="auto"/>
                <w:sz w:val="21"/>
                <w:szCs w:val="21"/>
                <w:highlight w:val="none"/>
              </w:rPr>
              <w:t>如需进一步了解详细内容，具体内容详见竞争性磋商采购文件的采购需求。</w:t>
            </w:r>
          </w:p>
        </w:tc>
      </w:tr>
    </w:tbl>
    <w:p w14:paraId="123D5588">
      <w:pPr>
        <w:pageBreakBefore w:val="0"/>
        <w:widowControl w:val="0"/>
        <w:kinsoku/>
        <w:overflowPunct/>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7.合同履行期限：</w:t>
      </w:r>
      <w:r>
        <w:rPr>
          <w:rFonts w:hint="eastAsia" w:ascii="宋体" w:hAnsi="宋体" w:eastAsia="宋体" w:cs="宋体"/>
          <w:color w:val="auto"/>
          <w:sz w:val="21"/>
          <w:szCs w:val="21"/>
          <w:highlight w:val="none"/>
          <w:lang w:val="en-US" w:eastAsia="zh-CN"/>
        </w:rPr>
        <w:t>自合同生效之日起计算，履行期限一年</w:t>
      </w:r>
      <w:r>
        <w:rPr>
          <w:rFonts w:hint="eastAsia" w:ascii="宋体" w:hAnsi="宋体" w:eastAsia="宋体" w:cs="宋体"/>
          <w:color w:val="auto"/>
          <w:sz w:val="21"/>
          <w:szCs w:val="21"/>
          <w:highlight w:val="none"/>
        </w:rPr>
        <w:t>。</w:t>
      </w:r>
    </w:p>
    <w:p w14:paraId="02E8FA6E">
      <w:pPr>
        <w:pageBreakBefore w:val="0"/>
        <w:widowControl w:val="0"/>
        <w:kinsoku/>
        <w:overflowPunct/>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8.本项目不接受联合体磋商。</w:t>
      </w:r>
      <w:bookmarkStart w:id="9" w:name="_Toc44229879"/>
      <w:bookmarkStart w:id="10" w:name="_Toc35393799"/>
      <w:bookmarkStart w:id="11" w:name="_Toc35393630"/>
      <w:bookmarkStart w:id="12" w:name="_Toc28359090"/>
      <w:bookmarkStart w:id="13" w:name="_Toc28359013"/>
    </w:p>
    <w:p w14:paraId="56ADBBF4">
      <w:pPr>
        <w:pageBreakBefore w:val="0"/>
        <w:widowControl w:val="0"/>
        <w:kinsoku/>
        <w:overflowPunct/>
        <w:autoSpaceDE/>
        <w:autoSpaceDN/>
        <w:bidi w:val="0"/>
        <w:adjustRightInd/>
        <w:spacing w:line="40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9.本项目不可转包和分包。</w:t>
      </w:r>
    </w:p>
    <w:p w14:paraId="596CF030">
      <w:pPr>
        <w:pStyle w:val="4"/>
        <w:pageBreakBefore w:val="0"/>
        <w:widowControl w:val="0"/>
        <w:kinsoku/>
        <w:overflowPunct/>
        <w:autoSpaceDE/>
        <w:autoSpaceDN/>
        <w:bidi w:val="0"/>
        <w:adjustRightInd/>
        <w:spacing w:before="0" w:after="0" w:line="400" w:lineRule="exact"/>
        <w:ind w:firstLine="422" w:firstLineChars="200"/>
        <w:jc w:val="both"/>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二、供应商的资格条件：</w:t>
      </w:r>
      <w:bookmarkEnd w:id="9"/>
      <w:bookmarkEnd w:id="10"/>
      <w:bookmarkEnd w:id="11"/>
      <w:bookmarkEnd w:id="12"/>
      <w:bookmarkEnd w:id="13"/>
    </w:p>
    <w:p w14:paraId="0D75B201">
      <w:pPr>
        <w:pageBreakBefore w:val="0"/>
        <w:widowControl w:val="0"/>
        <w:kinsoku/>
        <w:overflowPunct/>
        <w:autoSpaceDE/>
        <w:autoSpaceDN/>
        <w:bidi w:val="0"/>
        <w:adjustRightInd/>
        <w:snapToGrid w:val="0"/>
        <w:spacing w:line="400" w:lineRule="exact"/>
        <w:ind w:firstLine="420" w:firstLineChars="200"/>
        <w:jc w:val="both"/>
        <w:textAlignment w:val="auto"/>
        <w:rPr>
          <w:rFonts w:hint="eastAsia" w:ascii="宋体" w:hAnsi="宋体" w:eastAsia="宋体" w:cs="宋体"/>
          <w:color w:val="auto"/>
          <w:sz w:val="21"/>
          <w:szCs w:val="21"/>
          <w:highlight w:val="none"/>
        </w:rPr>
      </w:pPr>
      <w:bookmarkStart w:id="14" w:name="_Toc28359014"/>
      <w:bookmarkStart w:id="15" w:name="_Toc35393631"/>
      <w:bookmarkStart w:id="16" w:name="_Toc44229880"/>
      <w:bookmarkStart w:id="17" w:name="_Toc35393800"/>
      <w:bookmarkStart w:id="18" w:name="_Toc28359091"/>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满</w:t>
      </w:r>
      <w:r>
        <w:rPr>
          <w:rFonts w:hint="eastAsia" w:ascii="宋体" w:hAnsi="宋体" w:eastAsia="宋体" w:cs="宋体"/>
          <w:color w:val="auto"/>
          <w:sz w:val="21"/>
          <w:szCs w:val="21"/>
          <w:highlight w:val="none"/>
        </w:rPr>
        <w:t>足《中华人民共和国政府采购法》第二十二条规定。</w:t>
      </w:r>
    </w:p>
    <w:p w14:paraId="407FC525">
      <w:pPr>
        <w:pageBreakBefore w:val="0"/>
        <w:widowControl w:val="0"/>
        <w:kinsoku/>
        <w:overflowPunct/>
        <w:autoSpaceDE/>
        <w:autoSpaceDN/>
        <w:bidi w:val="0"/>
        <w:adjustRightInd/>
        <w:snapToGrid w:val="0"/>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落实政府采购政策需满足的资格要求：</w:t>
      </w:r>
    </w:p>
    <w:p w14:paraId="4536BBEC">
      <w:pPr>
        <w:pageBreakBefore w:val="0"/>
        <w:widowControl w:val="0"/>
        <w:kinsoku/>
        <w:overflowPunct/>
        <w:autoSpaceDE/>
        <w:autoSpaceDN/>
        <w:bidi w:val="0"/>
        <w:adjustRightInd/>
        <w:snapToGrid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□专门面向中小企业采购的项目（供应商应为中小微企业、监狱企业、残疾人福利性单位</w:t>
      </w:r>
      <w:r>
        <w:rPr>
          <w:rFonts w:hint="eastAsia" w:ascii="宋体" w:hAnsi="宋体" w:eastAsia="宋体" w:cs="宋体"/>
          <w:color w:val="auto"/>
          <w:sz w:val="21"/>
          <w:szCs w:val="21"/>
          <w:highlight w:val="none"/>
          <w:lang w:eastAsia="zh-CN"/>
        </w:rPr>
        <w:t>）</w:t>
      </w:r>
    </w:p>
    <w:p w14:paraId="21520B97">
      <w:pPr>
        <w:pageBreakBefore w:val="0"/>
        <w:widowControl w:val="0"/>
        <w:kinsoku/>
        <w:overflowPunct/>
        <w:autoSpaceDE/>
        <w:autoSpaceDN/>
        <w:bidi w:val="0"/>
        <w:adjustRightInd/>
        <w:snapToGrid w:val="0"/>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非专门面向中小企业采购的项目</w:t>
      </w:r>
      <w:r>
        <w:rPr>
          <w:rFonts w:hint="eastAsia" w:ascii="宋体" w:hAnsi="宋体" w:eastAsia="宋体" w:cs="宋体"/>
          <w:color w:val="auto"/>
          <w:sz w:val="21"/>
          <w:szCs w:val="21"/>
          <w:highlight w:val="none"/>
          <w:lang w:eastAsia="zh-CN"/>
        </w:rPr>
        <w:t>。</w:t>
      </w:r>
    </w:p>
    <w:p w14:paraId="3FAC4601">
      <w:pPr>
        <w:pageBreakBefore w:val="0"/>
        <w:widowControl w:val="0"/>
        <w:kinsoku/>
        <w:overflowPunct/>
        <w:autoSpaceDE/>
        <w:autoSpaceDN/>
        <w:bidi w:val="0"/>
        <w:adjustRightInd/>
        <w:snapToGrid w:val="0"/>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需要落实的政府采购政策</w:t>
      </w:r>
      <w:r>
        <w:rPr>
          <w:rFonts w:hint="eastAsia" w:ascii="宋体" w:hAnsi="宋体" w:eastAsia="宋体" w:cs="宋体"/>
          <w:color w:val="auto"/>
          <w:sz w:val="21"/>
          <w:szCs w:val="21"/>
          <w:highlight w:val="none"/>
          <w:lang w:val="en-US" w:eastAsia="zh-CN"/>
        </w:rPr>
        <w:t>:</w:t>
      </w:r>
    </w:p>
    <w:p w14:paraId="1209AFF4">
      <w:pPr>
        <w:pageBreakBefore w:val="0"/>
        <w:widowControl w:val="0"/>
        <w:kinsoku/>
        <w:overflowPunct/>
        <w:autoSpaceDE/>
        <w:autoSpaceDN/>
        <w:bidi w:val="0"/>
        <w:adjustRightInd/>
        <w:snapToGrid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①政府采购促进中小企业发展。</w:t>
      </w:r>
    </w:p>
    <w:p w14:paraId="1466C341">
      <w:pPr>
        <w:pageBreakBefore w:val="0"/>
        <w:widowControl w:val="0"/>
        <w:kinsoku/>
        <w:overflowPunct/>
        <w:autoSpaceDE/>
        <w:autoSpaceDN/>
        <w:bidi w:val="0"/>
        <w:adjustRightInd/>
        <w:snapToGrid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②政府采购促进残疾人就业政策。</w:t>
      </w:r>
    </w:p>
    <w:p w14:paraId="27D838AA">
      <w:pPr>
        <w:pageBreakBefore w:val="0"/>
        <w:widowControl w:val="0"/>
        <w:kinsoku/>
        <w:overflowPunct/>
        <w:autoSpaceDE/>
        <w:autoSpaceDN/>
        <w:bidi w:val="0"/>
        <w:adjustRightInd/>
        <w:snapToGrid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③政府采购支持监狱企业发展。</w:t>
      </w:r>
    </w:p>
    <w:p w14:paraId="2B30D929">
      <w:pPr>
        <w:pageBreakBefore w:val="0"/>
        <w:widowControl w:val="0"/>
        <w:numPr>
          <w:ilvl w:val="0"/>
          <w:numId w:val="0"/>
        </w:numPr>
        <w:kinsoku/>
        <w:overflowPunct/>
        <w:autoSpaceDE/>
        <w:autoSpaceDN/>
        <w:bidi w:val="0"/>
        <w:adjustRightInd/>
        <w:snapToGrid w:val="0"/>
        <w:spacing w:line="400" w:lineRule="exact"/>
        <w:ind w:firstLine="420" w:firstLineChars="200"/>
        <w:jc w:val="both"/>
        <w:textAlignment w:val="auto"/>
        <w:rPr>
          <w:rFonts w:hint="eastAsia" w:ascii="宋体" w:hAnsi="宋体" w:cs="宋体"/>
          <w:color w:val="auto"/>
          <w:sz w:val="21"/>
          <w:szCs w:val="21"/>
          <w:highlight w:val="none"/>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本项目的特定资格要求</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无</w:t>
      </w:r>
      <w:r>
        <w:rPr>
          <w:rFonts w:hint="eastAsia" w:ascii="宋体" w:hAnsi="宋体" w:cs="宋体"/>
          <w:color w:val="auto"/>
          <w:sz w:val="21"/>
          <w:szCs w:val="21"/>
          <w:highlight w:val="none"/>
        </w:rPr>
        <w:t>。</w:t>
      </w:r>
    </w:p>
    <w:p w14:paraId="3DAE3773">
      <w:pPr>
        <w:pageBreakBefore w:val="0"/>
        <w:widowControl w:val="0"/>
        <w:kinsoku/>
        <w:overflowPunct/>
        <w:autoSpaceDE/>
        <w:autoSpaceDN/>
        <w:bidi w:val="0"/>
        <w:adjustRightInd/>
        <w:snapToGrid w:val="0"/>
        <w:spacing w:line="400" w:lineRule="exact"/>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val="en-US" w:eastAsia="zh-CN"/>
        </w:rPr>
        <w:t>.本项目的特定条件：无</w:t>
      </w:r>
    </w:p>
    <w:p w14:paraId="5A4AADD2">
      <w:pPr>
        <w:pageBreakBefore w:val="0"/>
        <w:widowControl w:val="0"/>
        <w:kinsoku/>
        <w:overflowPunct/>
        <w:autoSpaceDE/>
        <w:autoSpaceDN/>
        <w:bidi w:val="0"/>
        <w:adjustRightInd/>
        <w:snapToGrid w:val="0"/>
        <w:spacing w:line="400" w:lineRule="exact"/>
        <w:ind w:firstLine="420" w:firstLineChars="200"/>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7341242">
      <w:pPr>
        <w:pageBreakBefore w:val="0"/>
        <w:widowControl w:val="0"/>
        <w:kinsoku/>
        <w:overflowPunct/>
        <w:autoSpaceDE/>
        <w:autoSpaceDN/>
        <w:bidi w:val="0"/>
        <w:adjustRightInd/>
        <w:snapToGrid w:val="0"/>
        <w:spacing w:line="400" w:lineRule="exact"/>
        <w:ind w:firstLine="420" w:firstLineChars="200"/>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根据财政部《关于在政府采购活动中查询及使用信用记录有关问题的通知》（财库〔2016〕125号）的规定，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8A8F6A1">
      <w:pPr>
        <w:pStyle w:val="4"/>
        <w:keepNext w:val="0"/>
        <w:keepLines w:val="0"/>
        <w:pageBreakBefore w:val="0"/>
        <w:widowControl w:val="0"/>
        <w:kinsoku/>
        <w:wordWrap w:val="0"/>
        <w:overflowPunct/>
        <w:topLinePunct/>
        <w:autoSpaceDE/>
        <w:autoSpaceDN/>
        <w:bidi w:val="0"/>
        <w:adjustRightInd/>
        <w:spacing w:before="0" w:after="0" w:line="400" w:lineRule="exact"/>
        <w:ind w:firstLine="422" w:firstLineChars="200"/>
        <w:jc w:val="both"/>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三、获取竞争性磋商文件</w:t>
      </w:r>
      <w:bookmarkEnd w:id="14"/>
      <w:bookmarkEnd w:id="15"/>
      <w:bookmarkEnd w:id="16"/>
      <w:bookmarkEnd w:id="17"/>
      <w:bookmarkEnd w:id="18"/>
    </w:p>
    <w:p w14:paraId="2C15D90D">
      <w:pPr>
        <w:keepNext w:val="0"/>
        <w:keepLines w:val="0"/>
        <w:pageBreakBefore w:val="0"/>
        <w:widowControl w:val="0"/>
        <w:kinsoku/>
        <w:wordWrap w:val="0"/>
        <w:overflowPunct/>
        <w:topLinePunct/>
        <w:autoSpaceDE/>
        <w:autoSpaceDN/>
        <w:bidi w:val="0"/>
        <w:adjustRightInd/>
        <w:snapToGrid/>
        <w:spacing w:line="400" w:lineRule="exact"/>
        <w:ind w:firstLine="420" w:firstLineChars="200"/>
        <w:jc w:val="both"/>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1.时间：</w:t>
      </w:r>
      <w:r>
        <w:rPr>
          <w:rFonts w:hint="eastAsia" w:ascii="宋体" w:hAnsi="宋体" w:eastAsia="宋体" w:cs="宋体"/>
          <w:bCs/>
          <w:color w:val="auto"/>
          <w:sz w:val="21"/>
          <w:szCs w:val="21"/>
          <w:highlight w:val="none"/>
          <w:u w:val="none"/>
        </w:rPr>
        <w:t>202</w:t>
      </w:r>
      <w:r>
        <w:rPr>
          <w:rFonts w:hint="eastAsia" w:ascii="宋体" w:hAnsi="宋体" w:eastAsia="宋体" w:cs="宋体"/>
          <w:bCs/>
          <w:color w:val="auto"/>
          <w:sz w:val="21"/>
          <w:szCs w:val="21"/>
          <w:highlight w:val="none"/>
          <w:u w:val="none"/>
          <w:lang w:val="en-US" w:eastAsia="zh-CN"/>
        </w:rPr>
        <w:t>6</w:t>
      </w:r>
      <w:r>
        <w:rPr>
          <w:rFonts w:hint="eastAsia" w:ascii="宋体" w:hAnsi="宋体" w:eastAsia="宋体" w:cs="宋体"/>
          <w:bCs/>
          <w:color w:val="auto"/>
          <w:sz w:val="21"/>
          <w:szCs w:val="21"/>
          <w:highlight w:val="none"/>
          <w:u w:val="none"/>
        </w:rPr>
        <w:t>年</w:t>
      </w: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bCs/>
          <w:color w:val="auto"/>
          <w:sz w:val="21"/>
          <w:szCs w:val="21"/>
          <w:highlight w:val="none"/>
          <w:u w:val="none"/>
        </w:rPr>
        <w:t>月</w:t>
      </w: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bCs/>
          <w:color w:val="auto"/>
          <w:sz w:val="21"/>
          <w:szCs w:val="21"/>
          <w:highlight w:val="none"/>
          <w:u w:val="none"/>
        </w:rPr>
        <w:t>日至202</w:t>
      </w:r>
      <w:r>
        <w:rPr>
          <w:rFonts w:hint="eastAsia" w:ascii="宋体" w:hAnsi="宋体" w:eastAsia="宋体" w:cs="宋体"/>
          <w:bCs/>
          <w:color w:val="auto"/>
          <w:sz w:val="21"/>
          <w:szCs w:val="21"/>
          <w:highlight w:val="none"/>
          <w:u w:val="none"/>
          <w:lang w:val="en-US" w:eastAsia="zh-CN"/>
        </w:rPr>
        <w:t>6</w:t>
      </w:r>
      <w:r>
        <w:rPr>
          <w:rFonts w:hint="eastAsia" w:ascii="宋体" w:hAnsi="宋体" w:eastAsia="宋体" w:cs="宋体"/>
          <w:bCs/>
          <w:color w:val="auto"/>
          <w:sz w:val="21"/>
          <w:szCs w:val="21"/>
          <w:highlight w:val="none"/>
          <w:u w:val="none"/>
        </w:rPr>
        <w:t>年</w:t>
      </w: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bCs/>
          <w:color w:val="auto"/>
          <w:sz w:val="21"/>
          <w:szCs w:val="21"/>
          <w:highlight w:val="none"/>
          <w:u w:val="none"/>
        </w:rPr>
        <w:t>月</w:t>
      </w: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bCs/>
          <w:color w:val="auto"/>
          <w:sz w:val="21"/>
          <w:szCs w:val="21"/>
          <w:highlight w:val="none"/>
          <w:u w:val="none"/>
        </w:rPr>
        <w:t>日，</w:t>
      </w:r>
      <w:r>
        <w:rPr>
          <w:rFonts w:hint="eastAsia" w:ascii="宋体" w:hAnsi="宋体" w:eastAsia="宋体" w:cs="宋体"/>
          <w:bCs/>
          <w:color w:val="auto"/>
          <w:kern w:val="0"/>
          <w:sz w:val="21"/>
          <w:szCs w:val="21"/>
          <w:highlight w:val="none"/>
        </w:rPr>
        <w:t>每天上午8:30至12:00，下午1</w:t>
      </w:r>
      <w:r>
        <w:rPr>
          <w:rFonts w:hint="eastAsia" w:ascii="宋体" w:hAnsi="宋体" w:eastAsia="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0至</w:t>
      </w:r>
      <w:r>
        <w:rPr>
          <w:rFonts w:hint="eastAsia" w:ascii="宋体" w:hAnsi="宋体" w:eastAsia="宋体" w:cs="宋体"/>
          <w:bCs/>
          <w:color w:val="auto"/>
          <w:kern w:val="0"/>
          <w:sz w:val="21"/>
          <w:szCs w:val="21"/>
          <w:highlight w:val="none"/>
          <w:lang w:val="en-US" w:eastAsia="zh-CN"/>
        </w:rPr>
        <w:t>17</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0（北京时间，法定节假日除外）。</w:t>
      </w:r>
    </w:p>
    <w:p w14:paraId="36B6529A">
      <w:pPr>
        <w:keepNext w:val="0"/>
        <w:keepLines w:val="0"/>
        <w:pageBreakBefore w:val="0"/>
        <w:widowControl w:val="0"/>
        <w:kinsoku/>
        <w:wordWrap w:val="0"/>
        <w:overflowPunct/>
        <w:topLinePunct/>
        <w:autoSpaceDE/>
        <w:autoSpaceDN/>
        <w:bidi w:val="0"/>
        <w:adjustRightInd/>
        <w:snapToGrid/>
        <w:spacing w:line="400" w:lineRule="exact"/>
        <w:ind w:firstLine="420" w:firstLineChars="200"/>
        <w:jc w:val="both"/>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2.地点：</w:t>
      </w:r>
      <w:r>
        <w:rPr>
          <w:rFonts w:hint="eastAsia" w:ascii="宋体" w:hAnsi="宋体" w:eastAsia="宋体" w:cs="宋体"/>
          <w:bCs/>
          <w:color w:val="auto"/>
          <w:kern w:val="0"/>
          <w:sz w:val="21"/>
          <w:szCs w:val="21"/>
          <w:highlight w:val="none"/>
          <w:lang w:eastAsia="zh-CN"/>
        </w:rPr>
        <w:t>中天昊建设管理集团股份有限公司</w:t>
      </w:r>
      <w:r>
        <w:rPr>
          <w:rFonts w:hint="eastAsia" w:ascii="宋体" w:hAnsi="宋体" w:eastAsia="宋体" w:cs="宋体"/>
          <w:bCs/>
          <w:color w:val="auto"/>
          <w:kern w:val="0"/>
          <w:sz w:val="21"/>
          <w:szCs w:val="21"/>
          <w:highlight w:val="none"/>
        </w:rPr>
        <w:t>广西</w:t>
      </w:r>
      <w:r>
        <w:rPr>
          <w:rFonts w:hint="eastAsia" w:ascii="宋体" w:hAnsi="宋体" w:eastAsia="宋体" w:cs="宋体"/>
          <w:bCs/>
          <w:color w:val="auto"/>
          <w:kern w:val="0"/>
          <w:sz w:val="21"/>
          <w:szCs w:val="21"/>
          <w:highlight w:val="none"/>
          <w:lang w:eastAsia="zh-CN"/>
        </w:rPr>
        <w:t>第一</w:t>
      </w:r>
      <w:r>
        <w:rPr>
          <w:rFonts w:hint="eastAsia" w:ascii="宋体" w:hAnsi="宋体" w:eastAsia="宋体" w:cs="宋体"/>
          <w:bCs/>
          <w:color w:val="auto"/>
          <w:kern w:val="0"/>
          <w:sz w:val="21"/>
          <w:szCs w:val="21"/>
          <w:highlight w:val="none"/>
        </w:rPr>
        <w:t>分公司（南宁市江南区亭江路7</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号东穗酒店三楼301办公室）。</w:t>
      </w:r>
    </w:p>
    <w:p w14:paraId="7A027F18">
      <w:pPr>
        <w:keepNext w:val="0"/>
        <w:keepLines w:val="0"/>
        <w:pageBreakBefore w:val="0"/>
        <w:widowControl w:val="0"/>
        <w:kinsoku/>
        <w:wordWrap w:val="0"/>
        <w:overflowPunct/>
        <w:topLinePunct/>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3.方式：</w:t>
      </w:r>
      <w:r>
        <w:rPr>
          <w:rFonts w:hint="eastAsia" w:ascii="宋体" w:hAnsi="宋体" w:eastAsia="宋体" w:cs="宋体"/>
          <w:color w:val="auto"/>
          <w:sz w:val="21"/>
          <w:szCs w:val="21"/>
          <w:highlight w:val="none"/>
        </w:rPr>
        <w:t>须同时携带以下材料：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法定代表人身份证原件、复印件（如为非法定代表人的，携带法定代表人授权书原件、本人身份证原件、法人及代理人身份证复印件购买）；</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主体资格证明（如营业执照、事业单位法人证书等）副本复印件。（以上材料均须加盖单位公章）</w:t>
      </w:r>
    </w:p>
    <w:p w14:paraId="3BC15E45">
      <w:pPr>
        <w:keepNext w:val="0"/>
        <w:keepLines w:val="0"/>
        <w:pageBreakBefore w:val="0"/>
        <w:widowControl w:val="0"/>
        <w:kinsoku/>
        <w:wordWrap w:val="0"/>
        <w:overflowPunct/>
        <w:topLinePunct/>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Cs/>
          <w:color w:val="auto"/>
          <w:kern w:val="0"/>
          <w:sz w:val="21"/>
          <w:szCs w:val="21"/>
          <w:highlight w:val="none"/>
        </w:rPr>
        <w:t>售价：竞争性磋商文件每套售价人民币300元 ，售后不退</w:t>
      </w:r>
      <w:r>
        <w:rPr>
          <w:rFonts w:hint="eastAsia" w:ascii="宋体" w:hAnsi="宋体" w:eastAsia="宋体" w:cs="宋体"/>
          <w:color w:val="auto"/>
          <w:sz w:val="21"/>
          <w:szCs w:val="21"/>
          <w:highlight w:val="none"/>
        </w:rPr>
        <w:t>。</w:t>
      </w:r>
    </w:p>
    <w:p w14:paraId="75863389">
      <w:pPr>
        <w:keepNext w:val="0"/>
        <w:keepLines w:val="0"/>
        <w:pageBreakBefore w:val="0"/>
        <w:widowControl w:val="0"/>
        <w:kinsoku/>
        <w:wordWrap w:val="0"/>
        <w:overflowPunct/>
        <w:topLinePunct/>
        <w:autoSpaceDE/>
        <w:autoSpaceDN/>
        <w:bidi w:val="0"/>
        <w:adjustRightInd/>
        <w:snapToGrid/>
        <w:spacing w:line="400" w:lineRule="exact"/>
        <w:ind w:firstLine="420" w:firstLineChars="200"/>
        <w:jc w:val="both"/>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5.获取竞争性磋商文件联系人：</w:t>
      </w:r>
      <w:r>
        <w:rPr>
          <w:rFonts w:hint="eastAsia" w:ascii="宋体" w:hAnsi="宋体" w:eastAsia="宋体" w:cs="宋体"/>
          <w:color w:val="auto"/>
          <w:sz w:val="21"/>
          <w:szCs w:val="21"/>
          <w:highlight w:val="none"/>
          <w:lang w:val="en-US" w:eastAsia="zh-CN"/>
        </w:rPr>
        <w:t>朱秋玲</w:t>
      </w:r>
      <w:r>
        <w:rPr>
          <w:rFonts w:hint="eastAsia" w:ascii="宋体" w:hAnsi="宋体" w:eastAsia="宋体" w:cs="宋体"/>
          <w:color w:val="auto"/>
          <w:sz w:val="21"/>
          <w:szCs w:val="21"/>
          <w:highlight w:val="none"/>
        </w:rPr>
        <w:t>，联系电话：0771-3126896。</w:t>
      </w:r>
    </w:p>
    <w:p w14:paraId="6B597F99">
      <w:pPr>
        <w:pStyle w:val="4"/>
        <w:keepNext w:val="0"/>
        <w:keepLines w:val="0"/>
        <w:pageBreakBefore w:val="0"/>
        <w:widowControl w:val="0"/>
        <w:kinsoku/>
        <w:wordWrap w:val="0"/>
        <w:overflowPunct/>
        <w:topLinePunct/>
        <w:autoSpaceDE/>
        <w:autoSpaceDN/>
        <w:bidi w:val="0"/>
        <w:adjustRightInd/>
        <w:spacing w:before="0" w:after="0" w:line="400" w:lineRule="exact"/>
        <w:ind w:firstLine="422" w:firstLineChars="200"/>
        <w:jc w:val="both"/>
        <w:textAlignment w:val="auto"/>
        <w:rPr>
          <w:rFonts w:hint="eastAsia" w:ascii="宋体" w:hAnsi="宋体" w:eastAsia="宋体" w:cs="宋体"/>
          <w:bCs w:val="0"/>
          <w:color w:val="auto"/>
          <w:sz w:val="21"/>
          <w:szCs w:val="21"/>
          <w:highlight w:val="none"/>
        </w:rPr>
      </w:pPr>
      <w:bookmarkStart w:id="19" w:name="_Toc35393801"/>
      <w:bookmarkStart w:id="20" w:name="_Toc35393632"/>
      <w:bookmarkStart w:id="21" w:name="_Toc28359092"/>
      <w:bookmarkStart w:id="22" w:name="_Toc44229881"/>
      <w:bookmarkStart w:id="23" w:name="_Toc28359015"/>
      <w:r>
        <w:rPr>
          <w:rFonts w:hint="eastAsia" w:ascii="宋体" w:hAnsi="宋体" w:eastAsia="宋体" w:cs="宋体"/>
          <w:bCs w:val="0"/>
          <w:color w:val="auto"/>
          <w:sz w:val="21"/>
          <w:szCs w:val="21"/>
          <w:highlight w:val="none"/>
        </w:rPr>
        <w:t>四、响应文件提交</w:t>
      </w:r>
      <w:bookmarkEnd w:id="19"/>
      <w:bookmarkEnd w:id="20"/>
      <w:bookmarkEnd w:id="21"/>
      <w:bookmarkEnd w:id="22"/>
      <w:bookmarkEnd w:id="23"/>
    </w:p>
    <w:p w14:paraId="40C38A93">
      <w:pPr>
        <w:pageBreakBefore w:val="0"/>
        <w:widowControl w:val="0"/>
        <w:kinsoku/>
        <w:wordWrap w:val="0"/>
        <w:overflowPunct/>
        <w:topLinePunct/>
        <w:autoSpaceDE/>
        <w:autoSpaceDN/>
        <w:bidi w:val="0"/>
        <w:adjustRightInd/>
        <w:spacing w:line="400" w:lineRule="exact"/>
        <w:ind w:firstLine="420" w:firstLineChars="200"/>
        <w:jc w:val="both"/>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首次响应文件提交起止时间：</w:t>
      </w:r>
      <w:r>
        <w:rPr>
          <w:rFonts w:hint="eastAsia" w:ascii="宋体" w:hAnsi="宋体" w:eastAsia="宋体" w:cs="宋体"/>
          <w:bCs/>
          <w:color w:val="auto"/>
          <w:sz w:val="21"/>
          <w:szCs w:val="21"/>
          <w:highlight w:val="none"/>
          <w:u w:val="single"/>
        </w:rPr>
        <w:t>202</w:t>
      </w:r>
      <w:r>
        <w:rPr>
          <w:rFonts w:hint="eastAsia" w:ascii="宋体" w:hAnsi="宋体" w:eastAsia="宋体" w:cs="宋体"/>
          <w:bCs/>
          <w:color w:val="auto"/>
          <w:sz w:val="21"/>
          <w:szCs w:val="21"/>
          <w:highlight w:val="none"/>
          <w:u w:val="single"/>
          <w:lang w:val="en-US" w:eastAsia="zh-CN"/>
        </w:rPr>
        <w:t>6</w:t>
      </w:r>
      <w:r>
        <w:rPr>
          <w:rFonts w:hint="eastAsia" w:ascii="宋体" w:hAnsi="宋体" w:eastAsia="宋体" w:cs="宋体"/>
          <w:bCs/>
          <w:color w:val="auto"/>
          <w:sz w:val="21"/>
          <w:szCs w:val="21"/>
          <w:highlight w:val="none"/>
          <w:u w:val="single"/>
        </w:rPr>
        <w:t>年</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月</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9</w:t>
      </w:r>
      <w:r>
        <w:rPr>
          <w:rFonts w:hint="eastAsia" w:ascii="宋体" w:hAnsi="宋体" w:eastAsia="宋体" w:cs="宋体"/>
          <w:bCs/>
          <w:color w:val="auto"/>
          <w:sz w:val="21"/>
          <w:szCs w:val="21"/>
          <w:highlight w:val="none"/>
          <w:u w:val="single"/>
        </w:rPr>
        <w:t>时</w:t>
      </w:r>
      <w:r>
        <w:rPr>
          <w:rFonts w:hint="eastAsia" w:ascii="宋体" w:hAnsi="宋体" w:eastAsia="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rPr>
        <w:t>0分至9时30分</w:t>
      </w:r>
      <w:r>
        <w:rPr>
          <w:rFonts w:hint="eastAsia" w:ascii="宋体" w:hAnsi="宋体" w:eastAsia="宋体" w:cs="宋体"/>
          <w:bCs/>
          <w:color w:val="auto"/>
          <w:sz w:val="21"/>
          <w:szCs w:val="21"/>
          <w:highlight w:val="none"/>
        </w:rPr>
        <w:t>（北京时间）</w:t>
      </w:r>
    </w:p>
    <w:p w14:paraId="3D9022DE">
      <w:pPr>
        <w:pageBreakBefore w:val="0"/>
        <w:widowControl w:val="0"/>
        <w:kinsoku/>
        <w:wordWrap w:val="0"/>
        <w:overflowPunct/>
        <w:topLinePunct/>
        <w:autoSpaceDE/>
        <w:autoSpaceDN/>
        <w:bidi w:val="0"/>
        <w:adjustRightInd/>
        <w:spacing w:line="400" w:lineRule="exact"/>
        <w:ind w:firstLine="420" w:firstLineChars="200"/>
        <w:jc w:val="both"/>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首次响应文件提交截止时间：</w:t>
      </w:r>
      <w:r>
        <w:rPr>
          <w:rFonts w:hint="eastAsia" w:ascii="宋体" w:hAnsi="宋体" w:eastAsia="宋体" w:cs="宋体"/>
          <w:bCs/>
          <w:color w:val="auto"/>
          <w:sz w:val="21"/>
          <w:szCs w:val="21"/>
          <w:highlight w:val="none"/>
          <w:u w:val="single"/>
        </w:rPr>
        <w:t>202</w:t>
      </w:r>
      <w:r>
        <w:rPr>
          <w:rFonts w:hint="eastAsia" w:ascii="宋体" w:hAnsi="宋体" w:eastAsia="宋体" w:cs="宋体"/>
          <w:bCs/>
          <w:color w:val="auto"/>
          <w:sz w:val="21"/>
          <w:szCs w:val="21"/>
          <w:highlight w:val="none"/>
          <w:u w:val="single"/>
          <w:lang w:val="en-US" w:eastAsia="zh-CN"/>
        </w:rPr>
        <w:t>6</w:t>
      </w:r>
      <w:r>
        <w:rPr>
          <w:rFonts w:hint="eastAsia" w:ascii="宋体" w:hAnsi="宋体" w:eastAsia="宋体" w:cs="宋体"/>
          <w:bCs/>
          <w:color w:val="auto"/>
          <w:sz w:val="21"/>
          <w:szCs w:val="21"/>
          <w:highlight w:val="none"/>
          <w:u w:val="single"/>
        </w:rPr>
        <w:t>年</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月</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日9时30分</w:t>
      </w:r>
      <w:r>
        <w:rPr>
          <w:rFonts w:hint="eastAsia" w:ascii="宋体" w:hAnsi="宋体" w:eastAsia="宋体" w:cs="宋体"/>
          <w:bCs/>
          <w:color w:val="auto"/>
          <w:sz w:val="21"/>
          <w:szCs w:val="21"/>
          <w:highlight w:val="none"/>
        </w:rPr>
        <w:t>（北京时间）</w:t>
      </w:r>
    </w:p>
    <w:p w14:paraId="1C3DABBB">
      <w:pPr>
        <w:pageBreakBefore w:val="0"/>
        <w:widowControl w:val="0"/>
        <w:kinsoku/>
        <w:wordWrap w:val="0"/>
        <w:overflowPunct/>
        <w:topLinePunct/>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3.首次响应文件提交地点：</w:t>
      </w:r>
      <w:r>
        <w:rPr>
          <w:rFonts w:hint="eastAsia" w:ascii="宋体" w:hAnsi="宋体" w:eastAsia="宋体" w:cs="宋体"/>
          <w:color w:val="auto"/>
          <w:sz w:val="21"/>
          <w:szCs w:val="21"/>
          <w:highlight w:val="none"/>
          <w:u w:val="none"/>
          <w:lang w:eastAsia="zh-CN"/>
        </w:rPr>
        <w:t>中天昊建设管理集团股份有限公司</w:t>
      </w:r>
      <w:r>
        <w:rPr>
          <w:rFonts w:hint="eastAsia" w:ascii="宋体" w:hAnsi="宋体" w:eastAsia="宋体" w:cs="宋体"/>
          <w:color w:val="auto"/>
          <w:sz w:val="21"/>
          <w:szCs w:val="21"/>
          <w:highlight w:val="none"/>
          <w:u w:val="none"/>
        </w:rPr>
        <w:t>广西</w:t>
      </w:r>
      <w:r>
        <w:rPr>
          <w:rFonts w:hint="eastAsia" w:ascii="宋体" w:hAnsi="宋体" w:eastAsia="宋体" w:cs="宋体"/>
          <w:color w:val="auto"/>
          <w:sz w:val="21"/>
          <w:szCs w:val="21"/>
          <w:highlight w:val="none"/>
          <w:u w:val="none"/>
          <w:lang w:eastAsia="zh-CN"/>
        </w:rPr>
        <w:t>第一</w:t>
      </w:r>
      <w:r>
        <w:rPr>
          <w:rFonts w:hint="eastAsia" w:ascii="宋体" w:hAnsi="宋体" w:eastAsia="宋体" w:cs="宋体"/>
          <w:color w:val="auto"/>
          <w:sz w:val="21"/>
          <w:szCs w:val="21"/>
          <w:highlight w:val="none"/>
          <w:u w:val="none"/>
        </w:rPr>
        <w:t>分公司（南宁市江南区亭江路</w:t>
      </w:r>
      <w:r>
        <w:rPr>
          <w:rFonts w:hint="eastAsia" w:ascii="宋体" w:hAnsi="宋体" w:eastAsia="宋体" w:cs="宋体"/>
          <w:color w:val="auto"/>
          <w:sz w:val="21"/>
          <w:szCs w:val="21"/>
          <w:highlight w:val="none"/>
          <w:u w:val="none"/>
          <w:lang w:val="en-US" w:eastAsia="zh-CN"/>
        </w:rPr>
        <w:t>75</w:t>
      </w:r>
      <w:r>
        <w:rPr>
          <w:rFonts w:hint="eastAsia" w:ascii="宋体" w:hAnsi="宋体" w:eastAsia="宋体" w:cs="宋体"/>
          <w:color w:val="auto"/>
          <w:sz w:val="21"/>
          <w:szCs w:val="21"/>
          <w:highlight w:val="none"/>
          <w:u w:val="none"/>
        </w:rPr>
        <w:t>号东穗酒店三楼301开标室）。</w:t>
      </w:r>
    </w:p>
    <w:p w14:paraId="5CCF2032">
      <w:pPr>
        <w:pageBreakBefore w:val="0"/>
        <w:widowControl w:val="0"/>
        <w:kinsoku/>
        <w:wordWrap w:val="0"/>
        <w:overflowPunct/>
        <w:topLinePunct/>
        <w:autoSpaceDE/>
        <w:autoSpaceDN/>
        <w:bidi w:val="0"/>
        <w:adjustRightInd/>
        <w:spacing w:line="400" w:lineRule="exact"/>
        <w:ind w:firstLine="420" w:firstLineChars="200"/>
        <w:jc w:val="both"/>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注：供应商必须在首次响应文件提交截止时间前，将响应文件密封送达首次响应文件提交地点。在首次响应文件提交截止时间后送达的响应文件为无效文件，采购代理机构应当拒收。</w:t>
      </w:r>
    </w:p>
    <w:p w14:paraId="74CA8A9A">
      <w:pPr>
        <w:pStyle w:val="4"/>
        <w:pageBreakBefore w:val="0"/>
        <w:widowControl w:val="0"/>
        <w:kinsoku/>
        <w:overflowPunct/>
        <w:autoSpaceDE/>
        <w:autoSpaceDN/>
        <w:bidi w:val="0"/>
        <w:adjustRightInd/>
        <w:spacing w:before="0" w:after="0" w:line="400" w:lineRule="exact"/>
        <w:ind w:firstLine="422" w:firstLineChars="200"/>
        <w:jc w:val="both"/>
        <w:textAlignment w:val="auto"/>
        <w:rPr>
          <w:rFonts w:hint="eastAsia" w:ascii="宋体" w:hAnsi="宋体" w:eastAsia="宋体" w:cs="宋体"/>
          <w:bCs w:val="0"/>
          <w:color w:val="auto"/>
          <w:sz w:val="21"/>
          <w:szCs w:val="21"/>
          <w:highlight w:val="none"/>
        </w:rPr>
      </w:pPr>
      <w:bookmarkStart w:id="24" w:name="_Toc35393633"/>
      <w:bookmarkStart w:id="25" w:name="_Toc35393802"/>
      <w:bookmarkStart w:id="26" w:name="_Toc28359016"/>
      <w:bookmarkStart w:id="27" w:name="_Toc44229882"/>
      <w:bookmarkStart w:id="28" w:name="_Toc28359093"/>
      <w:r>
        <w:rPr>
          <w:rFonts w:hint="eastAsia" w:ascii="宋体" w:hAnsi="宋体" w:eastAsia="宋体" w:cs="宋体"/>
          <w:bCs w:val="0"/>
          <w:color w:val="auto"/>
          <w:sz w:val="21"/>
          <w:szCs w:val="21"/>
          <w:highlight w:val="none"/>
        </w:rPr>
        <w:t>五、开启</w:t>
      </w:r>
      <w:bookmarkEnd w:id="24"/>
      <w:bookmarkEnd w:id="25"/>
      <w:bookmarkEnd w:id="26"/>
      <w:bookmarkEnd w:id="27"/>
      <w:bookmarkEnd w:id="28"/>
    </w:p>
    <w:p w14:paraId="7CA0DDE9">
      <w:pPr>
        <w:pageBreakBefore w:val="0"/>
        <w:widowControl w:val="0"/>
        <w:kinsoku/>
        <w:overflowPunct/>
        <w:autoSpaceDE/>
        <w:autoSpaceDN/>
        <w:bidi w:val="0"/>
        <w:adjustRightInd/>
        <w:spacing w:line="400" w:lineRule="exact"/>
        <w:ind w:firstLine="420" w:firstLineChars="200"/>
        <w:jc w:val="both"/>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1.时间：</w:t>
      </w:r>
      <w:r>
        <w:rPr>
          <w:rFonts w:hint="eastAsia" w:ascii="宋体" w:hAnsi="宋体" w:eastAsia="宋体" w:cs="宋体"/>
          <w:bCs/>
          <w:color w:val="auto"/>
          <w:sz w:val="21"/>
          <w:szCs w:val="21"/>
          <w:highlight w:val="none"/>
          <w:u w:val="single"/>
        </w:rPr>
        <w:t>202</w:t>
      </w:r>
      <w:r>
        <w:rPr>
          <w:rFonts w:hint="eastAsia" w:ascii="宋体" w:hAnsi="宋体" w:eastAsia="宋体" w:cs="宋体"/>
          <w:bCs/>
          <w:color w:val="auto"/>
          <w:sz w:val="21"/>
          <w:szCs w:val="21"/>
          <w:highlight w:val="none"/>
          <w:u w:val="single"/>
          <w:lang w:val="en-US" w:eastAsia="zh-CN"/>
        </w:rPr>
        <w:t>6</w:t>
      </w:r>
      <w:r>
        <w:rPr>
          <w:rFonts w:hint="eastAsia" w:ascii="宋体" w:hAnsi="宋体" w:eastAsia="宋体" w:cs="宋体"/>
          <w:bCs/>
          <w:color w:val="auto"/>
          <w:sz w:val="21"/>
          <w:szCs w:val="21"/>
          <w:highlight w:val="none"/>
          <w:u w:val="single"/>
        </w:rPr>
        <w:t>年</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月</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日9时30分</w:t>
      </w:r>
      <w:r>
        <w:rPr>
          <w:rFonts w:hint="eastAsia" w:ascii="宋体" w:hAnsi="宋体" w:eastAsia="宋体" w:cs="宋体"/>
          <w:bCs/>
          <w:color w:val="auto"/>
          <w:sz w:val="21"/>
          <w:szCs w:val="21"/>
          <w:highlight w:val="none"/>
        </w:rPr>
        <w:t>（北京时间）</w:t>
      </w:r>
      <w:r>
        <w:rPr>
          <w:rFonts w:hint="eastAsia" w:ascii="宋体" w:hAnsi="宋体" w:eastAsia="宋体" w:cs="宋体"/>
          <w:color w:val="auto"/>
          <w:sz w:val="21"/>
          <w:szCs w:val="21"/>
          <w:highlight w:val="none"/>
        </w:rPr>
        <w:t>后</w:t>
      </w:r>
    </w:p>
    <w:p w14:paraId="73801511">
      <w:pPr>
        <w:pageBreakBefore w:val="0"/>
        <w:widowControl w:val="0"/>
        <w:kinsoku/>
        <w:overflowPunct/>
        <w:autoSpaceDE/>
        <w:autoSpaceDN/>
        <w:bidi w:val="0"/>
        <w:adjustRightInd/>
        <w:spacing w:line="400" w:lineRule="exact"/>
        <w:ind w:firstLine="420" w:firstLineChars="200"/>
        <w:jc w:val="both"/>
        <w:textAlignment w:val="auto"/>
        <w:rPr>
          <w:rFonts w:hint="eastAsia" w:ascii="宋体" w:hAnsi="宋体" w:eastAsia="宋体" w:cs="宋体"/>
          <w:bCs/>
          <w:color w:val="auto"/>
          <w:sz w:val="21"/>
          <w:szCs w:val="21"/>
          <w:highlight w:val="none"/>
          <w:u w:val="none"/>
          <w:lang w:eastAsia="zh-CN"/>
        </w:rPr>
      </w:pPr>
      <w:r>
        <w:rPr>
          <w:rFonts w:hint="eastAsia" w:ascii="宋体" w:hAnsi="宋体" w:eastAsia="宋体" w:cs="宋体"/>
          <w:color w:val="auto"/>
          <w:sz w:val="21"/>
          <w:szCs w:val="21"/>
          <w:highlight w:val="none"/>
        </w:rPr>
        <w:t>2.地点：</w:t>
      </w:r>
      <w:r>
        <w:rPr>
          <w:rFonts w:hint="eastAsia" w:ascii="宋体" w:hAnsi="宋体" w:eastAsia="宋体" w:cs="宋体"/>
          <w:color w:val="auto"/>
          <w:sz w:val="21"/>
          <w:szCs w:val="21"/>
          <w:highlight w:val="none"/>
          <w:u w:val="none"/>
          <w:lang w:eastAsia="zh-CN"/>
        </w:rPr>
        <w:t>中天昊建设管理集团股份有限公司</w:t>
      </w:r>
      <w:r>
        <w:rPr>
          <w:rFonts w:hint="eastAsia" w:ascii="宋体" w:hAnsi="宋体" w:eastAsia="宋体" w:cs="宋体"/>
          <w:color w:val="auto"/>
          <w:sz w:val="21"/>
          <w:szCs w:val="21"/>
          <w:highlight w:val="none"/>
          <w:u w:val="none"/>
        </w:rPr>
        <w:t>广西</w:t>
      </w:r>
      <w:r>
        <w:rPr>
          <w:rFonts w:hint="eastAsia" w:ascii="宋体" w:hAnsi="宋体" w:eastAsia="宋体" w:cs="宋体"/>
          <w:color w:val="auto"/>
          <w:sz w:val="21"/>
          <w:szCs w:val="21"/>
          <w:highlight w:val="none"/>
          <w:u w:val="none"/>
          <w:lang w:eastAsia="zh-CN"/>
        </w:rPr>
        <w:t>第一</w:t>
      </w:r>
      <w:r>
        <w:rPr>
          <w:rFonts w:hint="eastAsia" w:ascii="宋体" w:hAnsi="宋体" w:eastAsia="宋体" w:cs="宋体"/>
          <w:color w:val="auto"/>
          <w:sz w:val="21"/>
          <w:szCs w:val="21"/>
          <w:highlight w:val="none"/>
          <w:u w:val="none"/>
        </w:rPr>
        <w:t>分公司（南宁市江南区亭江路</w:t>
      </w:r>
      <w:r>
        <w:rPr>
          <w:rFonts w:hint="eastAsia" w:ascii="宋体" w:hAnsi="宋体" w:eastAsia="宋体" w:cs="宋体"/>
          <w:color w:val="auto"/>
          <w:sz w:val="21"/>
          <w:szCs w:val="21"/>
          <w:highlight w:val="none"/>
          <w:u w:val="none"/>
          <w:lang w:val="en-US" w:eastAsia="zh-CN"/>
        </w:rPr>
        <w:t>75</w:t>
      </w:r>
      <w:r>
        <w:rPr>
          <w:rFonts w:hint="eastAsia" w:ascii="宋体" w:hAnsi="宋体" w:eastAsia="宋体" w:cs="宋体"/>
          <w:color w:val="auto"/>
          <w:sz w:val="21"/>
          <w:szCs w:val="21"/>
          <w:highlight w:val="none"/>
          <w:u w:val="none"/>
        </w:rPr>
        <w:t>号东穗酒店三楼301开标室）</w:t>
      </w:r>
    </w:p>
    <w:p w14:paraId="5390B860">
      <w:pPr>
        <w:pStyle w:val="4"/>
        <w:pageBreakBefore w:val="0"/>
        <w:widowControl w:val="0"/>
        <w:kinsoku/>
        <w:overflowPunct/>
        <w:autoSpaceDE/>
        <w:autoSpaceDN/>
        <w:bidi w:val="0"/>
        <w:adjustRightInd/>
        <w:spacing w:before="0" w:after="0" w:line="400" w:lineRule="exact"/>
        <w:ind w:firstLine="422" w:firstLineChars="200"/>
        <w:jc w:val="both"/>
        <w:textAlignment w:val="auto"/>
        <w:rPr>
          <w:rFonts w:hint="eastAsia" w:ascii="宋体" w:hAnsi="宋体" w:eastAsia="宋体" w:cs="宋体"/>
          <w:bCs w:val="0"/>
          <w:color w:val="auto"/>
          <w:sz w:val="21"/>
          <w:szCs w:val="21"/>
          <w:highlight w:val="none"/>
          <w:u w:val="none"/>
        </w:rPr>
      </w:pPr>
      <w:bookmarkStart w:id="29" w:name="_Toc35393803"/>
      <w:bookmarkStart w:id="30" w:name="_Toc28359017"/>
      <w:bookmarkStart w:id="31" w:name="_Toc44229883"/>
      <w:bookmarkStart w:id="32" w:name="_Toc28359094"/>
      <w:bookmarkStart w:id="33" w:name="_Toc35393634"/>
      <w:r>
        <w:rPr>
          <w:rFonts w:hint="eastAsia" w:ascii="宋体" w:hAnsi="宋体" w:eastAsia="宋体" w:cs="宋体"/>
          <w:bCs w:val="0"/>
          <w:color w:val="auto"/>
          <w:sz w:val="21"/>
          <w:szCs w:val="21"/>
          <w:highlight w:val="none"/>
          <w:u w:val="none"/>
        </w:rPr>
        <w:t>六、公告期限</w:t>
      </w:r>
      <w:bookmarkEnd w:id="29"/>
      <w:bookmarkEnd w:id="30"/>
      <w:bookmarkEnd w:id="31"/>
      <w:bookmarkEnd w:id="32"/>
      <w:bookmarkEnd w:id="33"/>
    </w:p>
    <w:p w14:paraId="01B843ED">
      <w:pPr>
        <w:pageBreakBefore w:val="0"/>
        <w:widowControl w:val="0"/>
        <w:kinsoku/>
        <w:overflowPunct/>
        <w:autoSpaceDE/>
        <w:autoSpaceDN/>
        <w:bidi w:val="0"/>
        <w:adjustRightInd/>
        <w:spacing w:line="400" w:lineRule="exact"/>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个工作日。</w:t>
      </w:r>
    </w:p>
    <w:p w14:paraId="5B8EB202">
      <w:pPr>
        <w:pStyle w:val="4"/>
        <w:pageBreakBefore w:val="0"/>
        <w:widowControl w:val="0"/>
        <w:kinsoku/>
        <w:overflowPunct/>
        <w:autoSpaceDE/>
        <w:autoSpaceDN/>
        <w:bidi w:val="0"/>
        <w:adjustRightInd/>
        <w:spacing w:before="0" w:after="0" w:line="400" w:lineRule="exact"/>
        <w:ind w:firstLine="422" w:firstLineChars="200"/>
        <w:jc w:val="both"/>
        <w:textAlignment w:val="auto"/>
        <w:rPr>
          <w:rFonts w:hint="eastAsia" w:ascii="宋体" w:hAnsi="宋体" w:eastAsia="宋体" w:cs="宋体"/>
          <w:bCs w:val="0"/>
          <w:color w:val="auto"/>
          <w:sz w:val="21"/>
          <w:szCs w:val="21"/>
          <w:highlight w:val="none"/>
        </w:rPr>
      </w:pPr>
      <w:bookmarkStart w:id="34" w:name="_Toc44229884"/>
      <w:bookmarkStart w:id="35" w:name="_Toc35393635"/>
      <w:bookmarkStart w:id="36" w:name="_Toc35393804"/>
      <w:r>
        <w:rPr>
          <w:rFonts w:hint="eastAsia" w:ascii="宋体" w:hAnsi="宋体" w:eastAsia="宋体" w:cs="宋体"/>
          <w:bCs w:val="0"/>
          <w:color w:val="auto"/>
          <w:sz w:val="21"/>
          <w:szCs w:val="21"/>
          <w:highlight w:val="none"/>
        </w:rPr>
        <w:t>七、其他补充事宜</w:t>
      </w:r>
      <w:bookmarkEnd w:id="34"/>
      <w:bookmarkEnd w:id="35"/>
      <w:bookmarkEnd w:id="36"/>
    </w:p>
    <w:p w14:paraId="2B80C602">
      <w:pPr>
        <w:pageBreakBefore w:val="0"/>
        <w:widowControl w:val="0"/>
        <w:kinsoku/>
        <w:overflowPunct/>
        <w:autoSpaceDE/>
        <w:autoSpaceDN/>
        <w:bidi w:val="0"/>
        <w:adjustRightInd/>
        <w:spacing w:line="400" w:lineRule="exact"/>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1.磋商保证金：</w:t>
      </w:r>
    </w:p>
    <w:p w14:paraId="43A74DD6">
      <w:pPr>
        <w:pageBreakBefore w:val="0"/>
        <w:widowControl w:val="0"/>
        <w:kinsoku/>
        <w:overflowPunct/>
        <w:autoSpaceDE/>
        <w:autoSpaceDN/>
        <w:bidi w:val="0"/>
        <w:adjustRightInd/>
        <w:spacing w:line="400" w:lineRule="exact"/>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磋商保证金</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人民币</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u w:val="single"/>
          <w:lang w:val="en-US" w:eastAsia="zh-CN"/>
        </w:rPr>
        <w:t>玖仟捌佰元整</w:t>
      </w:r>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lang w:val="en-US" w:eastAsia="zh-CN"/>
        </w:rPr>
        <w:t>9800</w:t>
      </w:r>
      <w:r>
        <w:rPr>
          <w:rFonts w:hint="eastAsia" w:ascii="宋体" w:hAnsi="宋体" w:cs="宋体"/>
          <w:color w:val="auto"/>
          <w:kern w:val="0"/>
          <w:sz w:val="21"/>
          <w:szCs w:val="21"/>
          <w:highlight w:val="none"/>
          <w:u w:val="single"/>
        </w:rPr>
        <w:t>.00）</w:t>
      </w:r>
      <w:r>
        <w:rPr>
          <w:rFonts w:hint="eastAsia" w:ascii="宋体" w:hAnsi="宋体" w:eastAsia="宋体" w:cs="宋体"/>
          <w:color w:val="auto"/>
          <w:kern w:val="0"/>
          <w:sz w:val="21"/>
          <w:szCs w:val="21"/>
          <w:highlight w:val="none"/>
        </w:rPr>
        <w:t>。</w:t>
      </w:r>
      <w:r>
        <w:rPr>
          <w:rFonts w:hint="eastAsia" w:ascii="宋体" w:hAnsi="宋体" w:cs="宋体"/>
          <w:b/>
          <w:bCs/>
          <w:color w:val="auto"/>
          <w:kern w:val="0"/>
          <w:szCs w:val="21"/>
          <w:highlight w:val="none"/>
        </w:rPr>
        <w:t>（必须足额</w:t>
      </w:r>
      <w:r>
        <w:rPr>
          <w:rFonts w:hint="eastAsia" w:ascii="宋体" w:hAnsi="宋体" w:cs="宋体"/>
          <w:b/>
          <w:bCs/>
          <w:color w:val="auto"/>
          <w:kern w:val="0"/>
          <w:szCs w:val="21"/>
          <w:highlight w:val="none"/>
          <w:lang w:val="en-US" w:eastAsia="zh-CN"/>
        </w:rPr>
        <w:t>缴纳，交纳注意事项详见供应商须知前附表。</w:t>
      </w:r>
      <w:r>
        <w:rPr>
          <w:rFonts w:hint="eastAsia" w:ascii="宋体" w:hAnsi="宋体" w:cs="宋体"/>
          <w:b/>
          <w:bCs/>
          <w:color w:val="auto"/>
          <w:kern w:val="0"/>
          <w:szCs w:val="21"/>
          <w:highlight w:val="none"/>
        </w:rPr>
        <w:t>）</w:t>
      </w:r>
    </w:p>
    <w:p w14:paraId="720CF1AB">
      <w:pPr>
        <w:pageBreakBefore w:val="0"/>
        <w:widowControl w:val="0"/>
        <w:kinsoku/>
        <w:overflowPunct/>
        <w:autoSpaceDE/>
        <w:autoSpaceDN/>
        <w:bidi w:val="0"/>
        <w:adjustRightInd/>
        <w:spacing w:line="400" w:lineRule="exac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2.网上查询地址</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sz w:val="21"/>
          <w:szCs w:val="21"/>
          <w:highlight w:val="none"/>
        </w:rPr>
        <w:t>采购与招标网（www.chinabidding.com.cn）、广西壮族自治区生态环境厅网站（http://sthjt.gxzf.gov.cn/）</w:t>
      </w:r>
      <w:r>
        <w:rPr>
          <w:rFonts w:hint="eastAsia" w:ascii="宋体" w:hAnsi="宋体" w:eastAsia="宋体" w:cs="宋体"/>
          <w:color w:val="auto"/>
          <w:sz w:val="21"/>
          <w:szCs w:val="21"/>
          <w:highlight w:val="none"/>
          <w:lang w:eastAsia="zh-CN"/>
        </w:rPr>
        <w:t>。</w:t>
      </w:r>
    </w:p>
    <w:p w14:paraId="199AB042">
      <w:pPr>
        <w:pStyle w:val="4"/>
        <w:pageBreakBefore w:val="0"/>
        <w:widowControl w:val="0"/>
        <w:kinsoku/>
        <w:overflowPunct/>
        <w:autoSpaceDE/>
        <w:autoSpaceDN/>
        <w:bidi w:val="0"/>
        <w:adjustRightInd/>
        <w:spacing w:before="0" w:after="0" w:line="400" w:lineRule="exact"/>
        <w:ind w:firstLine="422" w:firstLineChars="200"/>
        <w:jc w:val="both"/>
        <w:textAlignment w:val="auto"/>
        <w:rPr>
          <w:rFonts w:hint="eastAsia" w:ascii="宋体" w:hAnsi="宋体" w:eastAsia="宋体" w:cs="宋体"/>
          <w:bCs w:val="0"/>
          <w:color w:val="auto"/>
          <w:sz w:val="21"/>
          <w:szCs w:val="21"/>
          <w:highlight w:val="none"/>
        </w:rPr>
      </w:pPr>
      <w:bookmarkStart w:id="37" w:name="_Toc28359018"/>
      <w:bookmarkStart w:id="38" w:name="_Toc35393636"/>
      <w:bookmarkStart w:id="39" w:name="_Toc44229885"/>
      <w:bookmarkStart w:id="40" w:name="_Toc35393805"/>
      <w:bookmarkStart w:id="41" w:name="_Toc28359095"/>
      <w:r>
        <w:rPr>
          <w:rFonts w:hint="eastAsia" w:ascii="宋体" w:hAnsi="宋体" w:eastAsia="宋体" w:cs="宋体"/>
          <w:bCs w:val="0"/>
          <w:color w:val="auto"/>
          <w:sz w:val="21"/>
          <w:szCs w:val="21"/>
          <w:highlight w:val="none"/>
        </w:rPr>
        <w:t>八、凡对本次采购提出询问，请按以下方式联系。</w:t>
      </w:r>
      <w:bookmarkEnd w:id="37"/>
      <w:bookmarkEnd w:id="38"/>
      <w:bookmarkEnd w:id="39"/>
      <w:bookmarkEnd w:id="40"/>
      <w:bookmarkEnd w:id="41"/>
    </w:p>
    <w:p w14:paraId="279A8022">
      <w:pPr>
        <w:pageBreakBefore w:val="0"/>
        <w:widowControl w:val="0"/>
        <w:kinsoku/>
        <w:overflowPunct/>
        <w:autoSpaceDE/>
        <w:autoSpaceDN/>
        <w:bidi w:val="0"/>
        <w:adjustRightInd/>
        <w:spacing w:line="400" w:lineRule="exact"/>
        <w:ind w:firstLine="420" w:firstLineChars="200"/>
        <w:jc w:val="both"/>
        <w:textAlignment w:val="auto"/>
        <w:rPr>
          <w:rFonts w:hint="eastAsia" w:ascii="宋体" w:hAnsi="宋体" w:eastAsia="宋体" w:cs="宋体"/>
          <w:color w:val="auto"/>
          <w:kern w:val="0"/>
          <w:sz w:val="21"/>
          <w:szCs w:val="21"/>
          <w:highlight w:val="none"/>
        </w:rPr>
      </w:pPr>
      <w:bookmarkStart w:id="42" w:name="_Toc35393637"/>
      <w:bookmarkStart w:id="43" w:name="_Toc28359019"/>
      <w:bookmarkStart w:id="44" w:name="_Toc35393806"/>
      <w:bookmarkStart w:id="45" w:name="_Toc28359096"/>
      <w:r>
        <w:rPr>
          <w:rFonts w:hint="eastAsia" w:ascii="宋体" w:hAnsi="宋体" w:eastAsia="宋体" w:cs="宋体"/>
          <w:color w:val="auto"/>
          <w:kern w:val="0"/>
          <w:sz w:val="21"/>
          <w:szCs w:val="21"/>
          <w:highlight w:val="none"/>
        </w:rPr>
        <w:t>1.采购人信息</w:t>
      </w:r>
      <w:bookmarkEnd w:id="42"/>
      <w:bookmarkEnd w:id="43"/>
      <w:bookmarkEnd w:id="44"/>
      <w:bookmarkEnd w:id="45"/>
    </w:p>
    <w:p w14:paraId="136D35A0">
      <w:pPr>
        <w:pageBreakBefore w:val="0"/>
        <w:widowControl w:val="0"/>
        <w:kinsoku/>
        <w:overflowPunct/>
        <w:autoSpaceDE/>
        <w:autoSpaceDN/>
        <w:bidi w:val="0"/>
        <w:adjustRightInd/>
        <w:spacing w:line="400" w:lineRule="exact"/>
        <w:ind w:left="420" w:left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color w:val="auto"/>
          <w:sz w:val="21"/>
          <w:szCs w:val="21"/>
          <w:highlight w:val="none"/>
        </w:rPr>
        <w:t>广西壮族自治区生态环境厅</w:t>
      </w:r>
    </w:p>
    <w:p w14:paraId="40B05452">
      <w:pPr>
        <w:pageBreakBefore w:val="0"/>
        <w:widowControl w:val="0"/>
        <w:kinsoku/>
        <w:overflowPunct/>
        <w:autoSpaceDE/>
        <w:autoSpaceDN/>
        <w:bidi w:val="0"/>
        <w:adjustRightInd/>
        <w:spacing w:line="400" w:lineRule="exact"/>
        <w:ind w:left="420" w:left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eastAsia="zh-CN"/>
        </w:rPr>
        <w:t>南宁市</w:t>
      </w:r>
      <w:r>
        <w:rPr>
          <w:rFonts w:hint="eastAsia" w:ascii="宋体" w:hAnsi="宋体" w:eastAsia="宋体" w:cs="宋体"/>
          <w:color w:val="auto"/>
          <w:sz w:val="21"/>
          <w:szCs w:val="21"/>
          <w:highlight w:val="none"/>
        </w:rPr>
        <w:t>青秀区</w:t>
      </w:r>
      <w:r>
        <w:rPr>
          <w:rFonts w:hint="eastAsia" w:ascii="宋体" w:hAnsi="宋体" w:eastAsia="宋体" w:cs="宋体"/>
          <w:color w:val="auto"/>
          <w:sz w:val="21"/>
          <w:szCs w:val="21"/>
          <w:highlight w:val="none"/>
          <w:lang w:eastAsia="zh-CN"/>
        </w:rPr>
        <w:t>佛子岭路16号</w:t>
      </w:r>
    </w:p>
    <w:p w14:paraId="7A5D101E">
      <w:pPr>
        <w:pageBreakBefore w:val="0"/>
        <w:widowControl w:val="0"/>
        <w:kinsoku/>
        <w:overflowPunct/>
        <w:autoSpaceDE/>
        <w:autoSpaceDN/>
        <w:bidi w:val="0"/>
        <w:adjustRightInd/>
        <w:spacing w:line="400" w:lineRule="exact"/>
        <w:ind w:left="420" w:left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en-US" w:eastAsia="zh-CN"/>
        </w:rPr>
        <w:t>吕工</w:t>
      </w:r>
      <w:r>
        <w:rPr>
          <w:rFonts w:hint="eastAsia" w:ascii="宋体" w:hAnsi="宋体" w:eastAsia="宋体" w:cs="宋体"/>
          <w:color w:val="auto"/>
          <w:sz w:val="21"/>
          <w:szCs w:val="21"/>
          <w:highlight w:val="none"/>
          <w:shd w:val="clear" w:color="auto" w:fill="FFFFFF"/>
        </w:rPr>
        <w:t>；联系电话：</w:t>
      </w:r>
      <w:r>
        <w:rPr>
          <w:rFonts w:hint="eastAsia" w:ascii="宋体" w:hAnsi="宋体" w:eastAsia="宋体" w:cs="宋体"/>
          <w:color w:val="auto"/>
          <w:sz w:val="21"/>
          <w:szCs w:val="21"/>
          <w:highlight w:val="none"/>
          <w:shd w:val="clear" w:color="auto" w:fill="FFFFFF"/>
          <w:lang w:val="en-US" w:eastAsia="zh-CN"/>
        </w:rPr>
        <w:t>0771-5318290</w:t>
      </w:r>
    </w:p>
    <w:p w14:paraId="4CA22EC4">
      <w:pPr>
        <w:pageBreakBefore w:val="0"/>
        <w:widowControl w:val="0"/>
        <w:kinsoku/>
        <w:overflowPunct/>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2.代理机构：</w:t>
      </w:r>
      <w:r>
        <w:rPr>
          <w:rFonts w:hint="eastAsia" w:ascii="宋体" w:hAnsi="宋体" w:eastAsia="宋体" w:cs="宋体"/>
          <w:color w:val="auto"/>
          <w:sz w:val="21"/>
          <w:szCs w:val="21"/>
          <w:highlight w:val="none"/>
          <w:lang w:eastAsia="zh-CN"/>
        </w:rPr>
        <w:t>中天昊建设管理集团股份有限公司</w:t>
      </w:r>
    </w:p>
    <w:p w14:paraId="13A4793D">
      <w:pPr>
        <w:pageBreakBefore w:val="0"/>
        <w:widowControl w:val="0"/>
        <w:kinsoku/>
        <w:overflowPunct/>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none"/>
        </w:rPr>
        <w:t>南宁市江南区亭江路</w:t>
      </w:r>
      <w:r>
        <w:rPr>
          <w:rFonts w:hint="eastAsia" w:ascii="宋体" w:hAnsi="宋体" w:eastAsia="宋体" w:cs="宋体"/>
          <w:color w:val="auto"/>
          <w:sz w:val="21"/>
          <w:szCs w:val="21"/>
          <w:highlight w:val="none"/>
          <w:u w:val="none"/>
          <w:lang w:eastAsia="zh-CN"/>
        </w:rPr>
        <w:t>75</w:t>
      </w:r>
      <w:r>
        <w:rPr>
          <w:rFonts w:hint="eastAsia" w:ascii="宋体" w:hAnsi="宋体" w:eastAsia="宋体" w:cs="宋体"/>
          <w:color w:val="auto"/>
          <w:sz w:val="21"/>
          <w:szCs w:val="21"/>
          <w:highlight w:val="none"/>
          <w:u w:val="none"/>
        </w:rPr>
        <w:t>号东穗酒店三楼301</w:t>
      </w:r>
      <w:r>
        <w:rPr>
          <w:rFonts w:hint="eastAsia" w:ascii="宋体" w:hAnsi="宋体" w:eastAsia="宋体" w:cs="宋体"/>
          <w:color w:val="auto"/>
          <w:sz w:val="21"/>
          <w:szCs w:val="21"/>
          <w:highlight w:val="none"/>
          <w:u w:val="none"/>
          <w:lang w:eastAsia="zh-CN"/>
        </w:rPr>
        <w:t>办公室</w:t>
      </w:r>
    </w:p>
    <w:p w14:paraId="2CF79870">
      <w:pPr>
        <w:pageBreakBefore w:val="0"/>
        <w:widowControl w:val="0"/>
        <w:kinsoku/>
        <w:overflowPunct/>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朱秋玲</w:t>
      </w:r>
      <w:r>
        <w:rPr>
          <w:rFonts w:hint="eastAsia" w:ascii="宋体" w:hAnsi="宋体" w:eastAsia="宋体" w:cs="宋体"/>
          <w:color w:val="auto"/>
          <w:sz w:val="21"/>
          <w:szCs w:val="21"/>
          <w:highlight w:val="none"/>
        </w:rPr>
        <w:t xml:space="preserve">          联系电话：0771-3126896</w:t>
      </w:r>
    </w:p>
    <w:p w14:paraId="6032034B">
      <w:pPr>
        <w:pageBreakBefore w:val="0"/>
        <w:widowControl w:val="0"/>
        <w:kinsoku/>
        <w:overflowPunct/>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p>
    <w:p w14:paraId="456AB111">
      <w:pPr>
        <w:pageBreakBefore w:val="0"/>
        <w:widowControl w:val="0"/>
        <w:kinsoku/>
        <w:overflowPunct/>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eastAsia="zh-CN"/>
        </w:rPr>
        <w:t>朱秋玲</w:t>
      </w:r>
      <w:r>
        <w:rPr>
          <w:rFonts w:hint="eastAsia" w:ascii="宋体" w:hAnsi="宋体" w:eastAsia="宋体" w:cs="宋体"/>
          <w:color w:val="auto"/>
          <w:sz w:val="21"/>
          <w:szCs w:val="21"/>
          <w:highlight w:val="none"/>
        </w:rPr>
        <w:t xml:space="preserve">          联系电话：0771-3126896</w:t>
      </w:r>
      <w:r>
        <w:rPr>
          <w:rFonts w:hint="eastAsia" w:ascii="宋体" w:hAnsi="宋体" w:eastAsia="宋体" w:cs="宋体"/>
          <w:color w:val="auto"/>
          <w:kern w:val="0"/>
          <w:sz w:val="21"/>
          <w:szCs w:val="21"/>
          <w:highlight w:val="none"/>
        </w:rPr>
        <w:t xml:space="preserve">  </w:t>
      </w:r>
    </w:p>
    <w:bookmarkEnd w:id="7"/>
    <w:p w14:paraId="7A4E78C8">
      <w:pPr>
        <w:pageBreakBefore w:val="0"/>
        <w:widowControl w:val="0"/>
        <w:kinsoku/>
        <w:overflowPunct/>
        <w:autoSpaceDE/>
        <w:autoSpaceDN/>
        <w:bidi w:val="0"/>
        <w:adjustRightInd/>
        <w:spacing w:line="400" w:lineRule="exact"/>
        <w:jc w:val="both"/>
        <w:textAlignment w:val="auto"/>
        <w:rPr>
          <w:rFonts w:hint="eastAsia" w:ascii="宋体" w:hAnsi="宋体" w:eastAsia="宋体" w:cs="宋体"/>
          <w:color w:val="auto"/>
          <w:sz w:val="21"/>
          <w:szCs w:val="21"/>
          <w:highlight w:val="none"/>
        </w:rPr>
      </w:pPr>
    </w:p>
    <w:p w14:paraId="77648C79">
      <w:pPr>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p w14:paraId="4EEACF84">
      <w:pPr>
        <w:pStyle w:val="2"/>
        <w:rPr>
          <w:rFonts w:hint="eastAsia" w:ascii="宋体" w:hAnsi="宋体" w:eastAsia="宋体" w:cs="宋体"/>
          <w:color w:val="auto"/>
          <w:sz w:val="21"/>
          <w:szCs w:val="21"/>
          <w:highlight w:val="none"/>
        </w:rPr>
      </w:pPr>
    </w:p>
    <w:p w14:paraId="00732253">
      <w:pPr>
        <w:rPr>
          <w:rFonts w:hint="eastAsia"/>
          <w:color w:val="auto"/>
          <w:sz w:val="21"/>
          <w:szCs w:val="21"/>
          <w:highlight w:val="none"/>
          <w:lang w:eastAsia="zh-CN"/>
        </w:rPr>
      </w:pPr>
      <w:r>
        <w:rPr>
          <w:rFonts w:hint="eastAsia"/>
          <w:color w:val="auto"/>
          <w:sz w:val="21"/>
          <w:szCs w:val="21"/>
          <w:highlight w:val="none"/>
          <w:lang w:eastAsia="zh-CN"/>
        </w:rPr>
        <w:br w:type="page"/>
      </w:r>
    </w:p>
    <w:p w14:paraId="4217B972">
      <w:pPr>
        <w:pStyle w:val="3"/>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color w:val="auto"/>
          <w:sz w:val="21"/>
          <w:szCs w:val="21"/>
          <w:highlight w:val="none"/>
        </w:rPr>
      </w:pPr>
      <w:bookmarkStart w:id="46" w:name="_Toc27292"/>
      <w:bookmarkStart w:id="47" w:name="_Toc5075"/>
      <w:r>
        <w:rPr>
          <w:rFonts w:hint="eastAsia" w:ascii="方正小标宋_GBK" w:hAnsi="方正小标宋_GBK" w:eastAsia="方正小标宋_GBK" w:cs="方正小标宋_GBK"/>
          <w:b w:val="0"/>
          <w:bCs w:val="0"/>
          <w:color w:val="auto"/>
          <w:kern w:val="2"/>
          <w:sz w:val="21"/>
          <w:szCs w:val="21"/>
          <w:highlight w:val="none"/>
          <w:lang w:val="en-US" w:eastAsia="zh-CN" w:bidi="ar-SA"/>
        </w:rPr>
        <w:t>第二章  供应商须知</w:t>
      </w:r>
      <w:bookmarkEnd w:id="46"/>
      <w:bookmarkEnd w:id="47"/>
    </w:p>
    <w:p w14:paraId="23169A17">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color w:val="auto"/>
          <w:sz w:val="21"/>
          <w:szCs w:val="21"/>
          <w:highlight w:val="none"/>
        </w:rPr>
      </w:pPr>
      <w:bookmarkStart w:id="48" w:name="_Toc31253"/>
      <w:r>
        <w:rPr>
          <w:rFonts w:hint="eastAsia"/>
          <w:color w:val="auto"/>
          <w:sz w:val="21"/>
          <w:szCs w:val="21"/>
          <w:highlight w:val="none"/>
        </w:rPr>
        <w:t>供应商须知前附表</w:t>
      </w:r>
      <w:bookmarkEnd w:id="48"/>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312"/>
      </w:tblGrid>
      <w:tr w14:paraId="2178E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60FFCC5D">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8312" w:type="dxa"/>
            <w:noWrap w:val="0"/>
            <w:vAlign w:val="top"/>
          </w:tcPr>
          <w:p w14:paraId="284364FB">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14:paraId="60381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247BFC3">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312" w:type="dxa"/>
            <w:noWrap w:val="0"/>
            <w:vAlign w:val="center"/>
          </w:tcPr>
          <w:p w14:paraId="3C5C9ADA">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供应商的资格条件</w:t>
            </w:r>
            <w:r>
              <w:rPr>
                <w:rFonts w:hint="eastAsia" w:ascii="宋体" w:hAnsi="宋体" w:eastAsia="宋体" w:cs="宋体"/>
                <w:color w:val="auto"/>
                <w:sz w:val="21"/>
                <w:szCs w:val="21"/>
                <w:highlight w:val="none"/>
              </w:rPr>
              <w:t>：详见竞争性磋商公告</w:t>
            </w:r>
          </w:p>
        </w:tc>
      </w:tr>
      <w:tr w14:paraId="647EC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0E9FE1F">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8312" w:type="dxa"/>
            <w:noWrap w:val="0"/>
            <w:vAlign w:val="center"/>
          </w:tcPr>
          <w:p w14:paraId="6089FF23">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是否接受联合体竞标: 详见竞争性磋商公告</w:t>
            </w:r>
          </w:p>
        </w:tc>
      </w:tr>
      <w:tr w14:paraId="34B85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2A7578A">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8312" w:type="dxa"/>
            <w:noWrap w:val="0"/>
            <w:vAlign w:val="center"/>
          </w:tcPr>
          <w:p w14:paraId="6424ADAC">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如接受联合体竞标，联合体竞标要求如下：无</w:t>
            </w:r>
          </w:p>
        </w:tc>
      </w:tr>
      <w:tr w14:paraId="5281B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26AD04E">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8312" w:type="dxa"/>
            <w:noWrap w:val="0"/>
            <w:vAlign w:val="center"/>
          </w:tcPr>
          <w:p w14:paraId="4BB50994">
            <w:pPr>
              <w:pStyle w:val="8"/>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☑不允许分包</w:t>
            </w:r>
          </w:p>
          <w:p w14:paraId="63886B3F">
            <w:pPr>
              <w:pStyle w:val="8"/>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□允许分包</w:t>
            </w:r>
          </w:p>
          <w:p w14:paraId="330D6A31">
            <w:pPr>
              <w:pStyle w:val="8"/>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分包内容：</w:t>
            </w:r>
            <w:r>
              <w:rPr>
                <w:rFonts w:hint="eastAsia" w:ascii="宋体" w:hAnsi="宋体" w:eastAsia="宋体" w:cs="宋体"/>
                <w:color w:val="auto"/>
                <w:sz w:val="21"/>
                <w:szCs w:val="21"/>
                <w:highlight w:val="none"/>
                <w:u w:val="single"/>
              </w:rPr>
              <w:t xml:space="preserve">  /    。</w:t>
            </w:r>
          </w:p>
          <w:p w14:paraId="23FF6A2C">
            <w:pPr>
              <w:pStyle w:val="8"/>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分包金额或者比例：</w:t>
            </w:r>
            <w:r>
              <w:rPr>
                <w:rFonts w:hint="eastAsia" w:ascii="宋体" w:hAnsi="宋体" w:eastAsia="宋体" w:cs="宋体"/>
                <w:color w:val="auto"/>
                <w:sz w:val="21"/>
                <w:szCs w:val="21"/>
                <w:highlight w:val="none"/>
                <w:u w:val="single"/>
              </w:rPr>
              <w:t xml:space="preserve">    /   。</w:t>
            </w:r>
          </w:p>
        </w:tc>
      </w:tr>
      <w:tr w14:paraId="2148E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7B6E6D6">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w:t>
            </w:r>
          </w:p>
        </w:tc>
        <w:tc>
          <w:tcPr>
            <w:tcW w:w="8312" w:type="dxa"/>
            <w:noWrap w:val="0"/>
            <w:vAlign w:val="center"/>
          </w:tcPr>
          <w:p w14:paraId="5294F714">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资格证明文件</w:t>
            </w:r>
          </w:p>
          <w:p w14:paraId="2A6E7397">
            <w:pPr>
              <w:pStyle w:val="8"/>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4F35C53">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2.供应商依法缴纳税收的相关材料（</w:t>
            </w:r>
            <w:bookmarkStart w:id="49" w:name="OLE_LINK10"/>
            <w:r>
              <w:rPr>
                <w:rFonts w:hint="eastAsia" w:ascii="宋体" w:hAnsi="宋体" w:eastAsia="宋体" w:cs="宋体"/>
                <w:color w:val="auto"/>
                <w:sz w:val="21"/>
                <w:szCs w:val="21"/>
                <w:highlight w:val="none"/>
                <w:u w:val="none"/>
                <w:lang w:eastAsia="zh-CN"/>
              </w:rPr>
              <w:t>2025年</w:t>
            </w:r>
            <w:r>
              <w:rPr>
                <w:rFonts w:hint="eastAsia" w:ascii="宋体" w:hAnsi="宋体" w:eastAsia="宋体" w:cs="宋体"/>
                <w:color w:val="auto"/>
                <w:sz w:val="21"/>
                <w:szCs w:val="21"/>
                <w:highlight w:val="none"/>
                <w:u w:val="none"/>
                <w:lang w:val="en-US" w:eastAsia="zh-CN"/>
              </w:rPr>
              <w:t>10月至2026年3月以来任意1</w:t>
            </w:r>
            <w:r>
              <w:rPr>
                <w:rFonts w:hint="eastAsia" w:ascii="宋体" w:hAnsi="宋体" w:eastAsia="宋体" w:cs="宋体"/>
                <w:color w:val="auto"/>
                <w:sz w:val="21"/>
                <w:szCs w:val="21"/>
                <w:highlight w:val="none"/>
                <w:u w:val="none"/>
              </w:rPr>
              <w:t>个月</w:t>
            </w:r>
            <w:bookmarkEnd w:id="49"/>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rPr>
              <w:t>的依法缴纳税收的凭据复印件（如税务部门开具的完税证、银行缴税付款凭证或缴款回单等；如为非税务部门开具的凭证或回单的，应清晰反映：付款人名称、账号，征收机关名称，缴款金额，税种名称，所属时期等内容）。如供应商在</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项目截标前连续三个月零纳税的，应出具截标前半年内的</w:t>
            </w:r>
            <w:r>
              <w:rPr>
                <w:rFonts w:hint="eastAsia" w:ascii="宋体" w:hAnsi="宋体" w:eastAsia="宋体" w:cs="宋体"/>
                <w:color w:val="auto"/>
                <w:sz w:val="21"/>
                <w:szCs w:val="21"/>
                <w:highlight w:val="none"/>
                <w:lang w:val="en-US" w:eastAsia="zh-CN"/>
              </w:rPr>
              <w:t>零申报</w:t>
            </w:r>
            <w:r>
              <w:rPr>
                <w:rFonts w:hint="eastAsia" w:ascii="宋体" w:hAnsi="宋体" w:eastAsia="宋体" w:cs="宋体"/>
                <w:color w:val="auto"/>
                <w:sz w:val="21"/>
                <w:szCs w:val="21"/>
                <w:highlight w:val="none"/>
              </w:rPr>
              <w:t>凭证</w:t>
            </w:r>
            <w:r>
              <w:rPr>
                <w:rFonts w:hint="eastAsia" w:ascii="宋体" w:hAnsi="宋体" w:eastAsia="宋体" w:cs="宋体"/>
                <w:color w:val="auto"/>
                <w:sz w:val="21"/>
                <w:szCs w:val="21"/>
                <w:highlight w:val="none"/>
                <w:lang w:val="en-US" w:eastAsia="zh-CN"/>
              </w:rPr>
              <w:t>或证明材料</w:t>
            </w:r>
            <w:r>
              <w:rPr>
                <w:rFonts w:hint="eastAsia" w:ascii="宋体" w:hAnsi="宋体" w:eastAsia="宋体" w:cs="宋体"/>
                <w:color w:val="auto"/>
                <w:sz w:val="21"/>
                <w:szCs w:val="21"/>
                <w:highlight w:val="none"/>
              </w:rPr>
              <w:t>。依法免税的供应商，必须提供相应文件证明其依法免税。从取得营业执照时间起到首次响应文件提交截止时间为止不足要求月数的，只需提供从取得营业执照起的依法缴纳税收相应证明文件）；（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6858FE4">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3.供应商依法缴纳社会保障资金的相关材料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u w:val="none"/>
                <w:lang w:eastAsia="zh-CN"/>
              </w:rPr>
              <w:t>025年</w:t>
            </w:r>
            <w:r>
              <w:rPr>
                <w:rFonts w:hint="eastAsia" w:ascii="宋体" w:hAnsi="宋体" w:eastAsia="宋体" w:cs="宋体"/>
                <w:color w:val="auto"/>
                <w:sz w:val="21"/>
                <w:szCs w:val="21"/>
                <w:highlight w:val="none"/>
                <w:u w:val="none"/>
                <w:lang w:val="en-US" w:eastAsia="zh-CN"/>
              </w:rPr>
              <w:t>10月至2026年3月以来任意1</w:t>
            </w:r>
            <w:r>
              <w:rPr>
                <w:rFonts w:hint="eastAsia" w:ascii="宋体" w:hAnsi="宋体" w:eastAsia="宋体" w:cs="宋体"/>
                <w:color w:val="auto"/>
                <w:sz w:val="21"/>
                <w:szCs w:val="21"/>
                <w:highlight w:val="none"/>
                <w:u w:val="none"/>
              </w:rPr>
              <w:t>个月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依法缴纳社会保障资金的缴费凭证（专用收据或者社会保险缴纳清单）复印件（如社保部门开具的证明、收款收据等，或银行缴款凭证、回单等；如为非社保部门开具的凭证或回单的，应清晰反映：缴款单位名称、社保单位名称、保险险种名称、缴款金额等内容）；依法不需要缴纳社会保障资金的供应商，必须提供供应商所在地社保部门出具的相应文件证明不需要缴纳社会保障资金或依法免缴社保费证明。从取得营业执照时间起到首次响应文件提交截止时间为止不足要求月数的只需提供从取得营业执照起的依法缴纳社会保障资金的相应证明文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891F7DF">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Hans"/>
              </w:rPr>
              <w:t>供应商</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b w:val="0"/>
                <w:bCs w:val="0"/>
                <w:color w:val="auto"/>
                <w:sz w:val="21"/>
                <w:szCs w:val="21"/>
                <w:highlight w:val="none"/>
                <w:u w:val="single"/>
                <w:lang w:eastAsia="zh-Hans"/>
              </w:rPr>
              <w:t>年</w:t>
            </w:r>
            <w:r>
              <w:rPr>
                <w:rFonts w:hint="eastAsia" w:ascii="宋体" w:hAnsi="宋体" w:eastAsia="宋体" w:cs="宋体"/>
                <w:b w:val="0"/>
                <w:bCs w:val="0"/>
                <w:color w:val="auto"/>
                <w:sz w:val="21"/>
                <w:szCs w:val="21"/>
                <w:highlight w:val="none"/>
                <w:u w:val="single"/>
                <w:lang w:val="en-US" w:eastAsia="zh-CN"/>
              </w:rPr>
              <w:t>或2025年</w:t>
            </w:r>
            <w:r>
              <w:rPr>
                <w:rFonts w:hint="eastAsia" w:ascii="宋体" w:hAnsi="宋体" w:eastAsia="宋体" w:cs="宋体"/>
                <w:color w:val="auto"/>
                <w:sz w:val="21"/>
                <w:szCs w:val="21"/>
                <w:highlight w:val="none"/>
                <w:lang w:eastAsia="zh-Hans"/>
              </w:rPr>
              <w:t>度财务状况报告复印件（供应商是法人的，应提供财务报表（至少包括：资产负债表、利润表、现金流量表），或银行出具的资信证明；对于从成立之日起到提交响应文件截止时间为止不足要求年数的，只需提交成立之日起至最近月份的财务报表。供应商是其他组织和自然人的，提供财务报表或者银行出具的资信证明）</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bCs/>
                <w:color w:val="auto"/>
                <w:sz w:val="21"/>
                <w:szCs w:val="21"/>
                <w:highlight w:val="none"/>
              </w:rPr>
              <w:t>）</w:t>
            </w:r>
          </w:p>
          <w:p w14:paraId="5AE08BC3">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5.供应商直接控股、管理关系信息表（格式后附）；（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63F49FA">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6.竞标声明（格式后附）；（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F59772E">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b/>
                <w:bCs/>
                <w:color w:val="auto"/>
                <w:sz w:val="21"/>
                <w:szCs w:val="21"/>
                <w:highlight w:val="none"/>
                <w:lang w:val="en-US" w:eastAsia="zh-CN"/>
              </w:rPr>
              <w:t>提供</w:t>
            </w:r>
            <w:r>
              <w:rPr>
                <w:rFonts w:hint="eastAsia" w:ascii="宋体" w:hAnsi="宋体" w:eastAsia="宋体" w:cs="宋体"/>
                <w:b/>
                <w:bCs/>
                <w:color w:val="auto"/>
                <w:sz w:val="21"/>
                <w:szCs w:val="21"/>
                <w:highlight w:val="none"/>
              </w:rPr>
              <w:t>中小微企业</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 w:val="21"/>
                <w:szCs w:val="21"/>
                <w:highlight w:val="none"/>
              </w:rPr>
              <w:t>监狱企业</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 w:val="21"/>
                <w:szCs w:val="21"/>
                <w:highlight w:val="none"/>
              </w:rPr>
              <w:t>残疾人福利性单</w:t>
            </w:r>
            <w:r>
              <w:rPr>
                <w:rFonts w:hint="eastAsia" w:ascii="宋体" w:hAnsi="宋体" w:eastAsia="宋体" w:cs="宋体"/>
                <w:b/>
                <w:bCs/>
                <w:color w:val="auto"/>
                <w:sz w:val="21"/>
                <w:szCs w:val="21"/>
                <w:highlight w:val="none"/>
                <w:lang w:val="en-US" w:eastAsia="zh-CN"/>
              </w:rPr>
              <w:t>位证明材料</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73C10A1">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.除磋商文件规定必须提供以外，供应商认为需要提供的其他证明材料</w:t>
            </w:r>
            <w:r>
              <w:rPr>
                <w:rFonts w:hint="eastAsia" w:ascii="宋体" w:hAnsi="宋体" w:eastAsia="宋体" w:cs="宋体"/>
                <w:color w:val="auto"/>
                <w:sz w:val="21"/>
                <w:szCs w:val="21"/>
                <w:highlight w:val="none"/>
                <w:lang w:eastAsia="zh-CN"/>
              </w:rPr>
              <w:t>。</w:t>
            </w:r>
          </w:p>
          <w:p w14:paraId="25EF87EA">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6CAEE725">
            <w:pPr>
              <w:keepNext w:val="0"/>
              <w:keepLines w:val="0"/>
              <w:pageBreakBefore w:val="0"/>
              <w:widowControl w:val="0"/>
              <w:kinsoku/>
              <w:wordWrap/>
              <w:overflowPunct/>
              <w:topLinePunct w:val="0"/>
              <w:bidi w:val="0"/>
              <w:adjustRightInd/>
              <w:snapToGrid w:val="0"/>
              <w:spacing w:line="400" w:lineRule="exact"/>
              <w:ind w:left="0" w:firstLine="413" w:firstLineChars="196"/>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1.以上标明“必须提供”的材料属于复印件的，必须加盖供应商公章，否则响应文件按无效响应处理。</w:t>
            </w:r>
          </w:p>
          <w:p w14:paraId="7D70F4DB">
            <w:pPr>
              <w:keepNext w:val="0"/>
              <w:keepLines w:val="0"/>
              <w:pageBreakBefore w:val="0"/>
              <w:widowControl w:val="0"/>
              <w:kinsoku/>
              <w:wordWrap/>
              <w:overflowPunct/>
              <w:topLinePunct w:val="0"/>
              <w:bidi w:val="0"/>
              <w:adjustRightInd/>
              <w:snapToGrid w:val="0"/>
              <w:spacing w:line="400" w:lineRule="exact"/>
              <w:ind w:left="0"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2.竞标声明必须由法定代表人在规定签章处签字并加盖供应商公章，否则响应文件按无效响应处理。</w:t>
            </w:r>
          </w:p>
          <w:p w14:paraId="2271B1D4">
            <w:pPr>
              <w:keepNext w:val="0"/>
              <w:keepLines w:val="0"/>
              <w:pageBreakBefore w:val="0"/>
              <w:widowControl w:val="0"/>
              <w:kinsoku/>
              <w:wordWrap/>
              <w:overflowPunct/>
              <w:topLinePunct w:val="0"/>
              <w:bidi w:val="0"/>
              <w:adjustRightInd/>
              <w:snapToGrid w:val="0"/>
              <w:spacing w:line="400" w:lineRule="exact"/>
              <w:ind w:left="0"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3.供应商直接控股、管理关系信息表必须由法定代表人或者委托代理人在规定签章处签字并加盖供应商公章，否则响应文件按无效响应处理。</w:t>
            </w:r>
          </w:p>
        </w:tc>
      </w:tr>
      <w:tr w14:paraId="28A2F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ED6257E">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8312" w:type="dxa"/>
            <w:noWrap w:val="0"/>
            <w:vAlign w:val="center"/>
          </w:tcPr>
          <w:p w14:paraId="2C0CB447">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报价商务技术文件</w:t>
            </w:r>
          </w:p>
          <w:p w14:paraId="29AC6124">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1.无串通竞标行为的承诺函（格式后附）；（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0921F31">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2.竞标报价表（格式后附）；（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31D2C32">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3.法定代表人身份证明书及法定代表人有效身份证正反面复印件（格式后附）；（</w:t>
            </w:r>
            <w:r>
              <w:rPr>
                <w:rFonts w:hint="eastAsia" w:ascii="宋体" w:hAnsi="宋体" w:eastAsia="宋体" w:cs="宋体"/>
                <w:b/>
                <w:bCs/>
                <w:color w:val="auto"/>
                <w:sz w:val="21"/>
                <w:szCs w:val="21"/>
                <w:highlight w:val="none"/>
              </w:rPr>
              <w:t>除自然人竞标外</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5BB1BD0">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4.法定代表人授权委托书及委托代理人有效身份证正反面复印件（格式后附）；（</w:t>
            </w:r>
            <w:r>
              <w:rPr>
                <w:rFonts w:hint="eastAsia" w:ascii="宋体" w:hAnsi="宋体" w:eastAsia="宋体" w:cs="宋体"/>
                <w:b/>
                <w:color w:val="auto"/>
                <w:sz w:val="21"/>
                <w:szCs w:val="21"/>
                <w:highlight w:val="none"/>
              </w:rPr>
              <w:t>委托时必须提供，否则响应文件按无效响应处理</w:t>
            </w:r>
            <w:r>
              <w:rPr>
                <w:rFonts w:hint="eastAsia" w:ascii="宋体" w:hAnsi="宋体" w:eastAsia="宋体" w:cs="宋体"/>
                <w:color w:val="auto"/>
                <w:sz w:val="21"/>
                <w:szCs w:val="21"/>
                <w:highlight w:val="none"/>
              </w:rPr>
              <w:t>）</w:t>
            </w:r>
          </w:p>
          <w:p w14:paraId="42CCCE7E">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5.磋商保证金提交凭证复印件；（</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D874AE6">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6.商务条款偏离表（格式后附）；（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1A0E27C">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7.服务需求偏离表（格式后附）；（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25CDD60">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服务方案</w:t>
            </w:r>
            <w:r>
              <w:rPr>
                <w:rFonts w:hint="eastAsia" w:ascii="宋体" w:hAnsi="宋体" w:eastAsia="宋体" w:cs="宋体"/>
                <w:color w:val="auto"/>
                <w:sz w:val="21"/>
                <w:szCs w:val="21"/>
                <w:highlight w:val="none"/>
              </w:rPr>
              <w:t>（根据评分内容自行编制，格式自拟）；（</w:t>
            </w:r>
            <w:r>
              <w:rPr>
                <w:rFonts w:hint="eastAsia" w:ascii="宋体" w:hAnsi="宋体" w:eastAsia="宋体" w:cs="宋体"/>
                <w:b/>
                <w:color w:val="auto"/>
                <w:sz w:val="21"/>
                <w:szCs w:val="21"/>
                <w:highlight w:val="none"/>
              </w:rPr>
              <w:t>如有</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请提供</w:t>
            </w:r>
            <w:r>
              <w:rPr>
                <w:rFonts w:hint="eastAsia" w:ascii="宋体" w:hAnsi="宋体" w:eastAsia="宋体" w:cs="宋体"/>
                <w:color w:val="auto"/>
                <w:sz w:val="21"/>
                <w:szCs w:val="21"/>
                <w:highlight w:val="none"/>
              </w:rPr>
              <w:t>）</w:t>
            </w:r>
          </w:p>
          <w:p w14:paraId="53225A1E">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项目实施人员一览表（根据评分内容自行编制，格式自拟）；（</w:t>
            </w:r>
            <w:r>
              <w:rPr>
                <w:rFonts w:hint="eastAsia" w:ascii="宋体" w:hAnsi="宋体" w:eastAsia="宋体" w:cs="宋体"/>
                <w:b/>
                <w:color w:val="auto"/>
                <w:sz w:val="21"/>
                <w:szCs w:val="21"/>
                <w:highlight w:val="none"/>
              </w:rPr>
              <w:t>如有</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请提供</w:t>
            </w:r>
            <w:r>
              <w:rPr>
                <w:rFonts w:hint="eastAsia" w:ascii="宋体" w:hAnsi="宋体" w:eastAsia="宋体" w:cs="宋体"/>
                <w:color w:val="auto"/>
                <w:sz w:val="21"/>
                <w:szCs w:val="21"/>
                <w:highlight w:val="none"/>
              </w:rPr>
              <w:t xml:space="preserve">） </w:t>
            </w:r>
          </w:p>
          <w:p w14:paraId="7CE1ADE8">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承接过同类服务项目的</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格式自拟）；（</w:t>
            </w:r>
            <w:r>
              <w:rPr>
                <w:rFonts w:hint="eastAsia" w:ascii="宋体" w:hAnsi="宋体" w:eastAsia="宋体" w:cs="宋体"/>
                <w:b/>
                <w:color w:val="auto"/>
                <w:sz w:val="21"/>
                <w:szCs w:val="21"/>
                <w:highlight w:val="none"/>
              </w:rPr>
              <w:t>如有</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请提供</w:t>
            </w:r>
            <w:r>
              <w:rPr>
                <w:rFonts w:hint="eastAsia" w:ascii="宋体" w:hAnsi="宋体" w:eastAsia="宋体" w:cs="宋体"/>
                <w:color w:val="auto"/>
                <w:sz w:val="21"/>
                <w:szCs w:val="21"/>
                <w:highlight w:val="none"/>
              </w:rPr>
              <w:t>）</w:t>
            </w:r>
          </w:p>
          <w:p w14:paraId="7463B6AE">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.供应商认为需要提供的其他有关资料。</w:t>
            </w:r>
          </w:p>
          <w:p w14:paraId="7C959BF7">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注： </w:t>
            </w:r>
          </w:p>
          <w:p w14:paraId="48088D6B">
            <w:pPr>
              <w:keepNext w:val="0"/>
              <w:keepLines w:val="0"/>
              <w:pageBreakBefore w:val="0"/>
              <w:widowControl w:val="0"/>
              <w:kinsoku/>
              <w:wordWrap/>
              <w:overflowPunct/>
              <w:topLinePunct w:val="0"/>
              <w:bidi w:val="0"/>
              <w:adjustRightInd/>
              <w:snapToGrid w:val="0"/>
              <w:spacing w:line="400" w:lineRule="exact"/>
              <w:ind w:left="0" w:firstLine="413" w:firstLineChars="196"/>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1.法定代表人授权委托书必须由法定代表人及委托代理人签字，并加盖供应商公章，否则响应文件按无效响应处理。</w:t>
            </w:r>
          </w:p>
          <w:p w14:paraId="3D8475E7">
            <w:pPr>
              <w:keepNext w:val="0"/>
              <w:keepLines w:val="0"/>
              <w:pageBreakBefore w:val="0"/>
              <w:widowControl w:val="0"/>
              <w:kinsoku/>
              <w:wordWrap/>
              <w:overflowPunct/>
              <w:topLinePunct w:val="0"/>
              <w:bidi w:val="0"/>
              <w:adjustRightInd/>
              <w:spacing w:line="400" w:lineRule="exact"/>
              <w:ind w:left="0"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2.以上标明“必须提供”的材料属于复印件的，必须加盖供应商公章，否则响应文件按无效响应处理。</w:t>
            </w:r>
          </w:p>
          <w:p w14:paraId="100E9C3E">
            <w:pPr>
              <w:keepNext w:val="0"/>
              <w:keepLines w:val="0"/>
              <w:pageBreakBefore w:val="0"/>
              <w:widowControl w:val="0"/>
              <w:kinsoku/>
              <w:wordWrap/>
              <w:overflowPunct/>
              <w:topLinePunct w:val="0"/>
              <w:bidi w:val="0"/>
              <w:adjustRightInd/>
              <w:spacing w:line="400" w:lineRule="exact"/>
              <w:ind w:left="0" w:firstLine="413" w:firstLineChars="196"/>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3.以上材料未附格式的，由供应商自行拟定。</w:t>
            </w:r>
          </w:p>
        </w:tc>
      </w:tr>
      <w:tr w14:paraId="56D29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DA6B028">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8312" w:type="dxa"/>
            <w:noWrap w:val="0"/>
            <w:vAlign w:val="center"/>
          </w:tcPr>
          <w:p w14:paraId="0F5811FB">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响应文件电子版。供应商在递交响应文件时，同时递交响应文件电子版。</w:t>
            </w:r>
          </w:p>
          <w:p w14:paraId="04CF4F09">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1.响应文件电子版内容：与纸质响应文件全部内容一致。</w:t>
            </w:r>
          </w:p>
          <w:p w14:paraId="4EFAB1E6">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2.响应文件电子版形式：</w:t>
            </w:r>
            <w:r>
              <w:rPr>
                <w:rFonts w:hint="eastAsia" w:ascii="宋体" w:hAnsi="宋体" w:eastAsia="宋体" w:cs="宋体"/>
                <w:b/>
                <w:bCs/>
                <w:color w:val="auto"/>
                <w:sz w:val="21"/>
                <w:szCs w:val="21"/>
                <w:highlight w:val="none"/>
              </w:rPr>
              <w:t>可编辑的word文档格式1份和已签字盖章的响应文件正本的扫描件（PDF格式）1份。</w:t>
            </w:r>
          </w:p>
          <w:p w14:paraId="63A13751">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3.响应文件电子版密封方式：响应文件电子版光盘（或者U盘）与纸质版响应文件一并装入响应文件袋中。</w:t>
            </w:r>
          </w:p>
        </w:tc>
      </w:tr>
      <w:tr w14:paraId="67EF8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A04455D">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8312" w:type="dxa"/>
            <w:noWrap w:val="0"/>
            <w:vAlign w:val="center"/>
          </w:tcPr>
          <w:p w14:paraId="4C9B3BCF">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竞标报价必须包含满足本次竞标全部采购需求所应提供的服务，以及伴随</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完成本项目服务工作所需的人员成本、劳务费、技术服务费、管理、交通、通讯、保险、利润、法律法规、政策性文件规定及合同包含的应有风险、责任等与本项目相关的所有费用。</w:t>
            </w:r>
          </w:p>
        </w:tc>
      </w:tr>
      <w:tr w14:paraId="2B593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A9F11EA">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8312" w:type="dxa"/>
            <w:noWrap w:val="0"/>
            <w:vAlign w:val="center"/>
          </w:tcPr>
          <w:p w14:paraId="15078D5F">
            <w:pPr>
              <w:pStyle w:val="6"/>
              <w:keepNext w:val="0"/>
              <w:keepLines w:val="0"/>
              <w:pageBreakBefore w:val="0"/>
              <w:widowControl w:val="0"/>
              <w:tabs>
                <w:tab w:val="left" w:pos="720"/>
                <w:tab w:val="left" w:pos="840"/>
              </w:tabs>
              <w:kinsoku/>
              <w:wordWrap/>
              <w:overflowPunct/>
              <w:topLinePunct w:val="0"/>
              <w:bidi w:val="0"/>
              <w:adjustRightInd/>
              <w:snapToGrid w:val="0"/>
              <w:spacing w:line="400" w:lineRule="exact"/>
              <w:ind w:left="0"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eastAsia="宋体" w:cs="宋体"/>
                <w:color w:val="auto"/>
                <w:kern w:val="2"/>
                <w:sz w:val="21"/>
                <w:szCs w:val="21"/>
                <w:highlight w:val="none"/>
                <w:u w:val="single"/>
              </w:rPr>
              <w:t>60</w:t>
            </w:r>
            <w:r>
              <w:rPr>
                <w:rFonts w:hint="eastAsia" w:ascii="宋体" w:hAnsi="宋体" w:eastAsia="宋体" w:cs="宋体"/>
                <w:color w:val="auto"/>
                <w:kern w:val="2"/>
                <w:sz w:val="21"/>
                <w:szCs w:val="21"/>
                <w:highlight w:val="none"/>
              </w:rPr>
              <w:t>日。</w:t>
            </w:r>
          </w:p>
        </w:tc>
      </w:tr>
      <w:tr w14:paraId="06511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54C373B">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8312" w:type="dxa"/>
            <w:noWrap w:val="0"/>
            <w:vAlign w:val="center"/>
          </w:tcPr>
          <w:p w14:paraId="121FA59F">
            <w:pPr>
              <w:keepNext w:val="0"/>
              <w:keepLines w:val="0"/>
              <w:pageBreakBefore w:val="0"/>
              <w:widowControl w:val="0"/>
              <w:kinsoku/>
              <w:wordWrap/>
              <w:overflowPunct/>
              <w:topLinePunct w:val="0"/>
              <w:autoSpaceDE w:val="0"/>
              <w:autoSpaceDN w:val="0"/>
              <w:bidi w:val="0"/>
              <w:adjustRightInd/>
              <w:snapToGrid w:val="0"/>
              <w:spacing w:line="400" w:lineRule="exact"/>
              <w:ind w:left="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本项目不收取磋商保证金。</w:t>
            </w:r>
          </w:p>
          <w:p w14:paraId="06043BA6">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本项目收取磋商保证金，具体规定如下：</w:t>
            </w:r>
          </w:p>
          <w:p w14:paraId="250F6348">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磋商保证金的金额：详见竞争性磋商公告。</w:t>
            </w:r>
          </w:p>
          <w:p w14:paraId="32032307">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p w14:paraId="05A8A730">
            <w:pPr>
              <w:keepNext w:val="0"/>
              <w:keepLines w:val="0"/>
              <w:pageBreakBefore w:val="0"/>
              <w:widowControl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1.磋商保证金采用银行转账交纳方式的，在首次响应文件提交截止时间前交至采购代理机构指定账户并且到账</w:t>
            </w:r>
            <w:r>
              <w:rPr>
                <w:rFonts w:hint="eastAsia" w:ascii="宋体" w:hAnsi="宋体" w:eastAsia="宋体" w:cs="宋体"/>
                <w:b w:val="0"/>
                <w:bCs w:val="0"/>
                <w:color w:val="auto"/>
                <w:sz w:val="21"/>
                <w:szCs w:val="21"/>
                <w:highlight w:val="none"/>
                <w:lang w:eastAsia="zh-CN"/>
              </w:rPr>
              <w:t>（</w:t>
            </w:r>
            <w:r>
              <w:rPr>
                <w:rFonts w:hint="eastAsia" w:ascii="宋体" w:hAnsi="宋体" w:cs="宋体"/>
                <w:color w:val="auto"/>
                <w:kern w:val="0"/>
                <w:sz w:val="21"/>
                <w:szCs w:val="21"/>
                <w:highlight w:val="none"/>
                <w:u w:val="none"/>
              </w:rPr>
              <w:t>开户银行：</w:t>
            </w:r>
            <w:r>
              <w:rPr>
                <w:rFonts w:hint="eastAsia" w:ascii="宋体" w:hAnsi="宋体" w:eastAsia="宋体" w:cs="宋体"/>
                <w:color w:val="auto"/>
                <w:kern w:val="0"/>
                <w:sz w:val="21"/>
                <w:szCs w:val="21"/>
                <w:highlight w:val="none"/>
                <w:u w:val="none"/>
                <w:lang w:val="en-US" w:eastAsia="zh-CN"/>
              </w:rPr>
              <w:t>东营银行股份有限公司胜中支行，</w:t>
            </w:r>
            <w:r>
              <w:rPr>
                <w:rFonts w:hint="eastAsia" w:ascii="宋体" w:hAnsi="宋体" w:cs="宋体"/>
                <w:color w:val="auto"/>
                <w:kern w:val="0"/>
                <w:sz w:val="21"/>
                <w:szCs w:val="21"/>
                <w:highlight w:val="none"/>
                <w:u w:val="none"/>
              </w:rPr>
              <w:t>开户名称：</w:t>
            </w:r>
            <w:r>
              <w:rPr>
                <w:rFonts w:hint="eastAsia" w:ascii="宋体" w:hAnsi="宋体" w:eastAsia="宋体" w:cs="宋体"/>
                <w:color w:val="auto"/>
                <w:kern w:val="0"/>
                <w:sz w:val="21"/>
                <w:szCs w:val="21"/>
                <w:highlight w:val="none"/>
                <w:u w:val="none"/>
                <w:lang w:val="en-US" w:eastAsia="zh-CN"/>
              </w:rPr>
              <w:t>中天昊建设管理集团股份有限公司，</w:t>
            </w:r>
            <w:r>
              <w:rPr>
                <w:rFonts w:hint="eastAsia" w:ascii="宋体" w:hAnsi="宋体" w:cs="宋体"/>
                <w:color w:val="auto"/>
                <w:kern w:val="0"/>
                <w:sz w:val="21"/>
                <w:szCs w:val="21"/>
                <w:highlight w:val="none"/>
                <w:u w:val="none"/>
              </w:rPr>
              <w:t>银行账号：</w:t>
            </w:r>
            <w:r>
              <w:rPr>
                <w:rFonts w:hint="eastAsia" w:ascii="宋体" w:hAnsi="宋体" w:eastAsia="宋体" w:cs="宋体"/>
                <w:color w:val="auto"/>
                <w:kern w:val="0"/>
                <w:sz w:val="21"/>
                <w:szCs w:val="21"/>
                <w:highlight w:val="none"/>
                <w:u w:val="none"/>
                <w:lang w:val="en-US" w:eastAsia="zh-CN"/>
              </w:rPr>
              <w:t>6662 6010 0100 0203 92，</w:t>
            </w:r>
            <w:r>
              <w:rPr>
                <w:rFonts w:hint="eastAsia" w:ascii="宋体" w:hAnsi="宋体" w:eastAsia="宋体" w:cs="宋体"/>
                <w:color w:val="auto"/>
                <w:kern w:val="0"/>
                <w:sz w:val="21"/>
                <w:szCs w:val="21"/>
                <w:highlight w:val="none"/>
              </w:rPr>
              <w:t>开户行行号：</w:t>
            </w:r>
            <w:r>
              <w:rPr>
                <w:rFonts w:hint="eastAsia" w:ascii="宋体" w:hAnsi="宋体" w:eastAsia="宋体" w:cs="宋体"/>
                <w:color w:val="auto"/>
                <w:kern w:val="0"/>
                <w:sz w:val="21"/>
                <w:szCs w:val="21"/>
                <w:highlight w:val="none"/>
                <w:u w:val="none"/>
              </w:rPr>
              <w:t>313455000180</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rPr>
              <w:t>，供应商应将银行转账底单的复印件作为磋商保证金提交凭证，放置于报价商务技术文件中，</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w:t>
            </w:r>
          </w:p>
          <w:p w14:paraId="333515DC">
            <w:pPr>
              <w:keepNext w:val="0"/>
              <w:keepLines w:val="0"/>
              <w:pageBreakBefore w:val="0"/>
              <w:widowControl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eastAsia="宋体" w:cs="宋体"/>
                <w:b/>
                <w:color w:val="auto"/>
                <w:sz w:val="21"/>
                <w:szCs w:val="21"/>
                <w:highlight w:val="none"/>
              </w:rPr>
              <w:t>否则竞标无效</w:t>
            </w:r>
            <w:r>
              <w:rPr>
                <w:rFonts w:hint="eastAsia" w:ascii="宋体" w:hAnsi="宋体" w:eastAsia="宋体" w:cs="宋体"/>
                <w:color w:val="auto"/>
                <w:sz w:val="21"/>
                <w:szCs w:val="21"/>
                <w:highlight w:val="none"/>
              </w:rPr>
              <w:t>。供应商必须于递交</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文件时将支票、汇票、本票或者金融、担保机构出具的保函原件提交给采购人或者采购代理机构，由采购人或者采购代理机构向供应商出具回执，并妥善保管。</w:t>
            </w:r>
          </w:p>
          <w:p w14:paraId="6DFE7DC3">
            <w:pPr>
              <w:keepNext w:val="0"/>
              <w:keepLines w:val="0"/>
              <w:pageBreakBefore w:val="0"/>
              <w:widowControl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3.磋商保证金指定账户：详见竞争性磋商公告。</w:t>
            </w:r>
          </w:p>
          <w:p w14:paraId="3270602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保证金凭证应注明正确的项目编号、分标号（如有）等信息，否则，信息不明确或有误的将可能被视为无效</w:t>
            </w:r>
            <w:r>
              <w:rPr>
                <w:rFonts w:hint="eastAsia" w:ascii="宋体" w:hAnsi="宋体" w:eastAsia="宋体" w:cs="宋体"/>
                <w:b w:val="0"/>
                <w:bCs w:val="0"/>
                <w:color w:val="auto"/>
                <w:sz w:val="21"/>
                <w:szCs w:val="21"/>
                <w:highlight w:val="none"/>
                <w:lang w:eastAsia="zh-CN"/>
              </w:rPr>
              <w:t>竞</w:t>
            </w:r>
            <w:r>
              <w:rPr>
                <w:rFonts w:hint="eastAsia" w:ascii="宋体" w:hAnsi="宋体" w:eastAsia="宋体" w:cs="宋体"/>
                <w:b w:val="0"/>
                <w:bCs w:val="0"/>
                <w:color w:val="auto"/>
                <w:sz w:val="21"/>
                <w:szCs w:val="21"/>
                <w:highlight w:val="none"/>
              </w:rPr>
              <w:t>标保证金，并有可能影响保证金的及时退付。</w:t>
            </w:r>
          </w:p>
          <w:p w14:paraId="329F39CB">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b/>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未</w:t>
            </w:r>
            <w:r>
              <w:rPr>
                <w:rFonts w:hint="eastAsia" w:ascii="宋体" w:hAnsi="宋体" w:eastAsia="宋体" w:cs="宋体"/>
                <w:b w:val="0"/>
                <w:bCs w:val="0"/>
                <w:color w:val="auto"/>
                <w:sz w:val="21"/>
                <w:szCs w:val="21"/>
                <w:highlight w:val="none"/>
                <w:lang w:eastAsia="zh-CN"/>
              </w:rPr>
              <w:t>成交</w:t>
            </w:r>
            <w:r>
              <w:rPr>
                <w:rFonts w:hint="eastAsia" w:ascii="宋体" w:hAnsi="宋体" w:eastAsia="宋体" w:cs="宋体"/>
                <w:b w:val="0"/>
                <w:bCs w:val="0"/>
                <w:color w:val="auto"/>
                <w:sz w:val="21"/>
                <w:szCs w:val="21"/>
                <w:highlight w:val="none"/>
              </w:rPr>
              <w:t>人的磋商保证金在</w:t>
            </w:r>
            <w:r>
              <w:rPr>
                <w:rFonts w:hint="eastAsia" w:ascii="宋体" w:hAnsi="宋体" w:eastAsia="宋体" w:cs="宋体"/>
                <w:b w:val="0"/>
                <w:bCs w:val="0"/>
                <w:color w:val="auto"/>
                <w:sz w:val="21"/>
                <w:szCs w:val="21"/>
                <w:highlight w:val="none"/>
                <w:lang w:eastAsia="zh-CN"/>
              </w:rPr>
              <w:t>成交结果</w:t>
            </w:r>
            <w:r>
              <w:rPr>
                <w:rFonts w:hint="eastAsia" w:ascii="宋体" w:hAnsi="宋体" w:eastAsia="宋体" w:cs="宋体"/>
                <w:b w:val="0"/>
                <w:bCs w:val="0"/>
                <w:color w:val="auto"/>
                <w:sz w:val="21"/>
                <w:szCs w:val="21"/>
                <w:highlight w:val="none"/>
              </w:rPr>
              <w:t>公告发布之日起</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个工作日内退付，</w:t>
            </w:r>
            <w:r>
              <w:rPr>
                <w:rFonts w:hint="eastAsia" w:ascii="宋体" w:hAnsi="宋体" w:eastAsia="宋体" w:cs="宋体"/>
                <w:b w:val="0"/>
                <w:bCs w:val="0"/>
                <w:color w:val="auto"/>
                <w:sz w:val="21"/>
                <w:szCs w:val="21"/>
                <w:highlight w:val="none"/>
                <w:lang w:eastAsia="zh-CN"/>
              </w:rPr>
              <w:t>成交</w:t>
            </w:r>
            <w:r>
              <w:rPr>
                <w:rFonts w:hint="eastAsia" w:ascii="宋体" w:hAnsi="宋体" w:eastAsia="宋体" w:cs="宋体"/>
                <w:b w:val="0"/>
                <w:bCs w:val="0"/>
                <w:color w:val="auto"/>
                <w:sz w:val="21"/>
                <w:szCs w:val="21"/>
                <w:highlight w:val="none"/>
              </w:rPr>
              <w:t>人的磋商保证金在</w:t>
            </w:r>
            <w:r>
              <w:rPr>
                <w:rFonts w:hint="eastAsia" w:ascii="宋体" w:hAnsi="宋体" w:eastAsia="宋体" w:cs="宋体"/>
                <w:b w:val="0"/>
                <w:bCs w:val="0"/>
                <w:color w:val="auto"/>
                <w:sz w:val="21"/>
                <w:szCs w:val="21"/>
                <w:highlight w:val="none"/>
                <w:lang w:eastAsia="zh-CN"/>
              </w:rPr>
              <w:t>成交</w:t>
            </w:r>
            <w:r>
              <w:rPr>
                <w:rFonts w:hint="eastAsia" w:ascii="宋体" w:hAnsi="宋体" w:eastAsia="宋体" w:cs="宋体"/>
                <w:b w:val="0"/>
                <w:bCs w:val="0"/>
                <w:color w:val="auto"/>
                <w:sz w:val="21"/>
                <w:szCs w:val="21"/>
                <w:highlight w:val="none"/>
              </w:rPr>
              <w:t>人与</w:t>
            </w:r>
            <w:r>
              <w:rPr>
                <w:rFonts w:hint="eastAsia" w:ascii="宋体" w:hAnsi="宋体" w:eastAsia="宋体" w:cs="宋体"/>
                <w:b w:val="0"/>
                <w:bCs w:val="0"/>
                <w:color w:val="auto"/>
                <w:sz w:val="21"/>
                <w:szCs w:val="21"/>
                <w:highlight w:val="none"/>
                <w:lang w:eastAsia="zh-CN"/>
              </w:rPr>
              <w:t>采购</w:t>
            </w:r>
            <w:r>
              <w:rPr>
                <w:rFonts w:hint="eastAsia" w:ascii="宋体" w:hAnsi="宋体" w:eastAsia="宋体" w:cs="宋体"/>
                <w:b w:val="0"/>
                <w:bCs w:val="0"/>
                <w:color w:val="auto"/>
                <w:sz w:val="21"/>
                <w:szCs w:val="21"/>
                <w:highlight w:val="none"/>
              </w:rPr>
              <w:t>人签订合同之日起</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个工作日内退付。</w:t>
            </w:r>
          </w:p>
          <w:p w14:paraId="2CFE775A">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备注： </w:t>
            </w:r>
          </w:p>
          <w:p w14:paraId="31416E03">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1.磋商保证金在首次响应文件提交截止时间后提交的，或者不按规定交纳方式交纳的，或者未足额交纳的（包含保函额度不足的），视为无效磋商保证金。</w:t>
            </w:r>
          </w:p>
          <w:p w14:paraId="714FB7B3">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2.供应商采用现钞方式或者从个人账户（自然人竞标除外）转出的磋商保证金，视为无效磋商保证金。</w:t>
            </w:r>
          </w:p>
          <w:p w14:paraId="031BE667">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3.支票、汇票或者本票出现无效或者背书情形的，视为无效磋商保证金。</w:t>
            </w:r>
          </w:p>
          <w:p w14:paraId="0E9D1455">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4.保函有效期低于竞标有效期的，视为无效磋商保证金。</w:t>
            </w:r>
          </w:p>
          <w:p w14:paraId="30C70756">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5.采用金融、担保机构出具保函的，必须为无条件保函，否则视为无效磋商保证金。</w:t>
            </w:r>
          </w:p>
        </w:tc>
      </w:tr>
      <w:tr w14:paraId="7230D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C701ACF">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w:t>
            </w:r>
          </w:p>
        </w:tc>
        <w:tc>
          <w:tcPr>
            <w:tcW w:w="8312" w:type="dxa"/>
            <w:noWrap w:val="0"/>
            <w:vAlign w:val="center"/>
          </w:tcPr>
          <w:p w14:paraId="6EE06748">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响应文件份数：正本一份、副本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tc>
      </w:tr>
      <w:tr w14:paraId="0E888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0816C86">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8312" w:type="dxa"/>
            <w:noWrap w:val="0"/>
            <w:vAlign w:val="center"/>
          </w:tcPr>
          <w:p w14:paraId="3A238BA5">
            <w:pPr>
              <w:keepNext w:val="0"/>
              <w:keepLines w:val="0"/>
              <w:pageBreakBefore w:val="0"/>
              <w:widowControl w:val="0"/>
              <w:kinsoku/>
              <w:wordWrap/>
              <w:overflowPunct/>
              <w:topLinePunct w:val="0"/>
              <w:bidi w:val="0"/>
              <w:adjustRightInd/>
              <w:snapToGrid w:val="0"/>
              <w:spacing w:line="400" w:lineRule="exact"/>
              <w:ind w:lef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首次响应文件提交起止时间：详见竞争性磋商公告。</w:t>
            </w:r>
          </w:p>
          <w:p w14:paraId="5E8D0169">
            <w:pPr>
              <w:keepNext w:val="0"/>
              <w:keepLines w:val="0"/>
              <w:pageBreakBefore w:val="0"/>
              <w:widowControl w:val="0"/>
              <w:kinsoku/>
              <w:wordWrap/>
              <w:overflowPunct/>
              <w:topLinePunct w:val="0"/>
              <w:bidi w:val="0"/>
              <w:adjustRightInd/>
              <w:snapToGrid w:val="0"/>
              <w:spacing w:line="400" w:lineRule="exact"/>
              <w:ind w:lef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首次响应文件提交截止时间：详见竞争性磋商公告。</w:t>
            </w:r>
          </w:p>
          <w:p w14:paraId="52A9353B">
            <w:pPr>
              <w:keepNext w:val="0"/>
              <w:keepLines w:val="0"/>
              <w:pageBreakBefore w:val="0"/>
              <w:widowControl w:val="0"/>
              <w:kinsoku/>
              <w:wordWrap/>
              <w:overflowPunct/>
              <w:topLinePunct w:val="0"/>
              <w:bidi w:val="0"/>
              <w:adjustRightInd/>
              <w:snapToGrid w:val="0"/>
              <w:spacing w:line="40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首次响应文件提交地点：详见竞争性磋商公告。</w:t>
            </w:r>
          </w:p>
          <w:p w14:paraId="3259C0E9">
            <w:pPr>
              <w:keepNext w:val="0"/>
              <w:keepLines w:val="0"/>
              <w:pageBreakBefore w:val="0"/>
              <w:widowControl w:val="0"/>
              <w:kinsoku/>
              <w:wordWrap/>
              <w:overflowPunct/>
              <w:topLinePunct w:val="0"/>
              <w:bidi w:val="0"/>
              <w:adjustRightInd/>
              <w:spacing w:line="400" w:lineRule="exact"/>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供应商必须在首次响应文件提交截止时间前，将响应文件密封送达首次响应文件提交地点。在首次响应文件提交截止时间后送达的响应文件为无效文件，采购代理机构应当拒收。</w:t>
            </w:r>
          </w:p>
          <w:p w14:paraId="247FCB8C">
            <w:pPr>
              <w:keepNext w:val="0"/>
              <w:keepLines w:val="0"/>
              <w:pageBreakBefore w:val="0"/>
              <w:widowControl w:val="0"/>
              <w:kinsoku/>
              <w:wordWrap/>
              <w:overflowPunct/>
              <w:topLinePunct w:val="0"/>
              <w:bidi w:val="0"/>
              <w:adjustRightInd/>
              <w:spacing w:line="400" w:lineRule="exact"/>
              <w:ind w:left="0"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供应商可以委派授权代表出席开标会议（授权代表应当携带身份证原件、法定代表人授权委托书原件等有效证明证件出席；如法定代表人出席开标会议应携带法定代表人身份证明书和身份证原件复印件）</w:t>
            </w:r>
          </w:p>
        </w:tc>
      </w:tr>
      <w:tr w14:paraId="7051E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DCD0D55">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8312" w:type="dxa"/>
            <w:noWrap w:val="0"/>
            <w:vAlign w:val="center"/>
          </w:tcPr>
          <w:p w14:paraId="674D8ADE">
            <w:pPr>
              <w:keepNext w:val="0"/>
              <w:keepLines w:val="0"/>
              <w:pageBreakBefore w:val="0"/>
              <w:widowControl w:val="0"/>
              <w:kinsoku/>
              <w:wordWrap/>
              <w:overflowPunct/>
              <w:topLinePunct w:val="0"/>
              <w:bidi w:val="0"/>
              <w:adjustRightInd/>
              <w:snapToGrid w:val="0"/>
              <w:spacing w:line="400" w:lineRule="exact"/>
              <w:ind w:left="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磋商小组的人数：</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人。</w:t>
            </w:r>
          </w:p>
        </w:tc>
      </w:tr>
      <w:tr w14:paraId="11314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16D026B3">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w:t>
            </w:r>
          </w:p>
        </w:tc>
        <w:tc>
          <w:tcPr>
            <w:tcW w:w="8312" w:type="dxa"/>
            <w:noWrap w:val="0"/>
            <w:vAlign w:val="center"/>
          </w:tcPr>
          <w:p w14:paraId="539B0E9C">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0 </w:t>
            </w:r>
            <w:r>
              <w:rPr>
                <w:rFonts w:hint="eastAsia" w:ascii="宋体" w:hAnsi="宋体" w:eastAsia="宋体" w:cs="宋体"/>
                <w:color w:val="auto"/>
                <w:sz w:val="21"/>
                <w:szCs w:val="21"/>
                <w:highlight w:val="none"/>
              </w:rPr>
              <w:t>项。</w:t>
            </w:r>
          </w:p>
          <w:p w14:paraId="520F6AAC">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服务需求评审中允许负偏离的条款数为</w:t>
            </w:r>
            <w:r>
              <w:rPr>
                <w:rFonts w:hint="eastAsia" w:ascii="宋体" w:hAnsi="宋体" w:eastAsia="宋体" w:cs="宋体"/>
                <w:color w:val="auto"/>
                <w:sz w:val="21"/>
                <w:szCs w:val="21"/>
                <w:highlight w:val="none"/>
                <w:u w:val="single"/>
              </w:rPr>
              <w:t xml:space="preserve"> 0 </w:t>
            </w:r>
            <w:r>
              <w:rPr>
                <w:rFonts w:hint="eastAsia" w:ascii="宋体" w:hAnsi="宋体" w:eastAsia="宋体" w:cs="宋体"/>
                <w:color w:val="auto"/>
                <w:sz w:val="21"/>
                <w:szCs w:val="21"/>
                <w:highlight w:val="none"/>
              </w:rPr>
              <w:t>项。</w:t>
            </w:r>
          </w:p>
        </w:tc>
      </w:tr>
      <w:tr w14:paraId="310E3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6C1755C8">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p>
        </w:tc>
        <w:tc>
          <w:tcPr>
            <w:tcW w:w="8312" w:type="dxa"/>
            <w:noWrap w:val="0"/>
            <w:vAlign w:val="center"/>
          </w:tcPr>
          <w:p w14:paraId="26AA56AA">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磋商的顺序：</w:t>
            </w:r>
          </w:p>
          <w:p w14:paraId="1CD3DF2F">
            <w:pPr>
              <w:pStyle w:val="8"/>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□按照提交首次响应文件的顺序，通知磋商时，若某供应商不在通知现场时（该供应商排序到最后磋商），按照签到的顺序由其下一位供应商先参与磋商。</w:t>
            </w:r>
          </w:p>
          <w:p w14:paraId="650CE6C5">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☑随机排序。</w:t>
            </w:r>
          </w:p>
          <w:p w14:paraId="19CA0E5A">
            <w:pPr>
              <w:pStyle w:val="8"/>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A9BD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A4D21D5">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8312" w:type="dxa"/>
            <w:noWrap w:val="0"/>
            <w:vAlign w:val="center"/>
          </w:tcPr>
          <w:p w14:paraId="20EAB4DE">
            <w:pPr>
              <w:keepNext w:val="0"/>
              <w:keepLines w:val="0"/>
              <w:pageBreakBefore w:val="0"/>
              <w:widowControl w:val="0"/>
              <w:kinsoku/>
              <w:wordWrap/>
              <w:overflowPunct/>
              <w:topLinePunct w:val="0"/>
              <w:autoSpaceDE w:val="0"/>
              <w:autoSpaceDN w:val="0"/>
              <w:bidi w:val="0"/>
              <w:adjustRightInd/>
              <w:snapToGrid w:val="0"/>
              <w:spacing w:line="400" w:lineRule="exact"/>
              <w:ind w:left="0"/>
              <w:textAlignment w:val="bottom"/>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sym w:font="Wingdings 2" w:char="00A3"/>
            </w:r>
            <w:r>
              <w:rPr>
                <w:rFonts w:hint="eastAsia" w:ascii="宋体" w:hAnsi="宋体" w:eastAsia="宋体" w:cs="宋体"/>
                <w:b w:val="0"/>
                <w:bCs w:val="0"/>
                <w:color w:val="auto"/>
                <w:sz w:val="21"/>
                <w:szCs w:val="21"/>
                <w:highlight w:val="none"/>
              </w:rPr>
              <w:t>本项目不收取履约保证金。</w:t>
            </w:r>
          </w:p>
          <w:p w14:paraId="53A57B37">
            <w:pPr>
              <w:keepNext w:val="0"/>
              <w:keepLines w:val="0"/>
              <w:pageBreakBefore w:val="0"/>
              <w:widowControl w:val="0"/>
              <w:kinsoku/>
              <w:wordWrap/>
              <w:overflowPunct/>
              <w:topLinePunct w:val="0"/>
              <w:autoSpaceDE w:val="0"/>
              <w:autoSpaceDN w:val="0"/>
              <w:bidi w:val="0"/>
              <w:adjustRightInd/>
              <w:snapToGrid w:val="0"/>
              <w:spacing w:line="400" w:lineRule="exact"/>
              <w:ind w:left="0"/>
              <w:textAlignment w:val="bottom"/>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本项目收取</w:t>
            </w:r>
            <w:bookmarkStart w:id="50" w:name="OLE_LINK2"/>
            <w:r>
              <w:rPr>
                <w:rFonts w:hint="eastAsia" w:ascii="宋体" w:hAnsi="宋体" w:eastAsia="宋体" w:cs="宋体"/>
                <w:b w:val="0"/>
                <w:bCs w:val="0"/>
                <w:color w:val="auto"/>
                <w:sz w:val="21"/>
                <w:szCs w:val="21"/>
                <w:highlight w:val="none"/>
              </w:rPr>
              <w:t>履约保证金</w:t>
            </w:r>
            <w:bookmarkEnd w:id="50"/>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rPr>
              <w:t>具体规定如下：</w:t>
            </w:r>
          </w:p>
          <w:p w14:paraId="0EC9F72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履约保证金金额：本项目成交总金额</w:t>
            </w: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rPr>
              <w:t>%的履约保证金（中小企业缴纳数额为成交</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金额的2%）</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rPr>
              <w:t>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p>
          <w:p w14:paraId="6A823887">
            <w:pPr>
              <w:keepNext w:val="0"/>
              <w:keepLines w:val="0"/>
              <w:pageBreakBefore w:val="0"/>
              <w:widowControl w:val="0"/>
              <w:kinsoku/>
              <w:wordWrap/>
              <w:overflowPunct/>
              <w:topLinePunct w:val="0"/>
              <w:bidi w:val="0"/>
              <w:adjustRightInd/>
              <w:spacing w:line="400" w:lineRule="exact"/>
              <w:ind w:left="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履约保证金递交方式：</w:t>
            </w:r>
            <w:r>
              <w:rPr>
                <w:rFonts w:hint="eastAsia" w:ascii="宋体" w:hAnsi="宋体" w:eastAsia="宋体" w:cs="宋体"/>
                <w:color w:val="auto"/>
                <w:sz w:val="21"/>
                <w:szCs w:val="21"/>
                <w:highlight w:val="none"/>
                <w:lang w:val="en-US" w:eastAsia="zh-CN"/>
              </w:rPr>
              <w:t>转账、</w:t>
            </w:r>
            <w:r>
              <w:rPr>
                <w:rFonts w:hint="eastAsia" w:ascii="宋体" w:hAnsi="宋体" w:eastAsia="宋体" w:cs="宋体"/>
                <w:color w:val="auto"/>
                <w:sz w:val="21"/>
                <w:szCs w:val="21"/>
                <w:highlight w:val="none"/>
                <w:lang w:eastAsia="zh-CN"/>
              </w:rPr>
              <w:t>支票、汇票、本票或者金融机构出具的保函等非现金方式，成交供应商须在签订合同后10个工作日内缴纳履约保证金</w:t>
            </w:r>
            <w:r>
              <w:rPr>
                <w:rFonts w:hint="eastAsia" w:ascii="宋体" w:hAnsi="宋体" w:eastAsia="宋体" w:cs="宋体"/>
                <w:color w:val="auto"/>
                <w:sz w:val="21"/>
                <w:szCs w:val="21"/>
                <w:highlight w:val="none"/>
              </w:rPr>
              <w:t>。</w:t>
            </w:r>
          </w:p>
          <w:p w14:paraId="794A020B">
            <w:pPr>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履约保证金退付方式、时间及条件：由乙方向甲方提供《广西壮族自治区政府采购项目合同验收书》、履约保证金退付函和乙方履约保证金支付凭证，甲方在收到合格材料后</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个工作日内办理退还手续（不计利息）。</w:t>
            </w:r>
          </w:p>
          <w:p w14:paraId="3FA4836B">
            <w:pPr>
              <w:keepNext w:val="0"/>
              <w:keepLines w:val="0"/>
              <w:pageBreakBefore w:val="0"/>
              <w:widowControl w:val="0"/>
              <w:kinsoku/>
              <w:wordWrap/>
              <w:overflowPunct/>
              <w:topLinePunct w:val="0"/>
              <w:bidi w:val="0"/>
              <w:adjustRightInd/>
              <w:spacing w:line="400" w:lineRule="exact"/>
              <w:ind w:left="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24867978">
            <w:pPr>
              <w:keepNext w:val="0"/>
              <w:keepLines w:val="0"/>
              <w:pageBreakBefore w:val="0"/>
              <w:widowControl w:val="0"/>
              <w:kinsoku/>
              <w:wordWrap/>
              <w:overflowPunct/>
              <w:topLinePunct w:val="0"/>
              <w:bidi w:val="0"/>
              <w:adjustRightInd/>
              <w:spacing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符合《广西壮族自治区财政厅关于持续优化政府采购营商环境推动高质量发展的通知》桂财采〔2024〕55号文件要求的，按照相关要求执行。</w:t>
            </w:r>
          </w:p>
          <w:p w14:paraId="5BF77250">
            <w:pPr>
              <w:keepNext w:val="0"/>
              <w:keepLines w:val="0"/>
              <w:pageBreakBefore w:val="0"/>
              <w:widowControl w:val="0"/>
              <w:kinsoku/>
              <w:wordWrap/>
              <w:overflowPunct/>
              <w:topLinePunct w:val="0"/>
              <w:bidi w:val="0"/>
              <w:adjustRightInd/>
              <w:spacing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CE1159D">
            <w:pPr>
              <w:keepNext w:val="0"/>
              <w:keepLines w:val="0"/>
              <w:pageBreakBefore w:val="0"/>
              <w:widowControl w:val="0"/>
              <w:kinsoku/>
              <w:wordWrap/>
              <w:overflowPunct/>
              <w:topLinePunct w:val="0"/>
              <w:bidi w:val="0"/>
              <w:adjustRightInd/>
              <w:spacing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3、采用金融、担保机构出具的保函的，必须为无条件保函，否则不予签订合同。</w:t>
            </w:r>
          </w:p>
          <w:p w14:paraId="2154A57C">
            <w:pPr>
              <w:pStyle w:val="8"/>
              <w:keepNext w:val="0"/>
              <w:keepLines w:val="0"/>
              <w:pageBreakBefore w:val="0"/>
              <w:widowControl w:val="0"/>
              <w:kinsoku/>
              <w:wordWrap/>
              <w:overflowPunct/>
              <w:topLinePunct w:val="0"/>
              <w:bidi w:val="0"/>
              <w:adjustRightInd/>
              <w:spacing w:line="400" w:lineRule="exact"/>
              <w:ind w:left="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4、供应商为联合体的，由联合体其中一方按规定提交的履约保证金，视为有效履约保证金。</w:t>
            </w:r>
          </w:p>
        </w:tc>
      </w:tr>
      <w:tr w14:paraId="347A6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BEF3795">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8312" w:type="dxa"/>
            <w:noWrap w:val="0"/>
            <w:vAlign w:val="center"/>
          </w:tcPr>
          <w:p w14:paraId="47223AEF">
            <w:pPr>
              <w:keepNext w:val="0"/>
              <w:keepLines w:val="0"/>
              <w:pageBreakBefore w:val="0"/>
              <w:widowControl w:val="0"/>
              <w:kinsoku/>
              <w:wordWrap/>
              <w:overflowPunct/>
              <w:topLinePunct w:val="0"/>
              <w:autoSpaceDE w:val="0"/>
              <w:autoSpaceDN w:val="0"/>
              <w:bidi w:val="0"/>
              <w:adjustRightInd/>
              <w:snapToGrid w:val="0"/>
              <w:spacing w:line="400" w:lineRule="exact"/>
              <w:ind w:left="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签订合同携带的证明材料： </w:t>
            </w:r>
          </w:p>
          <w:p w14:paraId="0B0A779C">
            <w:pPr>
              <w:keepNext w:val="0"/>
              <w:keepLines w:val="0"/>
              <w:pageBreakBefore w:val="0"/>
              <w:widowControl w:val="0"/>
              <w:kinsoku/>
              <w:wordWrap/>
              <w:overflowPunct/>
              <w:topLinePunct w:val="0"/>
              <w:autoSpaceDE w:val="0"/>
              <w:autoSpaceDN w:val="0"/>
              <w:bidi w:val="0"/>
              <w:adjustRightInd/>
              <w:snapToGrid w:val="0"/>
              <w:spacing w:line="400" w:lineRule="exact"/>
              <w:ind w:left="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1CAF5C15">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61ED9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E24092E">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p>
        </w:tc>
        <w:tc>
          <w:tcPr>
            <w:tcW w:w="8312" w:type="dxa"/>
            <w:noWrap w:val="0"/>
            <w:vAlign w:val="center"/>
          </w:tcPr>
          <w:p w14:paraId="04FE519C">
            <w:pPr>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接收质疑函方式：以书面形式。</w:t>
            </w:r>
          </w:p>
          <w:p w14:paraId="6D82403C">
            <w:pPr>
              <w:pStyle w:val="14"/>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质疑联系部门及联系方式：</w:t>
            </w:r>
            <w:r>
              <w:rPr>
                <w:rFonts w:hint="eastAsia" w:ascii="宋体" w:hAnsi="宋体" w:eastAsia="宋体" w:cs="宋体"/>
                <w:color w:val="auto"/>
                <w:sz w:val="21"/>
                <w:szCs w:val="21"/>
                <w:highlight w:val="none"/>
                <w:lang w:eastAsia="zh-CN"/>
              </w:rPr>
              <w:t>中天昊建设管理集团股份有限公司</w:t>
            </w: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sz w:val="21"/>
                <w:szCs w:val="21"/>
                <w:highlight w:val="none"/>
              </w:rPr>
              <w:t>0771-3126896</w:t>
            </w:r>
            <w:r>
              <w:rPr>
                <w:rFonts w:hint="eastAsia" w:ascii="宋体" w:hAnsi="宋体" w:eastAsia="宋体" w:cs="宋体"/>
                <w:color w:val="auto"/>
                <w:kern w:val="2"/>
                <w:sz w:val="21"/>
                <w:szCs w:val="21"/>
                <w:highlight w:val="none"/>
              </w:rPr>
              <w:t>，通讯地址：</w:t>
            </w:r>
            <w:r>
              <w:rPr>
                <w:rFonts w:hint="eastAsia" w:ascii="宋体" w:hAnsi="宋体" w:eastAsia="宋体" w:cs="宋体"/>
                <w:color w:val="auto"/>
                <w:sz w:val="21"/>
                <w:szCs w:val="21"/>
                <w:highlight w:val="none"/>
                <w:u w:val="none"/>
              </w:rPr>
              <w:t>南宁市江南区亭江路</w:t>
            </w:r>
            <w:r>
              <w:rPr>
                <w:rFonts w:hint="eastAsia" w:ascii="宋体" w:hAnsi="宋体" w:eastAsia="宋体" w:cs="宋体"/>
                <w:color w:val="auto"/>
                <w:sz w:val="21"/>
                <w:szCs w:val="21"/>
                <w:highlight w:val="none"/>
                <w:u w:val="none"/>
                <w:lang w:eastAsia="zh-CN"/>
              </w:rPr>
              <w:t>75</w:t>
            </w:r>
            <w:r>
              <w:rPr>
                <w:rFonts w:hint="eastAsia" w:ascii="宋体" w:hAnsi="宋体" w:eastAsia="宋体" w:cs="宋体"/>
                <w:color w:val="auto"/>
                <w:sz w:val="21"/>
                <w:szCs w:val="21"/>
                <w:highlight w:val="none"/>
                <w:u w:val="none"/>
              </w:rPr>
              <w:t>号东穗酒店三楼301</w:t>
            </w:r>
            <w:r>
              <w:rPr>
                <w:rFonts w:hint="eastAsia" w:ascii="宋体" w:hAnsi="宋体" w:eastAsia="宋体" w:cs="宋体"/>
                <w:color w:val="auto"/>
                <w:sz w:val="21"/>
                <w:szCs w:val="21"/>
                <w:highlight w:val="none"/>
                <w:u w:val="none"/>
                <w:lang w:eastAsia="zh-CN"/>
              </w:rPr>
              <w:t>办公室</w:t>
            </w:r>
          </w:p>
          <w:p w14:paraId="5797F18E">
            <w:pPr>
              <w:keepNext w:val="0"/>
              <w:keepLines w:val="0"/>
              <w:pageBreakBefore w:val="0"/>
              <w:widowControl w:val="0"/>
              <w:kinsoku/>
              <w:wordWrap/>
              <w:overflowPunct/>
              <w:topLinePunct w:val="0"/>
              <w:autoSpaceDE w:val="0"/>
              <w:autoSpaceDN w:val="0"/>
              <w:bidi w:val="0"/>
              <w:adjustRightInd/>
              <w:snapToGrid w:val="0"/>
              <w:spacing w:line="400" w:lineRule="exact"/>
              <w:ind w:left="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业务时间：上午8时30分到12时00分，下午3时00分到6时00分，业务时间以外、双休日和法定节假日不办理业务。</w:t>
            </w:r>
          </w:p>
        </w:tc>
      </w:tr>
      <w:tr w14:paraId="0875B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E0AFF7B">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8312" w:type="dxa"/>
            <w:noWrap w:val="0"/>
            <w:vAlign w:val="center"/>
          </w:tcPr>
          <w:p w14:paraId="1AC4F28D">
            <w:pPr>
              <w:pStyle w:val="14"/>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1.采购代理费支付方式：</w:t>
            </w:r>
          </w:p>
          <w:p w14:paraId="2446E4A8">
            <w:pPr>
              <w:pStyle w:val="14"/>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☑本项目代理服务费由</w:t>
            </w:r>
            <w:r>
              <w:rPr>
                <w:rFonts w:hint="eastAsia" w:ascii="宋体" w:hAnsi="宋体" w:eastAsia="宋体" w:cs="宋体"/>
                <w:color w:val="auto"/>
                <w:sz w:val="21"/>
                <w:szCs w:val="21"/>
                <w:highlight w:val="none"/>
                <w:u w:val="single"/>
              </w:rPr>
              <w:t>成交供应商</w:t>
            </w:r>
            <w:r>
              <w:rPr>
                <w:rFonts w:hint="eastAsia" w:ascii="宋体" w:hAnsi="宋体" w:eastAsia="宋体" w:cs="宋体"/>
                <w:color w:val="auto"/>
                <w:sz w:val="21"/>
                <w:szCs w:val="21"/>
                <w:highlight w:val="none"/>
              </w:rPr>
              <w:t>领取成交通知书前，一次性向采购代理机构支付。</w:t>
            </w:r>
          </w:p>
          <w:p w14:paraId="598D8BE8">
            <w:pPr>
              <w:pStyle w:val="14"/>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p>
          <w:p w14:paraId="6EBD24E3">
            <w:pPr>
              <w:pStyle w:val="14"/>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2.采购代理费收取标准：</w:t>
            </w:r>
          </w:p>
          <w:p w14:paraId="1C559DF2">
            <w:pPr>
              <w:pStyle w:val="14"/>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☑以分标（☑成交金额/□采购预算/□暂定成交金额/□其他</w:t>
            </w:r>
            <w:r>
              <w:rPr>
                <w:rFonts w:hint="eastAsia" w:ascii="宋体" w:hAnsi="宋体" w:eastAsia="宋体" w:cs="宋体"/>
                <w:b/>
                <w:bCs/>
                <w:color w:val="auto"/>
                <w:sz w:val="21"/>
                <w:szCs w:val="21"/>
                <w:highlight w:val="none"/>
                <w:u w:val="single"/>
              </w:rPr>
              <w:t xml:space="preserve">  / </w:t>
            </w:r>
            <w:r>
              <w:rPr>
                <w:rFonts w:hint="eastAsia" w:ascii="宋体" w:hAnsi="宋体" w:eastAsia="宋体" w:cs="宋体"/>
                <w:b/>
                <w:bCs/>
                <w:color w:val="auto"/>
                <w:sz w:val="21"/>
                <w:szCs w:val="21"/>
                <w:highlight w:val="none"/>
              </w:rPr>
              <w:t>）为计费额，按本须知正文第32.2条规定的收费计算标准（□货物类/☑服务类/□工程类）采用差额定率累进法计算出收费基准价格，采购代理收费以（☑收费基准价格/□收费基准价格下浮</w:t>
            </w:r>
            <w:r>
              <w:rPr>
                <w:rFonts w:hint="eastAsia" w:ascii="宋体" w:hAnsi="宋体" w:eastAsia="宋体" w:cs="宋体"/>
                <w:b/>
                <w:bCs/>
                <w:color w:val="auto"/>
                <w:sz w:val="21"/>
                <w:szCs w:val="21"/>
                <w:highlight w:val="none"/>
                <w:u w:val="single"/>
              </w:rPr>
              <w:t xml:space="preserve"> / %</w:t>
            </w:r>
            <w:r>
              <w:rPr>
                <w:rFonts w:hint="eastAsia" w:ascii="宋体" w:hAnsi="宋体" w:eastAsia="宋体" w:cs="宋体"/>
                <w:b/>
                <w:bCs/>
                <w:color w:val="auto"/>
                <w:sz w:val="21"/>
                <w:szCs w:val="21"/>
                <w:highlight w:val="none"/>
              </w:rPr>
              <w:t>/□收费基准价格上浮</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）收取。</w:t>
            </w:r>
          </w:p>
          <w:p w14:paraId="084B1947">
            <w:pPr>
              <w:pStyle w:val="14"/>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□固定采购代理收费</w:t>
            </w:r>
            <w:r>
              <w:rPr>
                <w:rFonts w:hint="eastAsia" w:ascii="宋体" w:hAnsi="宋体" w:eastAsia="宋体" w:cs="宋体"/>
                <w:color w:val="auto"/>
                <w:sz w:val="21"/>
                <w:szCs w:val="21"/>
                <w:highlight w:val="none"/>
                <w:u w:val="single"/>
              </w:rPr>
              <w:t xml:space="preserve"> / 。</w:t>
            </w:r>
          </w:p>
          <w:p w14:paraId="067D4A67">
            <w:pPr>
              <w:pStyle w:val="14"/>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采购代理费收取银行账户</w:t>
            </w:r>
          </w:p>
          <w:p w14:paraId="118BE84A">
            <w:pPr>
              <w:pStyle w:val="14"/>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开户名称：</w:t>
            </w:r>
            <w:r>
              <w:rPr>
                <w:rFonts w:hint="eastAsia" w:ascii="宋体" w:hAnsi="宋体" w:eastAsia="宋体" w:cs="宋体"/>
                <w:color w:val="auto"/>
                <w:sz w:val="21"/>
                <w:szCs w:val="21"/>
                <w:highlight w:val="none"/>
                <w:u w:val="none"/>
                <w:lang w:eastAsia="zh-CN"/>
              </w:rPr>
              <w:t>中天昊建设管理集团股份有限公司</w:t>
            </w:r>
            <w:r>
              <w:rPr>
                <w:rFonts w:hint="eastAsia" w:ascii="宋体" w:hAnsi="宋体" w:eastAsia="宋体" w:cs="宋体"/>
                <w:color w:val="auto"/>
                <w:sz w:val="21"/>
                <w:szCs w:val="21"/>
                <w:highlight w:val="none"/>
                <w:u w:val="none"/>
              </w:rPr>
              <w:t xml:space="preserve"> </w:t>
            </w:r>
          </w:p>
          <w:p w14:paraId="2A10AAB7">
            <w:pPr>
              <w:pStyle w:val="14"/>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开户银行：</w:t>
            </w:r>
            <w:r>
              <w:rPr>
                <w:rFonts w:hint="eastAsia" w:ascii="宋体" w:hAnsi="宋体" w:eastAsia="宋体" w:cs="宋体"/>
                <w:color w:val="auto"/>
                <w:sz w:val="21"/>
                <w:szCs w:val="21"/>
                <w:highlight w:val="none"/>
                <w:u w:val="none"/>
                <w:lang w:eastAsia="zh-CN"/>
              </w:rPr>
              <w:t>东营银行股份有限公司胜中支行</w:t>
            </w:r>
            <w:r>
              <w:rPr>
                <w:rFonts w:hint="eastAsia" w:ascii="宋体" w:hAnsi="宋体" w:eastAsia="宋体" w:cs="宋体"/>
                <w:color w:val="auto"/>
                <w:sz w:val="21"/>
                <w:szCs w:val="21"/>
                <w:highlight w:val="none"/>
                <w:u w:val="none"/>
              </w:rPr>
              <w:t xml:space="preserve"> </w:t>
            </w:r>
          </w:p>
          <w:p w14:paraId="0E969D03">
            <w:pPr>
              <w:pStyle w:val="14"/>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银行账号：</w:t>
            </w:r>
            <w:r>
              <w:rPr>
                <w:rFonts w:hint="eastAsia" w:ascii="宋体" w:hAnsi="宋体" w:eastAsia="宋体" w:cs="宋体"/>
                <w:color w:val="auto"/>
                <w:sz w:val="21"/>
                <w:szCs w:val="21"/>
                <w:highlight w:val="none"/>
                <w:u w:val="none"/>
                <w:lang w:eastAsia="zh-CN"/>
              </w:rPr>
              <w:t>6662 6010 0100 0203 92</w:t>
            </w:r>
          </w:p>
          <w:p w14:paraId="702542DC">
            <w:pPr>
              <w:pStyle w:val="14"/>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kern w:val="0"/>
                <w:sz w:val="21"/>
                <w:szCs w:val="21"/>
                <w:highlight w:val="none"/>
                <w:u w:val="none"/>
              </w:rPr>
              <w:t>开户行行号：313455000180</w:t>
            </w:r>
          </w:p>
        </w:tc>
      </w:tr>
      <w:tr w14:paraId="5D957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FFE4A3A">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8312" w:type="dxa"/>
            <w:noWrap w:val="0"/>
            <w:vAlign w:val="center"/>
          </w:tcPr>
          <w:p w14:paraId="13620BAA">
            <w:pPr>
              <w:pStyle w:val="14"/>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5302B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C4C8863">
            <w:pPr>
              <w:keepNext w:val="0"/>
              <w:keepLines w:val="0"/>
              <w:pageBreakBefore w:val="0"/>
              <w:widowControl w:val="0"/>
              <w:kinsoku/>
              <w:wordWrap/>
              <w:overflowPunct/>
              <w:topLinePunct w:val="0"/>
              <w:bidi w:val="0"/>
              <w:adjustRightInd/>
              <w:spacing w:line="40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w:t>
            </w:r>
          </w:p>
        </w:tc>
        <w:tc>
          <w:tcPr>
            <w:tcW w:w="8312" w:type="dxa"/>
            <w:noWrap w:val="0"/>
            <w:vAlign w:val="center"/>
          </w:tcPr>
          <w:p w14:paraId="582E6F8C">
            <w:pPr>
              <w:pStyle w:val="14"/>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03E35B6">
            <w:pPr>
              <w:pStyle w:val="14"/>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E30EAD0">
            <w:pPr>
              <w:pStyle w:val="14"/>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485194B0">
            <w:pPr>
              <w:pStyle w:val="14"/>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4.自然人竞标的，磋商文件规定盖公章处由自然人摁手指指印。</w:t>
            </w:r>
          </w:p>
          <w:p w14:paraId="45009A72">
            <w:pPr>
              <w:pStyle w:val="14"/>
              <w:keepNext w:val="0"/>
              <w:keepLines w:val="0"/>
              <w:pageBreakBefore w:val="0"/>
              <w:widowControl w:val="0"/>
              <w:kinsoku/>
              <w:wordWrap/>
              <w:overflowPunct/>
              <w:topLinePunct w:val="0"/>
              <w:bidi w:val="0"/>
              <w:adjustRightInd/>
              <w:snapToGrid w:val="0"/>
              <w:spacing w:line="40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5.本磋商文件所称的“以上”“以下”“以内”“届满”，包括本数；所称的“不满”“超过”“以外”，不包括本数。</w:t>
            </w:r>
          </w:p>
        </w:tc>
      </w:tr>
    </w:tbl>
    <w:p w14:paraId="28AB15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rPr>
        <w:br w:type="page"/>
      </w:r>
      <w:r>
        <w:rPr>
          <w:rFonts w:hint="eastAsia" w:ascii="宋体" w:hAnsi="宋体" w:eastAsia="宋体" w:cs="宋体"/>
          <w:b/>
          <w:color w:val="auto"/>
          <w:sz w:val="21"/>
          <w:szCs w:val="21"/>
          <w:highlight w:val="none"/>
        </w:rPr>
        <w:t>供应商须知正文</w:t>
      </w:r>
    </w:p>
    <w:p w14:paraId="046DCD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p>
    <w:p w14:paraId="4CD1D6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一、总则</w:t>
      </w:r>
    </w:p>
    <w:p w14:paraId="09D2A743">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1.适用范围</w:t>
      </w:r>
    </w:p>
    <w:p w14:paraId="2AC970C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有关部门规定的约束和保护。</w:t>
      </w:r>
    </w:p>
    <w:p w14:paraId="589C06C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pacing w:val="-6"/>
          <w:sz w:val="21"/>
          <w:szCs w:val="21"/>
          <w:highlight w:val="none"/>
        </w:rPr>
        <w:t>本竞争性磋商文件（以下简称磋商文件）适用于本项目的所有采购程序和环节（法律、法规另有规定的，从其规定）。</w:t>
      </w:r>
    </w:p>
    <w:p w14:paraId="15D8E9AA">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2.定义</w:t>
      </w:r>
    </w:p>
    <w:p w14:paraId="0D28B5C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2.1“采购人”是指</w:t>
      </w:r>
      <w:r>
        <w:rPr>
          <w:rFonts w:hint="eastAsia" w:ascii="宋体" w:hAnsi="宋体" w:eastAsia="宋体" w:cs="宋体"/>
          <w:color w:val="auto"/>
          <w:sz w:val="21"/>
          <w:szCs w:val="21"/>
          <w:highlight w:val="none"/>
          <w:lang w:eastAsia="zh-CN"/>
        </w:rPr>
        <w:t>广西壮族自治区生态环境厅</w:t>
      </w:r>
      <w:r>
        <w:rPr>
          <w:rFonts w:hint="eastAsia" w:ascii="宋体" w:hAnsi="宋体" w:eastAsia="宋体" w:cs="宋体"/>
          <w:color w:val="auto"/>
          <w:sz w:val="21"/>
          <w:szCs w:val="21"/>
          <w:highlight w:val="none"/>
        </w:rPr>
        <w:t>。</w:t>
      </w:r>
    </w:p>
    <w:p w14:paraId="3C422BB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2.2“采购代理机构”是指</w:t>
      </w:r>
      <w:r>
        <w:rPr>
          <w:rFonts w:hint="eastAsia" w:ascii="宋体" w:hAnsi="宋体" w:eastAsia="宋体" w:cs="宋体"/>
          <w:color w:val="auto"/>
          <w:sz w:val="21"/>
          <w:szCs w:val="21"/>
          <w:highlight w:val="none"/>
          <w:lang w:eastAsia="zh-CN"/>
        </w:rPr>
        <w:t>中天昊建设管理集团股份有限公司</w:t>
      </w:r>
      <w:r>
        <w:rPr>
          <w:rFonts w:hint="eastAsia" w:ascii="宋体" w:hAnsi="宋体" w:eastAsia="宋体" w:cs="宋体"/>
          <w:color w:val="auto"/>
          <w:sz w:val="21"/>
          <w:szCs w:val="21"/>
          <w:highlight w:val="none"/>
        </w:rPr>
        <w:t>。</w:t>
      </w:r>
    </w:p>
    <w:p w14:paraId="1E48191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2.3“供应商”是指向采购人提供货物、工程或者服务的法人、其他组织或者自然人。</w:t>
      </w:r>
    </w:p>
    <w:p w14:paraId="461A6F6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2.4“服务”是指除货物和工程以外的其他采购活动对象。</w:t>
      </w:r>
    </w:p>
    <w:p w14:paraId="281919B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2.5“竞标”是指供应商按照本项目竞争性磋商公告规定的方式获取磋商文件、提交响应文件并希望获得标的的行为。</w:t>
      </w:r>
    </w:p>
    <w:p w14:paraId="1A4CAED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2.6“响应文件”</w:t>
      </w:r>
      <w:r>
        <w:rPr>
          <w:rFonts w:hint="eastAsia" w:ascii="宋体" w:hAnsi="宋体" w:eastAsia="宋体" w:cs="宋体"/>
          <w:color w:val="auto"/>
          <w:spacing w:val="-6"/>
          <w:sz w:val="21"/>
          <w:szCs w:val="21"/>
          <w:highlight w:val="none"/>
        </w:rPr>
        <w:t>是指：供应商根据本磋商文件要求，编制包含资格证明、报价商务技术等所有内容的文件。</w:t>
      </w:r>
    </w:p>
    <w:p w14:paraId="013B969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2.7“实质性要求”是指磋商文件中已经指明不满足则响应文件按无效响应处理的条款，或者不能负偏离的条款，或者采购需求中带“▲”的条款。</w:t>
      </w:r>
    </w:p>
    <w:p w14:paraId="233A523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2.8“正偏离”，是指响应文件对磋商文件“采购需求”中有关条款作出的响应优于条款要求并有利于采购人的情形。</w:t>
      </w:r>
    </w:p>
    <w:p w14:paraId="37634C3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2.9“负偏离”，是指响应文件对磋商文件“采购需求”中有关条款作出的响应不满足条款要求，导致采购人要求不能得到满足的情形。</w:t>
      </w:r>
    </w:p>
    <w:p w14:paraId="2C83CC5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2.10“允许负偏离的条款”是指采购需求中的不属于“实质性要求”的条款。</w:t>
      </w:r>
    </w:p>
    <w:p w14:paraId="1811A6C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2.11“书面形式”是指合同书、信件和数据电文（包括电报、电传、传真、电子数据交换和电子邮件）等可以有形地表现所载内容的形式。</w:t>
      </w:r>
    </w:p>
    <w:p w14:paraId="6D8FF44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2.12“首次报价”是指供应商提交的首次响应文件中的报价。</w:t>
      </w:r>
    </w:p>
    <w:p w14:paraId="1978DA9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2.13“评审报价”是指供应商提交的最后报价并经修正（如有）和政策功能价格扣除（如有）后的价格。</w:t>
      </w:r>
    </w:p>
    <w:p w14:paraId="41010864">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3.供应商的资格条件</w:t>
      </w:r>
    </w:p>
    <w:p w14:paraId="2158AD4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供应商的资格条件详见“供应商须知前附表”。</w:t>
      </w:r>
    </w:p>
    <w:p w14:paraId="26D8393D">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4.竞标费用</w:t>
      </w:r>
    </w:p>
    <w:p w14:paraId="6013C98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供应商应承担参与本次采购活动有关的所有费用，包括但不限于获取磋商文件、勘查现场、编制和提交响应文件、参加磋商与应答、签订合同等，不论竞标结果如何，均应自行承担。</w:t>
      </w:r>
    </w:p>
    <w:p w14:paraId="3B488E96">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5.联合体竞标</w:t>
      </w:r>
    </w:p>
    <w:p w14:paraId="7D4ECDF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5.1本项目是否接受联合体竞标，详见“供应商须知前附表”。</w:t>
      </w:r>
    </w:p>
    <w:p w14:paraId="734D285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5.2如接受联合体竞标，联合体竞标要求详见“供应商须知前附表”。</w:t>
      </w:r>
    </w:p>
    <w:p w14:paraId="3D76E44C">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6.转包与分包             </w:t>
      </w:r>
    </w:p>
    <w:p w14:paraId="05AB403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6.1本项目不允许转包。</w:t>
      </w:r>
    </w:p>
    <w:p w14:paraId="69C8D24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6.2本项目是否允许分包详见“供应商须知前附表”，本项目不允许违法分包。</w:t>
      </w:r>
    </w:p>
    <w:p w14:paraId="154FF818">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bookmarkStart w:id="51" w:name="_Toc254970532"/>
      <w:bookmarkStart w:id="52" w:name="_Toc254970673"/>
      <w:r>
        <w:rPr>
          <w:rFonts w:hint="eastAsia" w:ascii="宋体" w:hAnsi="宋体" w:eastAsia="宋体" w:cs="宋体"/>
          <w:b/>
          <w:bCs/>
          <w:color w:val="auto"/>
          <w:sz w:val="21"/>
          <w:szCs w:val="21"/>
          <w:highlight w:val="none"/>
        </w:rPr>
        <w:t>7.特别说明</w:t>
      </w:r>
      <w:bookmarkEnd w:id="51"/>
      <w:bookmarkEnd w:id="52"/>
    </w:p>
    <w:p w14:paraId="16D2F89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bookmarkStart w:id="53" w:name="_8.1提供相同品牌产品且通过资格审查、符合性审查的不同投标人参加同一合"/>
      <w:bookmarkEnd w:id="53"/>
      <w:r>
        <w:rPr>
          <w:rFonts w:hint="eastAsia" w:ascii="宋体" w:hAnsi="宋体" w:eastAsia="宋体" w:cs="宋体"/>
          <w:color w:val="auto"/>
          <w:sz w:val="21"/>
          <w:szCs w:val="21"/>
          <w:highlight w:val="none"/>
        </w:rPr>
        <w:t>7.1</w:t>
      </w:r>
      <w:bookmarkStart w:id="54" w:name="_Hlk65832145"/>
      <w:r>
        <w:rPr>
          <w:rFonts w:hint="eastAsia" w:ascii="宋体" w:hAnsi="宋体" w:eastAsia="宋体" w:cs="宋体"/>
          <w:color w:val="auto"/>
          <w:sz w:val="21"/>
          <w:szCs w:val="21"/>
          <w:highlight w:val="none"/>
        </w:rPr>
        <w:t>如果本磋商文件要求提供供应商或制造商的资格、信誉、荣誉、业绩与企业认证等材料的，资格、信誉、荣誉、业绩与企业认证等必须为供应商或者制造商所拥有或自身获得。</w:t>
      </w:r>
    </w:p>
    <w:bookmarkEnd w:id="54"/>
    <w:p w14:paraId="2D1416C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7.2供应商应仔细阅读磋商文件的所有内容，按照磋商文件的要求提交响应文件，并对所提供的全部资料的真实性承担法律责任。</w:t>
      </w:r>
    </w:p>
    <w:p w14:paraId="02D5A77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7.3供应商在竞标活动中提供任何疑似虚假材料，将报采购</w:t>
      </w:r>
      <w:r>
        <w:rPr>
          <w:rFonts w:hint="eastAsia" w:ascii="宋体" w:hAnsi="宋体" w:eastAsia="宋体" w:cs="宋体"/>
          <w:color w:val="auto"/>
          <w:sz w:val="21"/>
          <w:szCs w:val="21"/>
          <w:highlight w:val="none"/>
          <w:lang w:val="en-US" w:eastAsia="zh-CN"/>
        </w:rPr>
        <w:t>监督管理</w:t>
      </w:r>
      <w:r>
        <w:rPr>
          <w:rFonts w:hint="eastAsia" w:ascii="宋体" w:hAnsi="宋体" w:eastAsia="宋体" w:cs="宋体"/>
          <w:color w:val="auto"/>
          <w:sz w:val="21"/>
          <w:szCs w:val="21"/>
          <w:highlight w:val="none"/>
        </w:rPr>
        <w:t>部门查处；签订合同后发现的，成交供应商须依照《中华人民共和国消费者权益保护法》规定赔偿采购人，且民事赔偿并不免除违法供应商的行政与刑事责任。</w:t>
      </w:r>
    </w:p>
    <w:p w14:paraId="7E06D21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7.4在本次采购活动中，采购人员及相关人员与供应商有下列利害关系之一的，应当回避：</w:t>
      </w:r>
    </w:p>
    <w:p w14:paraId="1C6F4DF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（1）参加采购活动前3年内与供应商存在劳动关系；</w:t>
      </w:r>
    </w:p>
    <w:p w14:paraId="0F20C26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（2）参加采购活动前3年内担任供应商的董事、监事；</w:t>
      </w:r>
    </w:p>
    <w:p w14:paraId="3D4CE82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（3）参加采购活动前3年内是供应商的控股股东或者实际控制人；</w:t>
      </w:r>
    </w:p>
    <w:p w14:paraId="6B37DFE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（4）与供应商的法定代表人或者负责人有夫妻、直系血亲、三代以内旁系血亲或者近姻亲关系；</w:t>
      </w:r>
    </w:p>
    <w:p w14:paraId="340BEE7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（5）与供应商有其他可能影响本次采购活动公平、公正进行的关系。</w:t>
      </w:r>
    </w:p>
    <w:p w14:paraId="09917C4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EB22CA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7.5有下列情形之一的视为供应商相互串通竞标，响应文件将被视为无效：</w:t>
      </w:r>
    </w:p>
    <w:p w14:paraId="4F90650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（1）不同供应商的响应文件由同一单位或者个人编制； </w:t>
      </w:r>
    </w:p>
    <w:p w14:paraId="3CB8B66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58606F5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（3）不同的供应商的响应文件载明的项目管理员为同一个人；</w:t>
      </w:r>
    </w:p>
    <w:p w14:paraId="43623DD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（4）不同供应商的响应文件异常一致或者报价呈规律性差异；</w:t>
      </w:r>
    </w:p>
    <w:p w14:paraId="1F2A200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3247DF8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7.6供应商有下列情形之一的，属于恶意串通行为，将报采购监督管理部门：</w:t>
      </w:r>
    </w:p>
    <w:p w14:paraId="7949AED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2AA9ADA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6C5E480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（3）供应商之间协商报价、技术方案等响应文件或者响应文件的实质性内容；</w:t>
      </w:r>
    </w:p>
    <w:p w14:paraId="3E691DB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（4）属于同一集团、协会、商会等组织成员的供应商按照该组织要求协同参加本次采购活动；</w:t>
      </w:r>
    </w:p>
    <w:p w14:paraId="0E455D1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（5）供应商之间事先约定一致抬高或者压低报价，或者在本次采购活动中事先约定轮流以高价位或者低价位成交，或者事先约定由某一特定供应商成交，然后再参加竞标；</w:t>
      </w:r>
    </w:p>
    <w:p w14:paraId="1246522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（6）供应商之间商定部分供应商放弃参加本次采购活动或者放弃成交；</w:t>
      </w:r>
    </w:p>
    <w:p w14:paraId="7D0ECA2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（7）供应商与采购人或者采购代理机构之间、供应商相互之间，为谋求特定供应商成交或者排斥其他供应商的其他串通行为。</w:t>
      </w:r>
      <w:bookmarkStart w:id="55" w:name="_Toc254970534"/>
      <w:bookmarkStart w:id="56" w:name="_Toc254970675"/>
    </w:p>
    <w:p w14:paraId="43D735F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bCs/>
          <w:color w:val="auto"/>
          <w:sz w:val="21"/>
          <w:szCs w:val="21"/>
          <w:highlight w:val="none"/>
        </w:rPr>
      </w:pPr>
    </w:p>
    <w:p w14:paraId="4857BBC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二、磋商文件</w:t>
      </w:r>
      <w:bookmarkEnd w:id="55"/>
      <w:bookmarkEnd w:id="56"/>
    </w:p>
    <w:p w14:paraId="4F5042AC">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auto"/>
          <w:sz w:val="21"/>
          <w:szCs w:val="21"/>
          <w:highlight w:val="none"/>
        </w:rPr>
      </w:pPr>
    </w:p>
    <w:p w14:paraId="0C062CFA">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8.磋商文件的构成</w:t>
      </w:r>
    </w:p>
    <w:p w14:paraId="385E862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（1）竞争性磋商公告；</w:t>
      </w:r>
    </w:p>
    <w:p w14:paraId="1A653E3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（2）供应商须知； </w:t>
      </w:r>
    </w:p>
    <w:p w14:paraId="0E91427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（3）采购需求；</w:t>
      </w:r>
    </w:p>
    <w:p w14:paraId="21556E9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（4）评审程序、评审方法和评审标准；</w:t>
      </w:r>
    </w:p>
    <w:p w14:paraId="41D12C5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（5）响应文件格式；</w:t>
      </w:r>
    </w:p>
    <w:p w14:paraId="13DB546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（6）合同文本。</w:t>
      </w:r>
    </w:p>
    <w:p w14:paraId="4D58ED7D">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9.供应商的询问</w:t>
      </w:r>
    </w:p>
    <w:p w14:paraId="2DD1992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187458B4">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10.磋商文件的澄清和修改</w:t>
      </w:r>
    </w:p>
    <w:p w14:paraId="68259E6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w:t>
      </w:r>
      <w:r>
        <w:rPr>
          <w:rFonts w:hint="eastAsia" w:ascii="宋体" w:hAnsi="宋体" w:eastAsia="宋体" w:cs="宋体"/>
          <w:color w:val="auto"/>
          <w:sz w:val="21"/>
          <w:szCs w:val="21"/>
          <w:highlight w:val="none"/>
          <w:lang w:val="en-US" w:eastAsia="zh-CN"/>
        </w:rPr>
        <w:t>时间5</w:t>
      </w:r>
      <w:r>
        <w:rPr>
          <w:rFonts w:hint="eastAsia" w:ascii="宋体" w:hAnsi="宋体" w:eastAsia="宋体" w:cs="宋体"/>
          <w:color w:val="auto"/>
          <w:sz w:val="21"/>
          <w:szCs w:val="21"/>
          <w:highlight w:val="none"/>
        </w:rPr>
        <w:t>日前，以书面形式通知所有获取磋商文件的供应商，不足</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日的，应当顺延提交首次响应文件截止之日。</w:t>
      </w:r>
    </w:p>
    <w:p w14:paraId="4ED0AE3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bCs/>
          <w:color w:val="auto"/>
          <w:sz w:val="21"/>
          <w:szCs w:val="21"/>
          <w:highlight w:val="none"/>
        </w:rPr>
      </w:pPr>
    </w:p>
    <w:p w14:paraId="33EE9A0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三、响应文件的编制</w:t>
      </w:r>
    </w:p>
    <w:p w14:paraId="6CF694A0">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auto"/>
          <w:sz w:val="21"/>
          <w:szCs w:val="21"/>
          <w:highlight w:val="none"/>
        </w:rPr>
      </w:pPr>
    </w:p>
    <w:p w14:paraId="76313110">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11.响应文件的编制原则</w:t>
      </w:r>
    </w:p>
    <w:p w14:paraId="65D3C77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供应商必须按照磋商文件的要求编制响应文件，并对其提交的响应文件的真实性、合法性承担法律责任。响应文件必须对磋商文件作出实质性响应。</w:t>
      </w:r>
    </w:p>
    <w:p w14:paraId="0090801B">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12.响应文件的组成</w:t>
      </w:r>
    </w:p>
    <w:p w14:paraId="3452461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12.1响应文件由资格证明文件、报价商务技术文件两部分组成。</w:t>
      </w:r>
    </w:p>
    <w:p w14:paraId="527598A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12.1.1资格证明文件：详见须知前附表</w:t>
      </w:r>
    </w:p>
    <w:p w14:paraId="31F061A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12.1.2报价商务技术文件：详见须知前附表</w:t>
      </w:r>
    </w:p>
    <w:p w14:paraId="216B5F2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12.2响应文件电子版：详见须知前附表</w:t>
      </w:r>
    </w:p>
    <w:p w14:paraId="4C52A378">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13.计量单位</w:t>
      </w:r>
    </w:p>
    <w:p w14:paraId="5A87B7E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磋商文件已有明确规定的，使用磋商文件规定的计量单位；磋商文件没有规定的，应采用中华人民共和国法定计量单位，货币种类为人民币，否则视同未响应。</w:t>
      </w:r>
    </w:p>
    <w:p w14:paraId="0A6569E4">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14.竞标的风险</w:t>
      </w:r>
    </w:p>
    <w:p w14:paraId="132EBB6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供应商没有按照磋商文件要求提供全部资料，或者供应商没有对磋商文件在各方面作出实质性响应可能导致其响应无效，是供应商应当考虑的风险。</w:t>
      </w:r>
    </w:p>
    <w:p w14:paraId="5C0578D7">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15.竞标报价要求和构成</w:t>
      </w:r>
    </w:p>
    <w:p w14:paraId="25CB585F">
      <w:pPr>
        <w:keepNext w:val="0"/>
        <w:keepLines w:val="0"/>
        <w:pageBreakBefore w:val="0"/>
        <w:widowControl w:val="0"/>
        <w:tabs>
          <w:tab w:val="left" w:pos="2492"/>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15.1竞标报价应按磋商文件中“竞标报价表”格式填写。</w:t>
      </w:r>
    </w:p>
    <w:p w14:paraId="733DB20D">
      <w:pPr>
        <w:keepNext w:val="0"/>
        <w:keepLines w:val="0"/>
        <w:pageBreakBefore w:val="0"/>
        <w:widowControl w:val="0"/>
        <w:tabs>
          <w:tab w:val="left" w:pos="2492"/>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15.2竞标报价的价格构成见“供应商须知前附表”。</w:t>
      </w:r>
    </w:p>
    <w:p w14:paraId="312813E8">
      <w:pPr>
        <w:keepNext w:val="0"/>
        <w:keepLines w:val="0"/>
        <w:pageBreakBefore w:val="0"/>
        <w:widowControl w:val="0"/>
        <w:tabs>
          <w:tab w:val="left" w:pos="2492"/>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15.3竞标报价要求</w:t>
      </w:r>
    </w:p>
    <w:p w14:paraId="25DFF1B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15.3.1供应商的竞标报价应符合以下要求，否则响应文件按无效响应处理：</w:t>
      </w:r>
    </w:p>
    <w:p w14:paraId="3BC93BB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（1）供应商必须就“采购需求”中所竞标的每个分标的全部内容分别作完整唯一总价报价，不得存在漏项报价；</w:t>
      </w:r>
    </w:p>
    <w:p w14:paraId="18200E6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（2）供应商必须就所竞标的分标的单项内容作唯一报价。</w:t>
      </w:r>
    </w:p>
    <w:p w14:paraId="158E073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15.3.2竞标报价（包含首次报价、最后报价）超过所竞标分标规定的采购预算金额或者最高限价的，其响应文件将作无效处理。</w:t>
      </w:r>
    </w:p>
    <w:p w14:paraId="6911674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15.3.3</w:t>
      </w:r>
      <w:bookmarkStart w:id="57" w:name="_Hlk42592874"/>
      <w:r>
        <w:rPr>
          <w:rFonts w:hint="eastAsia" w:ascii="宋体" w:hAnsi="宋体" w:eastAsia="宋体" w:cs="宋体"/>
          <w:color w:val="auto"/>
          <w:sz w:val="21"/>
          <w:szCs w:val="21"/>
          <w:highlight w:val="none"/>
        </w:rPr>
        <w:t>竞标报价（包含首次报价、最后报价）超过分项采购预算金额或者最高限价的，其响应文件将作无效处理。</w:t>
      </w:r>
    </w:p>
    <w:bookmarkEnd w:id="57"/>
    <w:p w14:paraId="2CB28417">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16.竞标有效期</w:t>
      </w:r>
    </w:p>
    <w:p w14:paraId="04D8ED6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16.1竞标有效期是指为保证采购人有足够的时间在提交响应文件后完成评审、确定成交供应商、合同签订等工作而要求供应商提交的响应文件在一定时间内保持有效的期限。</w:t>
      </w:r>
    </w:p>
    <w:p w14:paraId="4159E78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竞标有效期应由供应商按“供应商须知前附表”规定的期限作出响应。</w:t>
      </w:r>
    </w:p>
    <w:p w14:paraId="306D62E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16.3供应商的响应文件在竞标有效期内均保持有效。</w:t>
      </w:r>
    </w:p>
    <w:p w14:paraId="30C38416">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17.磋商保证金</w:t>
      </w:r>
    </w:p>
    <w:p w14:paraId="6522C22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17.1供应商须按“供应商须知前附表”的规定提交磋商保证金。</w:t>
      </w:r>
    </w:p>
    <w:p w14:paraId="0DFB422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17.2磋商保证金的退还</w:t>
      </w:r>
    </w:p>
    <w:p w14:paraId="7C53AF1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bookmarkStart w:id="58" w:name="_Hlk66782243"/>
      <w:r>
        <w:rPr>
          <w:rFonts w:hint="eastAsia" w:ascii="宋体" w:hAnsi="宋体" w:eastAsia="宋体" w:cs="宋体"/>
          <w:color w:val="auto"/>
          <w:sz w:val="21"/>
          <w:szCs w:val="21"/>
          <w:highlight w:val="none"/>
        </w:rPr>
        <w:t>未</w:t>
      </w:r>
      <w:r>
        <w:rPr>
          <w:rFonts w:hint="eastAsia" w:ascii="宋体" w:hAnsi="宋体" w:eastAsia="宋体" w:cs="宋体"/>
          <w:color w:val="auto"/>
          <w:spacing w:val="-6"/>
          <w:sz w:val="21"/>
          <w:szCs w:val="21"/>
          <w:highlight w:val="none"/>
        </w:rPr>
        <w:t>成交供应商的竞标保证金自成交通知书发出之日起</w:t>
      </w:r>
      <w:r>
        <w:rPr>
          <w:rFonts w:hint="eastAsia" w:ascii="宋体" w:hAnsi="宋体" w:eastAsia="宋体" w:cs="宋体"/>
          <w:color w:val="auto"/>
          <w:spacing w:val="-6"/>
          <w:sz w:val="21"/>
          <w:szCs w:val="21"/>
          <w:highlight w:val="none"/>
          <w:lang w:val="en-US" w:eastAsia="zh-CN"/>
        </w:rPr>
        <w:t>5</w:t>
      </w:r>
      <w:r>
        <w:rPr>
          <w:rFonts w:hint="eastAsia" w:ascii="宋体" w:hAnsi="宋体" w:eastAsia="宋体" w:cs="宋体"/>
          <w:color w:val="auto"/>
          <w:spacing w:val="-6"/>
          <w:sz w:val="21"/>
          <w:szCs w:val="21"/>
          <w:highlight w:val="none"/>
        </w:rPr>
        <w:t>个工作日内退还；</w:t>
      </w:r>
      <w:r>
        <w:rPr>
          <w:rFonts w:hint="eastAsia" w:ascii="宋体" w:hAnsi="宋体" w:eastAsia="宋体" w:cs="宋体"/>
          <w:color w:val="auto"/>
          <w:sz w:val="21"/>
          <w:szCs w:val="21"/>
          <w:highlight w:val="none"/>
        </w:rPr>
        <w:t>成交供应商的磋商保证金自签订合同之日起</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个工作日内退还。</w:t>
      </w:r>
      <w:bookmarkEnd w:id="58"/>
      <w:r>
        <w:rPr>
          <w:rFonts w:hint="eastAsia" w:ascii="宋体" w:hAnsi="宋体" w:eastAsia="宋体" w:cs="宋体"/>
          <w:color w:val="auto"/>
          <w:sz w:val="21"/>
          <w:szCs w:val="21"/>
          <w:highlight w:val="none"/>
        </w:rPr>
        <w:t xml:space="preserve"> </w:t>
      </w:r>
    </w:p>
    <w:p w14:paraId="4795429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17.3磋商保证金不计息。</w:t>
      </w:r>
    </w:p>
    <w:p w14:paraId="692DA8A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17.4供应商有下列情形之一的，磋商保证金将不予退还： </w:t>
      </w:r>
    </w:p>
    <w:p w14:paraId="6D1A45C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（1）供应商在提交响应文件截止时间后撤回响应文件的；</w:t>
      </w:r>
    </w:p>
    <w:p w14:paraId="03F1C6E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（2）供应商在响应文件中提供虚假材料的；</w:t>
      </w:r>
    </w:p>
    <w:p w14:paraId="32B6C4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（3）除因不可抗力或者磋商文件认可的情形以外，成交供应商不与采购人签订合同的；</w:t>
      </w:r>
    </w:p>
    <w:p w14:paraId="2F5E242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（4）供应商与采购人、其他供应商或者采购代理机构恶意串通的；</w:t>
      </w:r>
    </w:p>
    <w:p w14:paraId="30032C1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（5）磋商文件规定的其他情形。</w:t>
      </w:r>
    </w:p>
    <w:p w14:paraId="316CD7E9">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18.响应文件编制的要求</w:t>
      </w:r>
    </w:p>
    <w:p w14:paraId="53D2C8F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18.1供应商应按本磋商文件规定的格式和顺序编制、装订响应文件并标注页码，响应文件内容</w:t>
      </w:r>
      <w:r>
        <w:rPr>
          <w:rFonts w:hint="eastAsia" w:ascii="宋体" w:hAnsi="宋体" w:eastAsia="宋体" w:cs="宋体"/>
          <w:color w:val="auto"/>
          <w:spacing w:val="-6"/>
          <w:sz w:val="21"/>
          <w:szCs w:val="21"/>
          <w:highlight w:val="none"/>
        </w:rPr>
        <w:t>不完整、编排混乱导致响应文件被误读、漏读或者查找不到相关内容的，</w:t>
      </w:r>
      <w:r>
        <w:rPr>
          <w:rFonts w:hint="eastAsia" w:ascii="宋体" w:hAnsi="宋体" w:eastAsia="宋体" w:cs="宋体"/>
          <w:color w:val="auto"/>
          <w:sz w:val="21"/>
          <w:szCs w:val="21"/>
          <w:highlight w:val="none"/>
        </w:rPr>
        <w:t>由此引发的</w:t>
      </w:r>
      <w:r>
        <w:rPr>
          <w:rFonts w:hint="eastAsia" w:ascii="宋体" w:hAnsi="宋体" w:eastAsia="宋体" w:cs="宋体"/>
          <w:color w:val="auto"/>
          <w:spacing w:val="-6"/>
          <w:sz w:val="21"/>
          <w:szCs w:val="21"/>
          <w:highlight w:val="none"/>
        </w:rPr>
        <w:t>后果由供应商承担。</w:t>
      </w:r>
    </w:p>
    <w:p w14:paraId="5FDF146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响应文件应按资格证明文件、报价商务技术文件分别编制，资格证明文件、报价商务技术文件按顺序装订成册。响应文件正本一份，副本份数详见“供应商须知前附表”，响应文件的封面应注明“正本”、“副本”字样，提供响应文件正、副本数量不足的将按无效响应处理。由于响应文件装订松散而造成的丢失或者其他情况导致的不利后果由供应商自行承担。</w:t>
      </w:r>
    </w:p>
    <w:p w14:paraId="0230980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18.3响应文件的正本应打印或者用不褪色的墨水填写，响应文件正本除本“供应商须知”中规定的可提供复印件外均须提供原件，副本可为正本签字、盖章后的复印件，当副本和正本不一致时，以正本为准。</w:t>
      </w:r>
    </w:p>
    <w:p w14:paraId="41D379C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w:t>
      </w:r>
      <w:bookmarkStart w:id="59" w:name="_Hlk65832699"/>
      <w:r>
        <w:rPr>
          <w:rFonts w:hint="eastAsia" w:ascii="宋体" w:hAnsi="宋体" w:eastAsia="宋体" w:cs="宋体"/>
          <w:color w:val="auto"/>
          <w:sz w:val="21"/>
          <w:szCs w:val="21"/>
          <w:highlight w:val="none"/>
        </w:rPr>
        <w:t>响应文件须由供应商在规定位置盖公章并签字</w:t>
      </w:r>
      <w:bookmarkStart w:id="60" w:name="_Hlk65832569"/>
      <w:r>
        <w:rPr>
          <w:rFonts w:hint="eastAsia" w:ascii="宋体" w:hAnsi="宋体" w:eastAsia="宋体" w:cs="宋体"/>
          <w:color w:val="auto"/>
          <w:sz w:val="21"/>
          <w:szCs w:val="21"/>
          <w:highlight w:val="none"/>
        </w:rPr>
        <w:t>（具体以供应商须知前附表或响应文件格式规定为准）</w:t>
      </w:r>
      <w:bookmarkEnd w:id="59"/>
      <w:bookmarkEnd w:id="60"/>
      <w:r>
        <w:rPr>
          <w:rFonts w:hint="eastAsia" w:ascii="宋体" w:hAnsi="宋体" w:eastAsia="宋体" w:cs="宋体"/>
          <w:color w:val="auto"/>
          <w:sz w:val="21"/>
          <w:szCs w:val="21"/>
          <w:highlight w:val="none"/>
        </w:rPr>
        <w:t>，否则其响应文件按无效响应处理。骑缝盖公章不视为在规定位置盖章。</w:t>
      </w:r>
    </w:p>
    <w:p w14:paraId="04FA98F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18.5响应文件中标注的供应商名称应与营业执照（事业单位法人证书、执业许可证、自然人身份证）及公章一致，否则其响应文件按无效响应处理。</w:t>
      </w:r>
    </w:p>
    <w:p w14:paraId="78171A7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58783B3">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19.响应文件的密封和标记</w:t>
      </w:r>
    </w:p>
    <w:p w14:paraId="7B8276A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19.1响应文件正、副本全部装入一个或者多个包封袋/箱（响应文件的补充、修改可另行单独递交）中并加以密封，封口处必须加盖供应商公章或者法定代表人签字或者委托代理人签字，以示密封</w:t>
      </w:r>
      <w:r>
        <w:rPr>
          <w:rFonts w:hint="eastAsia" w:ascii="宋体" w:hAnsi="宋体" w:eastAsia="宋体" w:cs="宋体"/>
          <w:b/>
          <w:color w:val="auto"/>
          <w:sz w:val="21"/>
          <w:szCs w:val="21"/>
          <w:highlight w:val="none"/>
        </w:rPr>
        <w:t>（密封要求达到不泄露供应商响应文件实质性内容为合格）</w:t>
      </w:r>
      <w:r>
        <w:rPr>
          <w:rFonts w:hint="eastAsia" w:ascii="宋体" w:hAnsi="宋体" w:eastAsia="宋体" w:cs="宋体"/>
          <w:color w:val="auto"/>
          <w:sz w:val="21"/>
          <w:szCs w:val="21"/>
          <w:highlight w:val="none"/>
        </w:rPr>
        <w:t>。</w:t>
      </w:r>
    </w:p>
    <w:p w14:paraId="6448A02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19.2响应文件外层包装封面上应标记“项目名称、项目编号、供应商名称、所竞分标、首次响应文件提交截止时间前不得启封”字样。</w:t>
      </w:r>
    </w:p>
    <w:p w14:paraId="7EAFBA92">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20.响应文件的提交</w:t>
      </w:r>
    </w:p>
    <w:p w14:paraId="1773EDD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20.1供应商必须在“供应商须知前附表”规定的时间和地点提交响应文件。</w:t>
      </w:r>
    </w:p>
    <w:p w14:paraId="77A3435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20.2采购代理机构工作人员收到响应文件后，应当如实记载响应文件的密封情况。</w:t>
      </w:r>
    </w:p>
    <w:p w14:paraId="71FE24E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20.3在首次响应文件提交截止时间后送达的或者</w:t>
      </w:r>
      <w:bookmarkStart w:id="61" w:name="_Hlk66782274"/>
      <w:r>
        <w:rPr>
          <w:rFonts w:hint="eastAsia" w:ascii="宋体" w:hAnsi="宋体" w:eastAsia="宋体" w:cs="宋体"/>
          <w:color w:val="auto"/>
          <w:sz w:val="21"/>
          <w:szCs w:val="21"/>
          <w:highlight w:val="none"/>
        </w:rPr>
        <w:t>未按照竞争性磋商文件要求密封的响应文件</w:t>
      </w:r>
      <w:bookmarkEnd w:id="61"/>
      <w:r>
        <w:rPr>
          <w:rFonts w:hint="eastAsia" w:ascii="宋体" w:hAnsi="宋体" w:eastAsia="宋体" w:cs="宋体"/>
          <w:color w:val="auto"/>
          <w:sz w:val="21"/>
          <w:szCs w:val="21"/>
          <w:highlight w:val="none"/>
        </w:rPr>
        <w:t>为无效文件，采购人或者采购代理机构应当拒收。</w:t>
      </w:r>
    </w:p>
    <w:p w14:paraId="26B326FA">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21.首次响应文件的补充、修改与撤回</w:t>
      </w:r>
    </w:p>
    <w:p w14:paraId="618E174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5AFC4A29">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bookmarkStart w:id="62" w:name="_Hlk45702405"/>
      <w:r>
        <w:rPr>
          <w:rFonts w:hint="eastAsia" w:ascii="宋体" w:hAnsi="宋体" w:eastAsia="宋体" w:cs="宋体"/>
          <w:b/>
          <w:bCs/>
          <w:color w:val="auto"/>
          <w:sz w:val="21"/>
          <w:szCs w:val="21"/>
          <w:highlight w:val="none"/>
        </w:rPr>
        <w:t>22. 首次响应文件的退回</w:t>
      </w:r>
    </w:p>
    <w:p w14:paraId="51A0D69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首次响应文件提交截止时间止提交响应文件的供应商不足3家时，应当由供应商法定代表人或者委托代理人签字领回响应文件（响应文件采用邮寄方式提交的，以到付的方式寄回至原地址），除此之外采购人和采购代理机构对已提交的响应文件概不退回。</w:t>
      </w:r>
    </w:p>
    <w:p w14:paraId="17C02E98">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 截止时间后的撤回</w:t>
      </w:r>
    </w:p>
    <w:p w14:paraId="117A8E4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供应商在首次响应文件提交截止时间后向采购人、采购代理机构书面申请撤回响应文件的，将根据本须知正文17.4的规定不予退还其磋商保证金。</w:t>
      </w:r>
      <w:bookmarkEnd w:id="62"/>
    </w:p>
    <w:p w14:paraId="35F41EC9">
      <w:pPr>
        <w:keepNext w:val="0"/>
        <w:keepLines w:val="0"/>
        <w:pageBreakBefore w:val="0"/>
        <w:widowControl w:val="0"/>
        <w:kinsoku/>
        <w:wordWrap/>
        <w:overflowPunct/>
        <w:topLinePunct w:val="0"/>
        <w:autoSpaceDE/>
        <w:autoSpaceDN/>
        <w:bidi w:val="0"/>
        <w:adjustRightInd/>
        <w:snapToGrid/>
        <w:spacing w:line="400" w:lineRule="exact"/>
        <w:ind w:left="0" w:leftChars="0" w:firstLine="420"/>
        <w:jc w:val="center"/>
        <w:textAlignment w:val="auto"/>
        <w:rPr>
          <w:rFonts w:hint="eastAsia" w:ascii="宋体" w:hAnsi="宋体" w:eastAsia="宋体" w:cs="宋体"/>
          <w:b/>
          <w:bCs/>
          <w:color w:val="auto"/>
          <w:sz w:val="21"/>
          <w:szCs w:val="21"/>
          <w:highlight w:val="none"/>
        </w:rPr>
      </w:pPr>
    </w:p>
    <w:p w14:paraId="7F4901EF">
      <w:pPr>
        <w:keepNext w:val="0"/>
        <w:keepLines w:val="0"/>
        <w:pageBreakBefore w:val="0"/>
        <w:widowControl w:val="0"/>
        <w:kinsoku/>
        <w:wordWrap/>
        <w:overflowPunct/>
        <w:topLinePunct w:val="0"/>
        <w:autoSpaceDE/>
        <w:autoSpaceDN/>
        <w:bidi w:val="0"/>
        <w:adjustRightInd/>
        <w:snapToGrid/>
        <w:spacing w:line="400" w:lineRule="exact"/>
        <w:ind w:left="0" w:leftChars="0" w:firstLine="42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四、评审及磋商</w:t>
      </w:r>
    </w:p>
    <w:p w14:paraId="2EBA9D06">
      <w:pPr>
        <w:keepNext w:val="0"/>
        <w:keepLines w:val="0"/>
        <w:pageBreakBefore w:val="0"/>
        <w:widowControl w:val="0"/>
        <w:kinsoku/>
        <w:wordWrap/>
        <w:overflowPunct/>
        <w:topLinePunct w:val="0"/>
        <w:autoSpaceDE/>
        <w:autoSpaceDN/>
        <w:bidi w:val="0"/>
        <w:adjustRightInd/>
        <w:snapToGrid/>
        <w:spacing w:line="400" w:lineRule="exact"/>
        <w:ind w:left="0" w:leftChars="0" w:firstLine="420"/>
        <w:textAlignment w:val="auto"/>
        <w:rPr>
          <w:rFonts w:hint="eastAsia" w:ascii="宋体" w:hAnsi="宋体" w:eastAsia="宋体" w:cs="宋体"/>
          <w:color w:val="auto"/>
          <w:sz w:val="21"/>
          <w:szCs w:val="21"/>
          <w:highlight w:val="none"/>
        </w:rPr>
      </w:pPr>
    </w:p>
    <w:p w14:paraId="44AE7FD0">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24.磋商小组成立</w:t>
      </w:r>
    </w:p>
    <w:p w14:paraId="28B2093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采购项目工程，经批准采用竞争性磋商方式采购的，磋商小组由5人以上单数组成。</w:t>
      </w:r>
    </w:p>
    <w:p w14:paraId="14FABCE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评审专家应当从相应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9C077AF">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25.首次响应文件的开启</w:t>
      </w:r>
    </w:p>
    <w:p w14:paraId="3B8392E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首次响应文件由磋商小组或者采购代理机构在“供应商须知前附表”规定的时间开启。</w:t>
      </w:r>
    </w:p>
    <w:p w14:paraId="0EEF8853">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26.评审程序、评审方法和评审标准</w:t>
      </w:r>
    </w:p>
    <w:p w14:paraId="70A89CD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26.1本项目的评审方法为综合评分法。</w:t>
      </w:r>
    </w:p>
    <w:p w14:paraId="603710C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26.2磋商小组按照“第四章 评审程序、评审方法和评审标准”规定的方法、评审因素、标准和程序对响应文件进行评审。</w:t>
      </w:r>
    </w:p>
    <w:p w14:paraId="29EADFB8">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27.确定成交供应商及结果公告</w:t>
      </w:r>
    </w:p>
    <w:p w14:paraId="280E4B9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3C3F43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27.2采购代理机构应当在</w:t>
      </w:r>
      <w:r>
        <w:rPr>
          <w:rFonts w:hint="eastAsia" w:ascii="宋体" w:hAnsi="宋体" w:eastAsia="宋体" w:cs="宋体"/>
          <w:color w:val="auto"/>
          <w:kern w:val="0"/>
          <w:sz w:val="21"/>
          <w:szCs w:val="21"/>
          <w:highlight w:val="none"/>
        </w:rPr>
        <w:t>成交</w:t>
      </w:r>
      <w:r>
        <w:rPr>
          <w:rFonts w:hint="eastAsia" w:ascii="宋体" w:hAnsi="宋体" w:eastAsia="宋体" w:cs="宋体"/>
          <w:color w:val="auto"/>
          <w:sz w:val="21"/>
          <w:szCs w:val="21"/>
          <w:highlight w:val="none"/>
        </w:rPr>
        <w:t>供应商确定后2个工作日内，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17F39F2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3C2DD2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13C85E2F">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28.履约保证金</w:t>
      </w:r>
    </w:p>
    <w:p w14:paraId="59137788">
      <w:pPr>
        <w:keepNext w:val="0"/>
        <w:keepLines w:val="0"/>
        <w:pageBreakBefore w:val="0"/>
        <w:widowControl w:val="0"/>
        <w:kinsoku/>
        <w:wordWrap/>
        <w:overflowPunct/>
        <w:topLinePunct w:val="0"/>
        <w:autoSpaceDE/>
        <w:autoSpaceDN/>
        <w:bidi w:val="0"/>
        <w:adjustRightInd/>
        <w:snapToGrid/>
        <w:spacing w:line="400" w:lineRule="exact"/>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28.1履约保证金的金额、提交方式、退付的时间和条件详见 “供应商须知前附表”。成交供应商未按规定提交履约保证金的，视为拒绝与采购人签订合同，采购人可以按照评审报告推荐的成交候选人名单排序，确定下一候选人为成交供应商，也可以重新开展采购活动。</w:t>
      </w:r>
    </w:p>
    <w:p w14:paraId="5EA39096">
      <w:pPr>
        <w:keepNext w:val="0"/>
        <w:keepLines w:val="0"/>
        <w:pageBreakBefore w:val="0"/>
        <w:widowControl w:val="0"/>
        <w:kinsoku/>
        <w:wordWrap/>
        <w:overflowPunct/>
        <w:topLinePunct w:val="0"/>
        <w:autoSpaceDE/>
        <w:autoSpaceDN/>
        <w:bidi w:val="0"/>
        <w:adjustRightInd/>
        <w:snapToGrid/>
        <w:spacing w:line="400" w:lineRule="exact"/>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28.2签订合同后，如成交供应商不按双方签订的合同规定履约，则没收其全部履约保证金，履约保证金不足以赔偿损失的，按实际损失赔偿。</w:t>
      </w:r>
    </w:p>
    <w:p w14:paraId="2FC7B293">
      <w:pPr>
        <w:keepNext w:val="0"/>
        <w:keepLines w:val="0"/>
        <w:pageBreakBefore w:val="0"/>
        <w:widowControl w:val="0"/>
        <w:kinsoku/>
        <w:wordWrap/>
        <w:overflowPunct/>
        <w:topLinePunct w:val="0"/>
        <w:autoSpaceDE/>
        <w:autoSpaceDN/>
        <w:bidi w:val="0"/>
        <w:adjustRightInd/>
        <w:snapToGrid/>
        <w:spacing w:line="400" w:lineRule="exact"/>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28.3在履约保证金退还日期前，若成交供应商的开户名称、开户银行、账号有变动的，请以书面形式通知履约保证金收取单位，否则由此产生的后果由成交供应商自行承担。</w:t>
      </w:r>
    </w:p>
    <w:p w14:paraId="1339E04D">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29.签订合同</w:t>
      </w:r>
    </w:p>
    <w:p w14:paraId="340458B3">
      <w:pPr>
        <w:keepNext w:val="0"/>
        <w:keepLines w:val="0"/>
        <w:pageBreakBefore w:val="0"/>
        <w:widowControl w:val="0"/>
        <w:kinsoku/>
        <w:wordWrap/>
        <w:overflowPunct/>
        <w:topLinePunct w:val="0"/>
        <w:autoSpaceDE/>
        <w:autoSpaceDN/>
        <w:bidi w:val="0"/>
        <w:adjustRightInd/>
        <w:snapToGrid/>
        <w:spacing w:line="400" w:lineRule="exact"/>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29.1成交供应商在收到成交通知书后，应当在签订合同时向采购人出示相关证明材料，具体内容详见 “供应商须知前附表”，经采购人核验合格后方可签订合同。</w:t>
      </w:r>
    </w:p>
    <w:p w14:paraId="76B24BDD">
      <w:pPr>
        <w:keepNext w:val="0"/>
        <w:keepLines w:val="0"/>
        <w:pageBreakBefore w:val="0"/>
        <w:widowControl w:val="0"/>
        <w:kinsoku/>
        <w:wordWrap/>
        <w:overflowPunct/>
        <w:topLinePunct w:val="0"/>
        <w:autoSpaceDE/>
        <w:autoSpaceDN/>
        <w:bidi w:val="0"/>
        <w:adjustRightInd/>
        <w:snapToGrid/>
        <w:spacing w:line="400" w:lineRule="exact"/>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 签订合同时间：按成交通知书规定的时间与采购人签订采购项目合同。</w:t>
      </w:r>
    </w:p>
    <w:p w14:paraId="323D13DF">
      <w:pPr>
        <w:keepNext w:val="0"/>
        <w:keepLines w:val="0"/>
        <w:pageBreakBefore w:val="0"/>
        <w:widowControl w:val="0"/>
        <w:kinsoku/>
        <w:wordWrap/>
        <w:overflowPunct/>
        <w:topLinePunct w:val="0"/>
        <w:autoSpaceDE/>
        <w:autoSpaceDN/>
        <w:bidi w:val="0"/>
        <w:adjustRightInd/>
        <w:snapToGrid/>
        <w:spacing w:line="400" w:lineRule="exact"/>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成交供应商拒绝与采购人签订合同的，采购人可以按照评审报告推荐的成交候选人名单排序，确定下一候选人为成交供应商，也可以重新开展采购活动。拒绝签订采购合同的成交供应商不得参加对该合同项重新开展的采购活动。</w:t>
      </w:r>
    </w:p>
    <w:p w14:paraId="65EDBF28">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30.采购合同公告</w:t>
      </w:r>
    </w:p>
    <w:p w14:paraId="37E8216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依照</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规定，采购人可自行选择在采购项目合同签订</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，将采购合同在指定的媒体上公告，但采购合同中涉及国家秘密、商业秘密的内容除外。</w:t>
      </w:r>
    </w:p>
    <w:p w14:paraId="2ACC4456">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31. 询问、质疑和投诉</w:t>
      </w:r>
    </w:p>
    <w:p w14:paraId="06E38D1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31.1供应商对采购活动事项有疑问的，可以向采购人、采购代理机构提出询问，采购人或者采购代理机构应当在3个工作日内对供应商依法提出的询问作出答复。</w:t>
      </w:r>
    </w:p>
    <w:p w14:paraId="3038C80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z w:val="21"/>
          <w:szCs w:val="21"/>
          <w:highlight w:val="none"/>
          <w:shd w:val="clear" w:color="auto" w:fill="FFFFFF"/>
        </w:rPr>
        <w:t>接收质疑函的方式、联系部门、联系电话和通讯地址等信息详见</w:t>
      </w:r>
      <w:r>
        <w:rPr>
          <w:rFonts w:hint="eastAsia" w:ascii="宋体" w:hAnsi="宋体" w:eastAsia="宋体" w:cs="宋体"/>
          <w:color w:val="auto"/>
          <w:sz w:val="21"/>
          <w:szCs w:val="21"/>
          <w:highlight w:val="none"/>
        </w:rPr>
        <w:t>“供应商须知前附表”。具体质疑起算时间如下：</w:t>
      </w:r>
    </w:p>
    <w:p w14:paraId="22A7AEC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（1）对可以质疑的磋商文件提出质疑的，为收到磋商文件之日或者竞争性磋商公告期限届满之日；</w:t>
      </w:r>
    </w:p>
    <w:p w14:paraId="0B04854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30569F5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（3）对成交结果提出质疑的，为成交结果公告期限届满之日。</w:t>
      </w:r>
    </w:p>
    <w:p w14:paraId="58432B6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31.3供应商提出的询问或者质疑超出采购人对采购代理机构委托授权范围的，采购代理机构应当告知供应商向采购人提出。采购评审专家应当配合采购人或者采购代理机构答复供应商的询问和质疑。</w:t>
      </w:r>
    </w:p>
    <w:p w14:paraId="0339429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 w:val="21"/>
          <w:szCs w:val="21"/>
          <w:highlight w:val="none"/>
        </w:rPr>
        <w:t>（质疑函格式后附）</w:t>
      </w:r>
      <w:r>
        <w:rPr>
          <w:rFonts w:hint="eastAsia" w:ascii="宋体" w:hAnsi="宋体" w:eastAsia="宋体" w:cs="宋体"/>
          <w:color w:val="auto"/>
          <w:sz w:val="21"/>
          <w:szCs w:val="21"/>
          <w:highlight w:val="none"/>
        </w:rPr>
        <w:t>：</w:t>
      </w:r>
    </w:p>
    <w:p w14:paraId="7B6BB6C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（1）供应商的姓名或者名称、地址、邮编、联系人及联系电话；</w:t>
      </w:r>
    </w:p>
    <w:p w14:paraId="494BCF8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（2）质疑项目的名称、编号；</w:t>
      </w:r>
    </w:p>
    <w:p w14:paraId="795EA7A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（3）具体、明确的质疑事项和与质疑事项相关的请求；</w:t>
      </w:r>
    </w:p>
    <w:p w14:paraId="7A0CCE9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（4）事实依据；</w:t>
      </w:r>
    </w:p>
    <w:p w14:paraId="44B5804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（5）必要的法律依据；</w:t>
      </w:r>
    </w:p>
    <w:p w14:paraId="497562E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（6）提出质疑的日期。</w:t>
      </w:r>
    </w:p>
    <w:p w14:paraId="127C5F7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供应商为自然人的，应当由本人签字；供应商为法人或者其他组织的，应当由法定代表人、主要负责人，或者其委托代理人签字或者盖章，并加盖公章。</w:t>
      </w:r>
    </w:p>
    <w:p w14:paraId="7A01B96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1A3079A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（一）对采购文件提出的质疑，依法通过澄清或者修改可以继续开展采购活动的，澄清或者修改采购文件后继续开展采购活动；否则应当修改采购文件后重新开展采购活动。</w:t>
      </w:r>
    </w:p>
    <w:p w14:paraId="06A4045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3A64D30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质疑答复导致成交结果改变的，采购人或者采购代理机构应当将有关情况书面报告采购监管部门。</w:t>
      </w:r>
    </w:p>
    <w:p w14:paraId="1CD86FB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31.6投诉的权利。质疑供应商对采购人、采购代理机构的答复不满意，或者采购人、采购代理机构未在规定时间内作出答复的，可以在答复期满后15个工作日内向采购监管部门提起投诉（投诉书格式后附）。</w:t>
      </w:r>
    </w:p>
    <w:p w14:paraId="3B5EDC58">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32.其他内容</w:t>
      </w:r>
    </w:p>
    <w:p w14:paraId="330CDFF6">
      <w:pPr>
        <w:keepNext w:val="0"/>
        <w:keepLines w:val="0"/>
        <w:pageBreakBefore w:val="0"/>
        <w:widowControl w:val="0"/>
        <w:tabs>
          <w:tab w:val="left" w:pos="2835"/>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32.1代理服务收费标准及缴费账户详见“供应商须知前附表”，成交供应商在领取成交通知书之前一次性付清代理服务费。</w:t>
      </w:r>
    </w:p>
    <w:p w14:paraId="556611C3">
      <w:pPr>
        <w:keepNext w:val="0"/>
        <w:keepLines w:val="0"/>
        <w:pageBreakBefore w:val="0"/>
        <w:widowControl w:val="0"/>
        <w:tabs>
          <w:tab w:val="left" w:pos="2835"/>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32.2代理服务费收费计算标准：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8F5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67A2540A">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费率</w:t>
            </w:r>
          </w:p>
          <w:p w14:paraId="5FB69BE1">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w:t>
            </w:r>
          </w:p>
        </w:tc>
        <w:tc>
          <w:tcPr>
            <w:tcW w:w="1659" w:type="dxa"/>
            <w:noWrap w:val="0"/>
            <w:vAlign w:val="center"/>
          </w:tcPr>
          <w:p w14:paraId="3E565D8B">
            <w:pPr>
              <w:keepNext w:val="0"/>
              <w:keepLines w:val="0"/>
              <w:pageBreakBefore w:val="0"/>
              <w:widowControl w:val="0"/>
              <w:kinsoku/>
              <w:wordWrap/>
              <w:overflowPunct/>
              <w:topLinePunct w:val="0"/>
              <w:autoSpaceDE/>
              <w:autoSpaceDN/>
              <w:bidi w:val="0"/>
              <w:adjustRightInd/>
              <w:snapToGrid/>
              <w:spacing w:line="400" w:lineRule="exact"/>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w:t>
            </w:r>
          </w:p>
        </w:tc>
        <w:tc>
          <w:tcPr>
            <w:tcW w:w="1532" w:type="dxa"/>
            <w:noWrap w:val="0"/>
            <w:vAlign w:val="center"/>
          </w:tcPr>
          <w:p w14:paraId="27B4B883">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服务类</w:t>
            </w:r>
          </w:p>
        </w:tc>
        <w:tc>
          <w:tcPr>
            <w:tcW w:w="1546" w:type="dxa"/>
            <w:noWrap w:val="0"/>
            <w:vAlign w:val="center"/>
          </w:tcPr>
          <w:p w14:paraId="5B836B01">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工程类</w:t>
            </w:r>
          </w:p>
        </w:tc>
      </w:tr>
      <w:tr w14:paraId="6DE3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1E55C8A">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100万元以下</w:t>
            </w:r>
          </w:p>
        </w:tc>
        <w:tc>
          <w:tcPr>
            <w:tcW w:w="1659" w:type="dxa"/>
            <w:noWrap w:val="0"/>
            <w:vAlign w:val="top"/>
          </w:tcPr>
          <w:p w14:paraId="41F7E212">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1.5%                </w:t>
            </w:r>
          </w:p>
        </w:tc>
        <w:tc>
          <w:tcPr>
            <w:tcW w:w="1532" w:type="dxa"/>
            <w:noWrap w:val="0"/>
            <w:vAlign w:val="top"/>
          </w:tcPr>
          <w:p w14:paraId="2F3C5E34">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546" w:type="dxa"/>
            <w:noWrap w:val="0"/>
            <w:vAlign w:val="top"/>
          </w:tcPr>
          <w:p w14:paraId="467E0A16">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1.0% </w:t>
            </w:r>
          </w:p>
        </w:tc>
      </w:tr>
      <w:tr w14:paraId="4B48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00C48B4">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100～500万元</w:t>
            </w:r>
          </w:p>
        </w:tc>
        <w:tc>
          <w:tcPr>
            <w:tcW w:w="1659" w:type="dxa"/>
            <w:noWrap w:val="0"/>
            <w:vAlign w:val="top"/>
          </w:tcPr>
          <w:p w14:paraId="72FC98DC">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1.1%                 </w:t>
            </w:r>
          </w:p>
        </w:tc>
        <w:tc>
          <w:tcPr>
            <w:tcW w:w="1532" w:type="dxa"/>
            <w:noWrap w:val="0"/>
            <w:vAlign w:val="top"/>
          </w:tcPr>
          <w:p w14:paraId="6E004818">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546" w:type="dxa"/>
            <w:noWrap w:val="0"/>
            <w:vAlign w:val="top"/>
          </w:tcPr>
          <w:p w14:paraId="6FA4AF11">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0.7% </w:t>
            </w:r>
          </w:p>
        </w:tc>
      </w:tr>
      <w:tr w14:paraId="7C0F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7DB0D52">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500～1000万元</w:t>
            </w:r>
          </w:p>
        </w:tc>
        <w:tc>
          <w:tcPr>
            <w:tcW w:w="1659" w:type="dxa"/>
            <w:noWrap w:val="0"/>
            <w:vAlign w:val="top"/>
          </w:tcPr>
          <w:p w14:paraId="54FE44E5">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0.8%                </w:t>
            </w:r>
          </w:p>
        </w:tc>
        <w:tc>
          <w:tcPr>
            <w:tcW w:w="1532" w:type="dxa"/>
            <w:noWrap w:val="0"/>
            <w:vAlign w:val="top"/>
          </w:tcPr>
          <w:p w14:paraId="417A075D">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0.45%</w:t>
            </w:r>
          </w:p>
        </w:tc>
        <w:tc>
          <w:tcPr>
            <w:tcW w:w="1546" w:type="dxa"/>
            <w:noWrap w:val="0"/>
            <w:vAlign w:val="top"/>
          </w:tcPr>
          <w:p w14:paraId="2D9B9844">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0.55%</w:t>
            </w:r>
          </w:p>
        </w:tc>
      </w:tr>
      <w:tr w14:paraId="4E48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F663A77">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1000～5000万元</w:t>
            </w:r>
          </w:p>
        </w:tc>
        <w:tc>
          <w:tcPr>
            <w:tcW w:w="1659" w:type="dxa"/>
            <w:noWrap w:val="0"/>
            <w:vAlign w:val="top"/>
          </w:tcPr>
          <w:p w14:paraId="33D1FF3A">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0.5%                </w:t>
            </w:r>
          </w:p>
        </w:tc>
        <w:tc>
          <w:tcPr>
            <w:tcW w:w="1532" w:type="dxa"/>
            <w:noWrap w:val="0"/>
            <w:vAlign w:val="top"/>
          </w:tcPr>
          <w:p w14:paraId="1B166265">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546" w:type="dxa"/>
            <w:noWrap w:val="0"/>
            <w:vAlign w:val="top"/>
          </w:tcPr>
          <w:p w14:paraId="0BC9A103">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0.35% </w:t>
            </w:r>
          </w:p>
        </w:tc>
      </w:tr>
      <w:tr w14:paraId="3331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6F6C389">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5000万元～1亿元</w:t>
            </w:r>
          </w:p>
        </w:tc>
        <w:tc>
          <w:tcPr>
            <w:tcW w:w="1659" w:type="dxa"/>
            <w:noWrap w:val="0"/>
            <w:vAlign w:val="top"/>
          </w:tcPr>
          <w:p w14:paraId="75D69638">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0.25%                 </w:t>
            </w:r>
          </w:p>
        </w:tc>
        <w:tc>
          <w:tcPr>
            <w:tcW w:w="1532" w:type="dxa"/>
            <w:noWrap w:val="0"/>
            <w:vAlign w:val="top"/>
          </w:tcPr>
          <w:p w14:paraId="50D8A0BF">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0.1%</w:t>
            </w:r>
          </w:p>
        </w:tc>
        <w:tc>
          <w:tcPr>
            <w:tcW w:w="1546" w:type="dxa"/>
            <w:noWrap w:val="0"/>
            <w:vAlign w:val="top"/>
          </w:tcPr>
          <w:p w14:paraId="5C76E859">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w:t>
            </w:r>
          </w:p>
        </w:tc>
      </w:tr>
      <w:tr w14:paraId="3A64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FF0640F">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1～5亿元</w:t>
            </w:r>
          </w:p>
        </w:tc>
        <w:tc>
          <w:tcPr>
            <w:tcW w:w="1659" w:type="dxa"/>
            <w:noWrap w:val="0"/>
            <w:vAlign w:val="top"/>
          </w:tcPr>
          <w:p w14:paraId="45865EF7">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532" w:type="dxa"/>
            <w:noWrap w:val="0"/>
            <w:vAlign w:val="top"/>
          </w:tcPr>
          <w:p w14:paraId="263725C0">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0.05%</w:t>
            </w:r>
          </w:p>
        </w:tc>
        <w:tc>
          <w:tcPr>
            <w:tcW w:w="1546" w:type="dxa"/>
            <w:noWrap w:val="0"/>
            <w:vAlign w:val="top"/>
          </w:tcPr>
          <w:p w14:paraId="3437EB71">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0.05%</w:t>
            </w:r>
          </w:p>
        </w:tc>
      </w:tr>
      <w:tr w14:paraId="001E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7355AD3">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5～10亿元</w:t>
            </w:r>
          </w:p>
        </w:tc>
        <w:tc>
          <w:tcPr>
            <w:tcW w:w="1659" w:type="dxa"/>
            <w:noWrap w:val="0"/>
            <w:vAlign w:val="top"/>
          </w:tcPr>
          <w:p w14:paraId="2E40A678">
            <w:pPr>
              <w:keepNext w:val="0"/>
              <w:keepLines w:val="0"/>
              <w:pageBreakBefore w:val="0"/>
              <w:widowControl w:val="0"/>
              <w:kinsoku/>
              <w:wordWrap/>
              <w:overflowPunct/>
              <w:topLinePunct w:val="0"/>
              <w:autoSpaceDE/>
              <w:autoSpaceDN/>
              <w:bidi w:val="0"/>
              <w:adjustRightInd/>
              <w:snapToGrid/>
              <w:spacing w:line="40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c>
          <w:tcPr>
            <w:tcW w:w="1532" w:type="dxa"/>
            <w:noWrap w:val="0"/>
            <w:vAlign w:val="top"/>
          </w:tcPr>
          <w:p w14:paraId="666D9F84">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0.035%</w:t>
            </w:r>
          </w:p>
        </w:tc>
        <w:tc>
          <w:tcPr>
            <w:tcW w:w="1546" w:type="dxa"/>
            <w:noWrap w:val="0"/>
            <w:vAlign w:val="top"/>
          </w:tcPr>
          <w:p w14:paraId="375A286D">
            <w:pPr>
              <w:keepNext w:val="0"/>
              <w:keepLines w:val="0"/>
              <w:pageBreakBefore w:val="0"/>
              <w:widowControl w:val="0"/>
              <w:kinsoku/>
              <w:wordWrap/>
              <w:overflowPunct/>
              <w:topLinePunct w:val="0"/>
              <w:autoSpaceDE/>
              <w:autoSpaceDN/>
              <w:bidi w:val="0"/>
              <w:adjustRightInd/>
              <w:snapToGrid/>
              <w:spacing w:line="40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r>
      <w:tr w14:paraId="7CDF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F88C46F">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10～50亿元</w:t>
            </w:r>
          </w:p>
        </w:tc>
        <w:tc>
          <w:tcPr>
            <w:tcW w:w="1659" w:type="dxa"/>
            <w:noWrap w:val="0"/>
            <w:vAlign w:val="top"/>
          </w:tcPr>
          <w:p w14:paraId="2E7699E8">
            <w:pPr>
              <w:keepNext w:val="0"/>
              <w:keepLines w:val="0"/>
              <w:pageBreakBefore w:val="0"/>
              <w:widowControl w:val="0"/>
              <w:kinsoku/>
              <w:wordWrap/>
              <w:overflowPunct/>
              <w:topLinePunct w:val="0"/>
              <w:autoSpaceDE/>
              <w:autoSpaceDN/>
              <w:bidi w:val="0"/>
              <w:adjustRightInd/>
              <w:snapToGrid/>
              <w:spacing w:line="40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532" w:type="dxa"/>
            <w:noWrap w:val="0"/>
            <w:vAlign w:val="top"/>
          </w:tcPr>
          <w:p w14:paraId="4D56B104">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546" w:type="dxa"/>
            <w:noWrap w:val="0"/>
            <w:vAlign w:val="top"/>
          </w:tcPr>
          <w:p w14:paraId="50AA31D0">
            <w:pPr>
              <w:keepNext w:val="0"/>
              <w:keepLines w:val="0"/>
              <w:pageBreakBefore w:val="0"/>
              <w:widowControl w:val="0"/>
              <w:kinsoku/>
              <w:wordWrap/>
              <w:overflowPunct/>
              <w:topLinePunct w:val="0"/>
              <w:autoSpaceDE/>
              <w:autoSpaceDN/>
              <w:bidi w:val="0"/>
              <w:adjustRightInd/>
              <w:snapToGrid/>
              <w:spacing w:line="40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r>
      <w:tr w14:paraId="5F53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29F6E36">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50～100亿元</w:t>
            </w:r>
          </w:p>
        </w:tc>
        <w:tc>
          <w:tcPr>
            <w:tcW w:w="1659" w:type="dxa"/>
            <w:noWrap w:val="0"/>
            <w:vAlign w:val="top"/>
          </w:tcPr>
          <w:p w14:paraId="286BB8AB">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0.006%</w:t>
            </w:r>
          </w:p>
        </w:tc>
        <w:tc>
          <w:tcPr>
            <w:tcW w:w="1532" w:type="dxa"/>
            <w:noWrap w:val="0"/>
            <w:vAlign w:val="top"/>
          </w:tcPr>
          <w:p w14:paraId="66B30DF5">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c>
          <w:tcPr>
            <w:tcW w:w="1546" w:type="dxa"/>
            <w:noWrap w:val="0"/>
            <w:vAlign w:val="top"/>
          </w:tcPr>
          <w:p w14:paraId="5FC096F5">
            <w:pPr>
              <w:keepNext w:val="0"/>
              <w:keepLines w:val="0"/>
              <w:pageBreakBefore w:val="0"/>
              <w:widowControl w:val="0"/>
              <w:kinsoku/>
              <w:wordWrap/>
              <w:overflowPunct/>
              <w:topLinePunct w:val="0"/>
              <w:autoSpaceDE/>
              <w:autoSpaceDN/>
              <w:bidi w:val="0"/>
              <w:adjustRightInd/>
              <w:snapToGrid/>
              <w:spacing w:line="40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r>
      <w:tr w14:paraId="6AE8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CC7BA59">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100亿以上</w:t>
            </w:r>
          </w:p>
        </w:tc>
        <w:tc>
          <w:tcPr>
            <w:tcW w:w="1659" w:type="dxa"/>
            <w:noWrap w:val="0"/>
            <w:vAlign w:val="top"/>
          </w:tcPr>
          <w:p w14:paraId="1B60A3D4">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0.004%</w:t>
            </w:r>
          </w:p>
        </w:tc>
        <w:tc>
          <w:tcPr>
            <w:tcW w:w="1532" w:type="dxa"/>
            <w:noWrap w:val="0"/>
            <w:vAlign w:val="top"/>
          </w:tcPr>
          <w:p w14:paraId="20450BFA">
            <w:pPr>
              <w:keepNext w:val="0"/>
              <w:keepLines w:val="0"/>
              <w:pageBreakBefore w:val="0"/>
              <w:widowControl w:val="0"/>
              <w:kinsoku/>
              <w:wordWrap/>
              <w:overflowPunct/>
              <w:topLinePunct w:val="0"/>
              <w:autoSpaceDE/>
              <w:autoSpaceDN/>
              <w:bidi w:val="0"/>
              <w:adjustRightInd/>
              <w:snapToGrid/>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c>
          <w:tcPr>
            <w:tcW w:w="1546" w:type="dxa"/>
            <w:noWrap w:val="0"/>
            <w:vAlign w:val="top"/>
          </w:tcPr>
          <w:p w14:paraId="3878CA27">
            <w:pPr>
              <w:keepNext w:val="0"/>
              <w:keepLines w:val="0"/>
              <w:pageBreakBefore w:val="0"/>
              <w:widowControl w:val="0"/>
              <w:kinsoku/>
              <w:wordWrap/>
              <w:overflowPunct/>
              <w:topLinePunct w:val="0"/>
              <w:autoSpaceDE/>
              <w:autoSpaceDN/>
              <w:bidi w:val="0"/>
              <w:adjustRightInd/>
              <w:snapToGrid/>
              <w:spacing w:line="40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r>
    </w:tbl>
    <w:p w14:paraId="4A873378">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8CB9163">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（1）按本表费率计算的收费为采购代理的收费基准价格；</w:t>
      </w:r>
    </w:p>
    <w:p w14:paraId="461E759E">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（2）采购代理收费按差额定率累进法计算。</w:t>
      </w:r>
    </w:p>
    <w:p w14:paraId="74AAB350">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例如：某服务采购代理业务成交金额或者暂定价为150万元，计算采购代理收费额如下：</w:t>
      </w:r>
    </w:p>
    <w:p w14:paraId="516B9A94">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100万元×l.5%＝1.5万元</w:t>
      </w:r>
    </w:p>
    <w:p w14:paraId="30A482CB">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（150－100）万元×0.8%＝0.4万元</w:t>
      </w:r>
    </w:p>
    <w:p w14:paraId="2B437028">
      <w:pPr>
        <w:keepNext w:val="0"/>
        <w:keepLines w:val="0"/>
        <w:pageBreakBefore w:val="0"/>
        <w:widowControl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合计收费＝1.5＋0.4＝1.9万元</w:t>
      </w:r>
    </w:p>
    <w:p w14:paraId="70C0678E">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33.需要补充的其他内容</w:t>
      </w:r>
    </w:p>
    <w:p w14:paraId="76421700">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33.1本磋商文件解释规则详见“供应商须知前附表”。</w:t>
      </w:r>
    </w:p>
    <w:p w14:paraId="31734F4E">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33.2 其他事项详见“供应商须知前附表”。</w:t>
      </w:r>
    </w:p>
    <w:p w14:paraId="03DCF68F">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33.3本文件涉及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本次采购活动中视同中小企业。在本次采购活动中，供应商提供的</w:t>
      </w:r>
      <w:r>
        <w:rPr>
          <w:rFonts w:hint="eastAsia" w:ascii="宋体" w:hAnsi="宋体" w:eastAsia="宋体" w:cs="宋体"/>
          <w:color w:val="auto"/>
          <w:sz w:val="21"/>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1"/>
          <w:szCs w:val="21"/>
          <w:highlight w:val="none"/>
        </w:rPr>
        <w:t>，享受本文件规定的中小企业扶持政策。</w:t>
      </w:r>
    </w:p>
    <w:p w14:paraId="3D2AFAA1">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依据本文件规定享受扶持政策获得本次采购合同的，小微企业不得将合同分包给大中型企业，中型企业不得将合同分包给大型企业。</w:t>
      </w:r>
    </w:p>
    <w:p w14:paraId="33F30A85">
      <w:pPr>
        <w:spacing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highlight w:val="none"/>
        </w:rPr>
        <w:br w:type="page"/>
      </w:r>
      <w:r>
        <w:rPr>
          <w:rFonts w:hint="eastAsia" w:ascii="宋体" w:hAnsi="宋体" w:cs="宋体"/>
          <w:bCs/>
          <w:color w:val="auto"/>
          <w:sz w:val="21"/>
          <w:szCs w:val="21"/>
          <w:highlight w:val="none"/>
        </w:rPr>
        <w:t>附件1：</w:t>
      </w:r>
    </w:p>
    <w:p w14:paraId="299EA538">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采购项目履约保证金退付意见书</w:t>
      </w:r>
    </w:p>
    <w:p w14:paraId="0A62A383">
      <w:pPr>
        <w:jc w:val="center"/>
        <w:rPr>
          <w:rFonts w:hint="eastAsia" w:ascii="宋体" w:hAnsi="宋体" w:cs="宋体"/>
          <w:color w:val="auto"/>
          <w:sz w:val="36"/>
          <w:szCs w:val="36"/>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071E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18994F2D">
            <w:pPr>
              <w:jc w:val="center"/>
              <w:rPr>
                <w:rFonts w:hint="eastAsia" w:ascii="宋体" w:hAnsi="宋体" w:cs="宋体"/>
                <w:color w:val="auto"/>
                <w:szCs w:val="21"/>
                <w:highlight w:val="none"/>
              </w:rPr>
            </w:pPr>
            <w:r>
              <w:rPr>
                <w:rFonts w:hint="eastAsia" w:ascii="宋体" w:hAnsi="宋体" w:cs="宋体"/>
                <w:color w:val="auto"/>
                <w:szCs w:val="21"/>
                <w:highlight w:val="none"/>
              </w:rPr>
              <w:t>供</w:t>
            </w:r>
          </w:p>
          <w:p w14:paraId="7586C87C">
            <w:pPr>
              <w:jc w:val="center"/>
              <w:rPr>
                <w:rFonts w:hint="eastAsia" w:ascii="宋体" w:hAnsi="宋体" w:cs="宋体"/>
                <w:color w:val="auto"/>
                <w:szCs w:val="21"/>
                <w:highlight w:val="none"/>
              </w:rPr>
            </w:pPr>
            <w:r>
              <w:rPr>
                <w:rFonts w:hint="eastAsia" w:ascii="宋体" w:hAnsi="宋体" w:cs="宋体"/>
                <w:color w:val="auto"/>
                <w:szCs w:val="21"/>
                <w:highlight w:val="none"/>
              </w:rPr>
              <w:t>应</w:t>
            </w:r>
          </w:p>
          <w:p w14:paraId="1237758F">
            <w:pPr>
              <w:jc w:val="center"/>
              <w:rPr>
                <w:rFonts w:hint="eastAsia" w:ascii="宋体" w:hAnsi="宋体" w:cs="宋体"/>
                <w:color w:val="auto"/>
                <w:szCs w:val="21"/>
                <w:highlight w:val="none"/>
              </w:rPr>
            </w:pPr>
            <w:r>
              <w:rPr>
                <w:rFonts w:hint="eastAsia" w:ascii="宋体" w:hAnsi="宋体" w:cs="宋体"/>
                <w:color w:val="auto"/>
                <w:szCs w:val="21"/>
                <w:highlight w:val="none"/>
              </w:rPr>
              <w:t>商</w:t>
            </w:r>
          </w:p>
          <w:p w14:paraId="2FA54886">
            <w:pPr>
              <w:jc w:val="center"/>
              <w:rPr>
                <w:rFonts w:hint="eastAsia" w:ascii="宋体" w:hAnsi="宋体" w:cs="宋体"/>
                <w:color w:val="auto"/>
                <w:szCs w:val="21"/>
                <w:highlight w:val="none"/>
              </w:rPr>
            </w:pPr>
            <w:r>
              <w:rPr>
                <w:rFonts w:hint="eastAsia" w:ascii="宋体" w:hAnsi="宋体" w:cs="宋体"/>
                <w:color w:val="auto"/>
                <w:szCs w:val="21"/>
                <w:highlight w:val="none"/>
              </w:rPr>
              <w:t>申</w:t>
            </w:r>
          </w:p>
          <w:p w14:paraId="7FC9E0F8">
            <w:pPr>
              <w:jc w:val="center"/>
              <w:rPr>
                <w:rFonts w:hint="eastAsia" w:ascii="宋体" w:hAnsi="宋体" w:cs="宋体"/>
                <w:color w:val="auto"/>
                <w:szCs w:val="21"/>
                <w:highlight w:val="none"/>
              </w:rPr>
            </w:pPr>
            <w:r>
              <w:rPr>
                <w:rFonts w:hint="eastAsia" w:ascii="宋体" w:hAnsi="宋体" w:cs="宋体"/>
                <w:color w:val="auto"/>
                <w:szCs w:val="21"/>
                <w:highlight w:val="none"/>
              </w:rPr>
              <w:t>请</w:t>
            </w:r>
          </w:p>
        </w:tc>
        <w:tc>
          <w:tcPr>
            <w:tcW w:w="8009" w:type="dxa"/>
            <w:noWrap w:val="0"/>
            <w:vAlign w:val="center"/>
          </w:tcPr>
          <w:p w14:paraId="3D62C2E5">
            <w:pPr>
              <w:rPr>
                <w:rFonts w:hint="eastAsia" w:ascii="宋体" w:hAnsi="宋体" w:cs="宋体"/>
                <w:color w:val="auto"/>
                <w:szCs w:val="21"/>
                <w:highlight w:val="none"/>
              </w:rPr>
            </w:pPr>
            <w:r>
              <w:rPr>
                <w:rFonts w:hint="eastAsia" w:ascii="宋体" w:hAnsi="宋体" w:cs="宋体"/>
                <w:color w:val="auto"/>
                <w:szCs w:val="21"/>
                <w:highlight w:val="none"/>
              </w:rPr>
              <w:t>项目编号：</w:t>
            </w:r>
          </w:p>
        </w:tc>
      </w:tr>
      <w:tr w14:paraId="71F0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7D4D2822">
            <w:pPr>
              <w:rPr>
                <w:rFonts w:hint="eastAsia" w:ascii="宋体" w:hAnsi="宋体" w:cs="宋体"/>
                <w:color w:val="auto"/>
                <w:szCs w:val="21"/>
                <w:highlight w:val="none"/>
              </w:rPr>
            </w:pPr>
          </w:p>
        </w:tc>
        <w:tc>
          <w:tcPr>
            <w:tcW w:w="8009" w:type="dxa"/>
            <w:noWrap w:val="0"/>
            <w:vAlign w:val="center"/>
          </w:tcPr>
          <w:p w14:paraId="564E35C9">
            <w:pPr>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590E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5767FDCF">
            <w:pPr>
              <w:rPr>
                <w:rFonts w:hint="eastAsia" w:ascii="宋体" w:hAnsi="宋体" w:cs="宋体"/>
                <w:color w:val="auto"/>
                <w:szCs w:val="21"/>
                <w:highlight w:val="none"/>
              </w:rPr>
            </w:pPr>
          </w:p>
        </w:tc>
        <w:tc>
          <w:tcPr>
            <w:tcW w:w="8009" w:type="dxa"/>
            <w:noWrap w:val="0"/>
            <w:vAlign w:val="top"/>
          </w:tcPr>
          <w:p w14:paraId="73002057">
            <w:pP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3B339FFB">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该项目已于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日验收并交付使用。根据合同规定，该项目的履约保证金期限于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日已满，请将履约保证金</w:t>
            </w:r>
          </w:p>
          <w:p w14:paraId="73C8FF1E">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（小写）退付到达以下账户。</w:t>
            </w:r>
          </w:p>
          <w:p w14:paraId="4BE736C4">
            <w:pPr>
              <w:rPr>
                <w:rFonts w:hint="eastAsia" w:ascii="宋体" w:hAnsi="宋体" w:cs="宋体"/>
                <w:color w:val="auto"/>
                <w:szCs w:val="21"/>
                <w:highlight w:val="none"/>
              </w:rPr>
            </w:pPr>
            <w:r>
              <w:rPr>
                <w:rFonts w:hint="eastAsia" w:ascii="宋体" w:hAnsi="宋体" w:cs="宋体"/>
                <w:color w:val="auto"/>
                <w:szCs w:val="21"/>
                <w:highlight w:val="none"/>
              </w:rPr>
              <w:t>单位名称：</w:t>
            </w:r>
          </w:p>
          <w:p w14:paraId="7CFB8CF5">
            <w:pPr>
              <w:rPr>
                <w:rFonts w:hint="eastAsia" w:ascii="宋体" w:hAnsi="宋体" w:cs="宋体"/>
                <w:color w:val="auto"/>
                <w:szCs w:val="21"/>
                <w:highlight w:val="none"/>
              </w:rPr>
            </w:pPr>
            <w:r>
              <w:rPr>
                <w:rFonts w:hint="eastAsia" w:ascii="宋体" w:hAnsi="宋体" w:cs="宋体"/>
                <w:color w:val="auto"/>
                <w:szCs w:val="21"/>
                <w:highlight w:val="none"/>
              </w:rPr>
              <w:t>开户银行：</w:t>
            </w:r>
          </w:p>
          <w:p w14:paraId="3C5B2DBB">
            <w:pPr>
              <w:rPr>
                <w:rFonts w:hint="eastAsia" w:ascii="宋体" w:hAnsi="宋体" w:cs="宋体"/>
                <w:color w:val="auto"/>
                <w:szCs w:val="21"/>
                <w:highlight w:val="none"/>
              </w:rPr>
            </w:pPr>
            <w:r>
              <w:rPr>
                <w:rFonts w:hint="eastAsia" w:ascii="宋体" w:hAnsi="宋体" w:cs="宋体"/>
                <w:color w:val="auto"/>
                <w:szCs w:val="21"/>
                <w:highlight w:val="none"/>
              </w:rPr>
              <w:t>账    号：</w:t>
            </w:r>
          </w:p>
          <w:p w14:paraId="61D6437F">
            <w:pPr>
              <w:rPr>
                <w:rFonts w:hint="eastAsia" w:ascii="宋体" w:hAnsi="宋体" w:cs="宋体"/>
                <w:color w:val="auto"/>
                <w:szCs w:val="21"/>
                <w:highlight w:val="none"/>
              </w:rPr>
            </w:pPr>
            <w:r>
              <w:rPr>
                <w:rFonts w:hint="eastAsia" w:ascii="宋体" w:hAnsi="宋体" w:cs="宋体"/>
                <w:color w:val="auto"/>
                <w:szCs w:val="21"/>
                <w:highlight w:val="none"/>
              </w:rPr>
              <w:t>联系人及电话：</w:t>
            </w:r>
          </w:p>
          <w:p w14:paraId="1F9FDE8B">
            <w:pPr>
              <w:rPr>
                <w:rFonts w:hint="eastAsia" w:ascii="宋体" w:hAnsi="宋体" w:cs="宋体"/>
                <w:color w:val="auto"/>
                <w:szCs w:val="21"/>
                <w:highlight w:val="none"/>
              </w:rPr>
            </w:pPr>
          </w:p>
          <w:p w14:paraId="602EEC20">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供应商签章：</w:t>
            </w:r>
          </w:p>
          <w:p w14:paraId="7D11AF51">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2A96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55276EE6">
            <w:pPr>
              <w:jc w:val="center"/>
              <w:rPr>
                <w:rFonts w:hint="eastAsia" w:ascii="宋体" w:hAnsi="宋体" w:cs="宋体"/>
                <w:color w:val="auto"/>
                <w:szCs w:val="21"/>
                <w:highlight w:val="none"/>
              </w:rPr>
            </w:pPr>
            <w:r>
              <w:rPr>
                <w:rFonts w:hint="eastAsia" w:ascii="宋体" w:hAnsi="宋体" w:cs="宋体"/>
                <w:color w:val="auto"/>
                <w:szCs w:val="21"/>
                <w:highlight w:val="none"/>
              </w:rPr>
              <w:t>采</w:t>
            </w:r>
          </w:p>
          <w:p w14:paraId="014EA8A4">
            <w:pPr>
              <w:jc w:val="center"/>
              <w:rPr>
                <w:rFonts w:hint="eastAsia" w:ascii="宋体" w:hAnsi="宋体" w:cs="宋体"/>
                <w:color w:val="auto"/>
                <w:szCs w:val="21"/>
                <w:highlight w:val="none"/>
              </w:rPr>
            </w:pPr>
            <w:r>
              <w:rPr>
                <w:rFonts w:hint="eastAsia" w:ascii="宋体" w:hAnsi="宋体" w:cs="宋体"/>
                <w:color w:val="auto"/>
                <w:szCs w:val="21"/>
                <w:highlight w:val="none"/>
              </w:rPr>
              <w:t>购</w:t>
            </w:r>
          </w:p>
          <w:p w14:paraId="48586C83">
            <w:pPr>
              <w:jc w:val="center"/>
              <w:rPr>
                <w:rFonts w:hint="eastAsia" w:ascii="宋体" w:hAnsi="宋体" w:cs="宋体"/>
                <w:color w:val="auto"/>
                <w:szCs w:val="21"/>
                <w:highlight w:val="none"/>
              </w:rPr>
            </w:pPr>
            <w:r>
              <w:rPr>
                <w:rFonts w:hint="eastAsia" w:ascii="宋体" w:hAnsi="宋体" w:cs="宋体"/>
                <w:color w:val="auto"/>
                <w:szCs w:val="21"/>
                <w:highlight w:val="none"/>
              </w:rPr>
              <w:t>单</w:t>
            </w:r>
          </w:p>
          <w:p w14:paraId="12BA0D14">
            <w:pPr>
              <w:jc w:val="center"/>
              <w:rPr>
                <w:rFonts w:hint="eastAsia" w:ascii="宋体" w:hAnsi="宋体" w:cs="宋体"/>
                <w:color w:val="auto"/>
                <w:szCs w:val="21"/>
                <w:highlight w:val="none"/>
              </w:rPr>
            </w:pPr>
            <w:r>
              <w:rPr>
                <w:rFonts w:hint="eastAsia" w:ascii="宋体" w:hAnsi="宋体" w:cs="宋体"/>
                <w:color w:val="auto"/>
                <w:szCs w:val="21"/>
                <w:highlight w:val="none"/>
              </w:rPr>
              <w:t>位</w:t>
            </w:r>
          </w:p>
          <w:p w14:paraId="3ED61DAC">
            <w:pPr>
              <w:jc w:val="center"/>
              <w:rPr>
                <w:rFonts w:hint="eastAsia" w:ascii="宋体" w:hAnsi="宋体" w:cs="宋体"/>
                <w:color w:val="auto"/>
                <w:szCs w:val="21"/>
                <w:highlight w:val="none"/>
              </w:rPr>
            </w:pPr>
            <w:r>
              <w:rPr>
                <w:rFonts w:hint="eastAsia" w:ascii="宋体" w:hAnsi="宋体" w:cs="宋体"/>
                <w:color w:val="auto"/>
                <w:szCs w:val="21"/>
                <w:highlight w:val="none"/>
              </w:rPr>
              <w:t>意</w:t>
            </w:r>
          </w:p>
          <w:p w14:paraId="551B4453">
            <w:pPr>
              <w:jc w:val="center"/>
              <w:rPr>
                <w:rFonts w:hint="eastAsia" w:ascii="宋体" w:hAnsi="宋体" w:cs="宋体"/>
                <w:color w:val="auto"/>
                <w:szCs w:val="21"/>
                <w:highlight w:val="none"/>
              </w:rPr>
            </w:pPr>
            <w:r>
              <w:rPr>
                <w:rFonts w:hint="eastAsia" w:ascii="宋体" w:hAnsi="宋体" w:cs="宋体"/>
                <w:color w:val="auto"/>
                <w:szCs w:val="21"/>
                <w:highlight w:val="none"/>
              </w:rPr>
              <w:t>见</w:t>
            </w:r>
          </w:p>
        </w:tc>
        <w:tc>
          <w:tcPr>
            <w:tcW w:w="8009" w:type="dxa"/>
            <w:noWrap w:val="0"/>
            <w:vAlign w:val="top"/>
          </w:tcPr>
          <w:p w14:paraId="3A483E1B">
            <w:pPr>
              <w:rPr>
                <w:rFonts w:hint="eastAsia" w:ascii="宋体" w:hAnsi="宋体" w:cs="宋体"/>
                <w:color w:val="auto"/>
                <w:szCs w:val="21"/>
                <w:highlight w:val="none"/>
              </w:rPr>
            </w:pPr>
          </w:p>
          <w:p w14:paraId="7B3E1059">
            <w:pPr>
              <w:rPr>
                <w:rFonts w:hint="eastAsia" w:ascii="宋体" w:hAnsi="宋体" w:cs="宋体"/>
                <w:color w:val="auto"/>
                <w:szCs w:val="21"/>
                <w:highlight w:val="none"/>
              </w:rPr>
            </w:pPr>
            <w:r>
              <w:rPr>
                <w:rFonts w:hint="eastAsia" w:ascii="宋体" w:hAnsi="宋体" w:cs="宋体"/>
                <w:color w:val="auto"/>
                <w:szCs w:val="21"/>
                <w:highlight w:val="none"/>
              </w:rPr>
              <w:t>退付意见：是否同意退付履约保证金及退付金额：</w:t>
            </w:r>
          </w:p>
          <w:p w14:paraId="6544576D">
            <w:pPr>
              <w:rPr>
                <w:rFonts w:hint="eastAsia" w:ascii="宋体" w:hAnsi="宋体" w:cs="宋体"/>
                <w:color w:val="auto"/>
                <w:szCs w:val="21"/>
                <w:highlight w:val="none"/>
              </w:rPr>
            </w:pPr>
          </w:p>
          <w:p w14:paraId="05B58D6D">
            <w:pPr>
              <w:rPr>
                <w:rFonts w:hint="eastAsia" w:ascii="宋体" w:hAnsi="宋体" w:cs="宋体"/>
                <w:color w:val="auto"/>
                <w:szCs w:val="21"/>
                <w:highlight w:val="none"/>
              </w:rPr>
            </w:pPr>
          </w:p>
          <w:p w14:paraId="2CC59B84">
            <w:pPr>
              <w:rPr>
                <w:rFonts w:hint="eastAsia" w:ascii="宋体" w:hAnsi="宋体" w:cs="宋体"/>
                <w:color w:val="auto"/>
                <w:szCs w:val="21"/>
                <w:highlight w:val="none"/>
              </w:rPr>
            </w:pPr>
            <w:r>
              <w:rPr>
                <w:rFonts w:hint="eastAsia" w:ascii="宋体" w:hAnsi="宋体" w:cs="宋体"/>
                <w:color w:val="auto"/>
                <w:szCs w:val="21"/>
                <w:highlight w:val="none"/>
              </w:rPr>
              <w:t xml:space="preserve">联系人及电话：                                </w:t>
            </w:r>
          </w:p>
          <w:p w14:paraId="235CED60">
            <w:pPr>
              <w:rPr>
                <w:rFonts w:hint="eastAsia" w:ascii="宋体" w:hAnsi="宋体" w:cs="宋体"/>
                <w:color w:val="auto"/>
                <w:szCs w:val="21"/>
                <w:highlight w:val="none"/>
              </w:rPr>
            </w:pPr>
          </w:p>
          <w:p w14:paraId="7FA30EF1">
            <w:pPr>
              <w:ind w:firstLine="3990" w:firstLineChars="1900"/>
              <w:rPr>
                <w:rFonts w:hint="eastAsia" w:ascii="宋体" w:hAnsi="宋体" w:cs="宋体"/>
                <w:color w:val="auto"/>
                <w:szCs w:val="21"/>
                <w:highlight w:val="none"/>
              </w:rPr>
            </w:pPr>
            <w:r>
              <w:rPr>
                <w:rFonts w:hint="eastAsia" w:ascii="宋体" w:hAnsi="宋体" w:cs="宋体"/>
                <w:color w:val="auto"/>
                <w:szCs w:val="21"/>
                <w:highlight w:val="none"/>
              </w:rPr>
              <w:t xml:space="preserve"> 采购人签章：</w:t>
            </w:r>
          </w:p>
          <w:p w14:paraId="79E71C20">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7B11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6A5B663A">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8009" w:type="dxa"/>
            <w:noWrap w:val="0"/>
            <w:vAlign w:val="top"/>
          </w:tcPr>
          <w:p w14:paraId="21074C7F">
            <w:pPr>
              <w:rPr>
                <w:rFonts w:hint="eastAsia" w:ascii="宋体" w:hAnsi="宋体" w:cs="宋体"/>
                <w:color w:val="auto"/>
                <w:szCs w:val="21"/>
                <w:highlight w:val="none"/>
              </w:rPr>
            </w:pPr>
          </w:p>
        </w:tc>
      </w:tr>
    </w:tbl>
    <w:p w14:paraId="7F4E053A">
      <w:pPr>
        <w:pStyle w:val="10"/>
        <w:ind w:left="1" w:firstLine="2" w:firstLineChars="1"/>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注：供应商凭经采购人审批的退付意见书到履约保证金收取单位财务部门办理履约保证金退付事宜。</w:t>
      </w:r>
    </w:p>
    <w:p w14:paraId="76EA92F3">
      <w:pPr>
        <w:pStyle w:val="14"/>
        <w:snapToGrid w:val="0"/>
        <w:spacing w:before="120" w:after="120"/>
        <w:rPr>
          <w:rFonts w:hint="eastAsia" w:hAnsi="宋体" w:cs="宋体"/>
          <w:color w:val="auto"/>
          <w:highlight w:val="none"/>
        </w:rPr>
      </w:pPr>
    </w:p>
    <w:p w14:paraId="76BBCB0F">
      <w:pPr>
        <w:jc w:val="left"/>
        <w:rPr>
          <w:rFonts w:hint="eastAsia" w:ascii="宋体" w:hAnsi="宋体" w:cs="宋体"/>
          <w:b/>
          <w:color w:val="auto"/>
          <w:sz w:val="32"/>
          <w:szCs w:val="32"/>
          <w:highlight w:val="none"/>
        </w:rPr>
      </w:pPr>
    </w:p>
    <w:p w14:paraId="4F9D878A">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p>
    <w:p w14:paraId="464E24A2">
      <w:pPr>
        <w:pStyle w:val="20"/>
        <w:snapToGrid w:val="0"/>
        <w:spacing w:before="0" w:after="0" w:line="360" w:lineRule="auto"/>
        <w:outlineLvl w:val="9"/>
        <w:rPr>
          <w:rFonts w:ascii="宋体" w:hAnsi="宋体" w:cs="宋体"/>
          <w:color w:val="auto"/>
          <w:sz w:val="21"/>
          <w:szCs w:val="21"/>
          <w:highlight w:val="none"/>
        </w:rPr>
      </w:pPr>
    </w:p>
    <w:p w14:paraId="36F04722">
      <w:pPr>
        <w:pStyle w:val="3"/>
        <w:pageBreakBefore w:val="0"/>
        <w:widowControl w:val="0"/>
        <w:kinsoku/>
        <w:wordWrap/>
        <w:overflowPunct/>
        <w:topLinePunct w:val="0"/>
        <w:autoSpaceDE/>
        <w:autoSpaceDN/>
        <w:bidi w:val="0"/>
        <w:adjustRightInd/>
        <w:snapToGrid/>
        <w:spacing w:before="0" w:after="0" w:line="400" w:lineRule="exact"/>
        <w:ind w:left="0"/>
        <w:jc w:val="center"/>
        <w:textAlignment w:val="auto"/>
        <w:rPr>
          <w:rFonts w:hint="eastAsia" w:ascii="方正小标宋_GBK" w:hAnsi="方正小标宋_GBK" w:eastAsia="方正小标宋_GBK" w:cs="方正小标宋_GBK"/>
          <w:b w:val="0"/>
          <w:bCs w:val="0"/>
          <w:color w:val="auto"/>
          <w:kern w:val="2"/>
          <w:sz w:val="21"/>
          <w:szCs w:val="21"/>
          <w:highlight w:val="none"/>
          <w:lang w:val="en-US" w:eastAsia="zh-CN" w:bidi="ar-SA"/>
        </w:rPr>
      </w:pPr>
      <w:r>
        <w:rPr>
          <w:rFonts w:hint="eastAsia" w:ascii="宋体" w:hAnsi="宋体" w:cs="宋体"/>
          <w:color w:val="auto"/>
          <w:sz w:val="21"/>
          <w:szCs w:val="21"/>
          <w:highlight w:val="none"/>
        </w:rPr>
        <w:br w:type="page"/>
      </w:r>
      <w:bookmarkStart w:id="63" w:name="_Toc27800"/>
      <w:bookmarkStart w:id="64" w:name="_Toc14478"/>
      <w:bookmarkStart w:id="65" w:name="_Toc14394"/>
      <w:bookmarkStart w:id="66" w:name="_Toc9211"/>
      <w:r>
        <w:rPr>
          <w:rFonts w:hint="eastAsia" w:ascii="方正小标宋_GBK" w:hAnsi="方正小标宋_GBK" w:eastAsia="方正小标宋_GBK" w:cs="方正小标宋_GBK"/>
          <w:b w:val="0"/>
          <w:bCs w:val="0"/>
          <w:color w:val="auto"/>
          <w:kern w:val="2"/>
          <w:sz w:val="21"/>
          <w:szCs w:val="21"/>
          <w:highlight w:val="none"/>
          <w:lang w:val="en-US" w:eastAsia="zh-CN" w:bidi="ar-SA"/>
        </w:rPr>
        <w:t xml:space="preserve">第三章  </w:t>
      </w:r>
      <w:bookmarkEnd w:id="63"/>
      <w:bookmarkEnd w:id="64"/>
      <w:bookmarkEnd w:id="65"/>
      <w:r>
        <w:rPr>
          <w:rFonts w:hint="eastAsia" w:ascii="方正小标宋_GBK" w:hAnsi="方正小标宋_GBK" w:eastAsia="方正小标宋_GBK" w:cs="方正小标宋_GBK"/>
          <w:b w:val="0"/>
          <w:bCs w:val="0"/>
          <w:color w:val="auto"/>
          <w:kern w:val="2"/>
          <w:sz w:val="21"/>
          <w:szCs w:val="21"/>
          <w:highlight w:val="none"/>
          <w:lang w:val="en-US" w:eastAsia="zh-CN" w:bidi="ar-SA"/>
        </w:rPr>
        <w:t>项目采购需求</w:t>
      </w:r>
      <w:bookmarkEnd w:id="66"/>
    </w:p>
    <w:p w14:paraId="69B38016">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p>
    <w:p w14:paraId="69FA94C0">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7D623FA3">
      <w:pPr>
        <w:keepNext w:val="0"/>
        <w:keepLines w:val="0"/>
        <w:pageBreakBefore w:val="0"/>
        <w:widowControl w:val="0"/>
        <w:kinsoku/>
        <w:wordWrap/>
        <w:overflowPunct/>
        <w:topLinePunct w:val="0"/>
        <w:autoSpaceDE/>
        <w:autoSpaceDN/>
        <w:bidi w:val="0"/>
        <w:adjustRightInd w:val="0"/>
        <w:snapToGrid/>
        <w:spacing w:line="400" w:lineRule="exact"/>
        <w:ind w:left="0" w:firstLine="43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rPr>
        <w:t>需求一览表中标注</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号的部分为实质性要求和条件。</w:t>
      </w:r>
    </w:p>
    <w:p w14:paraId="3DDE23FA">
      <w:pPr>
        <w:keepNext w:val="0"/>
        <w:keepLines w:val="0"/>
        <w:pageBreakBefore w:val="0"/>
        <w:widowControl w:val="0"/>
        <w:kinsoku/>
        <w:wordWrap/>
        <w:overflowPunct/>
        <w:topLinePunct w:val="0"/>
        <w:autoSpaceDE/>
        <w:autoSpaceDN/>
        <w:bidi w:val="0"/>
        <w:adjustRightInd w:val="0"/>
        <w:snapToGrid/>
        <w:spacing w:line="400" w:lineRule="exact"/>
        <w:ind w:left="0" w:firstLine="43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rPr>
        <w:t>需求一览表中内容如与第</w:t>
      </w:r>
      <w:r>
        <w:rPr>
          <w:rFonts w:hint="eastAsia" w:ascii="宋体" w:hAnsi="宋体" w:eastAsia="宋体" w:cs="宋体"/>
          <w:bCs/>
          <w:color w:val="auto"/>
          <w:sz w:val="21"/>
          <w:szCs w:val="21"/>
          <w:highlight w:val="none"/>
          <w:lang w:eastAsia="zh-CN"/>
        </w:rPr>
        <w:t>五</w:t>
      </w:r>
      <w:r>
        <w:rPr>
          <w:rFonts w:hint="eastAsia" w:ascii="宋体" w:hAnsi="宋体" w:eastAsia="宋体" w:cs="宋体"/>
          <w:bCs/>
          <w:color w:val="auto"/>
          <w:sz w:val="21"/>
          <w:szCs w:val="21"/>
          <w:highlight w:val="none"/>
        </w:rPr>
        <w:t>章“合同条款及格式”相关条款不一致的，以本表为准。</w:t>
      </w:r>
    </w:p>
    <w:tbl>
      <w:tblPr>
        <w:tblStyle w:val="23"/>
        <w:tblW w:w="834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54"/>
        <w:gridCol w:w="555"/>
        <w:gridCol w:w="555"/>
        <w:gridCol w:w="5286"/>
        <w:gridCol w:w="650"/>
      </w:tblGrid>
      <w:tr w14:paraId="7DA0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0" w:type="dxa"/>
            <w:gridSpan w:val="6"/>
            <w:noWrap w:val="0"/>
            <w:vAlign w:val="center"/>
          </w:tcPr>
          <w:p w14:paraId="33E28E36">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一、</w:t>
            </w:r>
            <w:r>
              <w:rPr>
                <w:rFonts w:hint="eastAsia" w:ascii="宋体" w:hAnsi="宋体" w:cs="宋体"/>
                <w:color w:val="auto"/>
                <w:sz w:val="21"/>
                <w:szCs w:val="21"/>
                <w:highlight w:val="none"/>
                <w:lang w:val="en-US" w:eastAsia="zh-CN"/>
              </w:rPr>
              <w:t>服务内容及</w:t>
            </w:r>
            <w:r>
              <w:rPr>
                <w:rFonts w:hint="default" w:ascii="宋体" w:hAnsi="宋体" w:eastAsia="宋体" w:cs="宋体"/>
                <w:color w:val="auto"/>
                <w:sz w:val="21"/>
                <w:szCs w:val="21"/>
                <w:highlight w:val="none"/>
                <w:lang w:val="en-US" w:eastAsia="zh-CN"/>
              </w:rPr>
              <w:t>需求</w:t>
            </w:r>
            <w:r>
              <w:rPr>
                <w:rFonts w:hint="eastAsia" w:ascii="宋体" w:hAnsi="宋体" w:eastAsia="宋体" w:cs="宋体"/>
                <w:color w:val="auto"/>
                <w:sz w:val="21"/>
                <w:szCs w:val="21"/>
                <w:highlight w:val="none"/>
                <w:lang w:val="en-US" w:eastAsia="zh-CN"/>
              </w:rPr>
              <w:t>一览表</w:t>
            </w:r>
            <w:r>
              <w:rPr>
                <w:rFonts w:hint="eastAsia" w:ascii="宋体" w:hAnsi="宋体" w:eastAsia="宋体" w:cs="宋体"/>
                <w:color w:val="auto"/>
                <w:szCs w:val="21"/>
                <w:highlight w:val="none"/>
                <w:lang w:val="en-US" w:eastAsia="zh-CN"/>
              </w:rPr>
              <w:t>：</w:t>
            </w:r>
          </w:p>
        </w:tc>
      </w:tr>
      <w:tr w14:paraId="7A2D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auto"/>
            <w:noWrap w:val="0"/>
            <w:vAlign w:val="center"/>
          </w:tcPr>
          <w:p w14:paraId="3E6648B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序号</w:t>
            </w:r>
          </w:p>
        </w:tc>
        <w:tc>
          <w:tcPr>
            <w:tcW w:w="754" w:type="dxa"/>
            <w:shd w:val="clear" w:color="auto" w:fill="auto"/>
            <w:noWrap w:val="0"/>
            <w:vAlign w:val="center"/>
          </w:tcPr>
          <w:p w14:paraId="59A99708">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标的名称</w:t>
            </w:r>
          </w:p>
        </w:tc>
        <w:tc>
          <w:tcPr>
            <w:tcW w:w="555" w:type="dxa"/>
            <w:shd w:val="clear" w:color="auto" w:fill="auto"/>
            <w:noWrap w:val="0"/>
            <w:vAlign w:val="center"/>
          </w:tcPr>
          <w:p w14:paraId="195591E0">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数量</w:t>
            </w:r>
          </w:p>
        </w:tc>
        <w:tc>
          <w:tcPr>
            <w:tcW w:w="555" w:type="dxa"/>
            <w:shd w:val="clear" w:color="auto" w:fill="auto"/>
            <w:noWrap w:val="0"/>
            <w:vAlign w:val="center"/>
          </w:tcPr>
          <w:p w14:paraId="07A1C92E">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单位</w:t>
            </w:r>
          </w:p>
        </w:tc>
        <w:tc>
          <w:tcPr>
            <w:tcW w:w="5286" w:type="dxa"/>
            <w:shd w:val="clear" w:color="auto" w:fill="auto"/>
            <w:noWrap w:val="0"/>
            <w:vAlign w:val="center"/>
          </w:tcPr>
          <w:p w14:paraId="21147C7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服务内容及</w:t>
            </w:r>
            <w:r>
              <w:rPr>
                <w:rFonts w:hint="default" w:ascii="宋体" w:hAnsi="宋体" w:eastAsia="宋体" w:cs="宋体"/>
                <w:color w:val="auto"/>
                <w:sz w:val="21"/>
                <w:szCs w:val="21"/>
                <w:highlight w:val="none"/>
                <w:lang w:val="en-US" w:eastAsia="zh-CN"/>
              </w:rPr>
              <w:t>需求</w:t>
            </w:r>
          </w:p>
        </w:tc>
        <w:tc>
          <w:tcPr>
            <w:tcW w:w="650" w:type="dxa"/>
            <w:shd w:val="clear" w:color="auto" w:fill="auto"/>
            <w:noWrap w:val="0"/>
            <w:vAlign w:val="center"/>
          </w:tcPr>
          <w:p w14:paraId="70BCAED7">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所属行业</w:t>
            </w:r>
          </w:p>
        </w:tc>
      </w:tr>
      <w:tr w14:paraId="3576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14:paraId="417ED7F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w:t>
            </w:r>
          </w:p>
        </w:tc>
        <w:tc>
          <w:tcPr>
            <w:tcW w:w="754" w:type="dxa"/>
            <w:noWrap w:val="0"/>
            <w:vAlign w:val="center"/>
          </w:tcPr>
          <w:p w14:paraId="1D05AD2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hint="eastAsia" w:ascii="宋体" w:hAnsi="宋体" w:eastAsia="宋体" w:cs="宋体"/>
                <w:i w:val="0"/>
                <w:iCs w:val="0"/>
                <w:color w:val="auto"/>
                <w:kern w:val="2"/>
                <w:sz w:val="21"/>
                <w:szCs w:val="21"/>
                <w:highlight w:val="none"/>
                <w:lang w:val="en-US" w:eastAsia="zh-CN" w:bidi="ar-SA"/>
              </w:rPr>
            </w:pPr>
            <w:r>
              <w:rPr>
                <w:rStyle w:val="26"/>
                <w:rFonts w:hint="eastAsia" w:ascii="宋体" w:hAnsi="宋体" w:eastAsia="宋体" w:cs="宋体"/>
                <w:b w:val="0"/>
                <w:bCs w:val="0"/>
                <w:color w:val="auto"/>
                <w:sz w:val="21"/>
                <w:szCs w:val="21"/>
                <w:highlight w:val="none"/>
                <w:lang w:val="en-US" w:eastAsia="zh-CN"/>
              </w:rPr>
              <w:t>美丽广西建设项目</w:t>
            </w:r>
          </w:p>
        </w:tc>
        <w:tc>
          <w:tcPr>
            <w:tcW w:w="555" w:type="dxa"/>
            <w:noWrap w:val="0"/>
            <w:vAlign w:val="center"/>
          </w:tcPr>
          <w:p w14:paraId="77D0744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555" w:type="dxa"/>
            <w:noWrap w:val="0"/>
            <w:vAlign w:val="center"/>
          </w:tcPr>
          <w:p w14:paraId="2380576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color w:val="auto"/>
                <w:sz w:val="21"/>
                <w:szCs w:val="21"/>
                <w:highlight w:val="none"/>
              </w:rPr>
              <w:t>项</w:t>
            </w:r>
          </w:p>
        </w:tc>
        <w:tc>
          <w:tcPr>
            <w:tcW w:w="5286" w:type="dxa"/>
            <w:noWrap w:val="0"/>
            <w:vAlign w:val="center"/>
          </w:tcPr>
          <w:p w14:paraId="4AE4258F">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、服务内容和技术要求</w:t>
            </w:r>
          </w:p>
          <w:p w14:paraId="5CE0E1F0">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主要服务</w:t>
            </w:r>
            <w:r>
              <w:rPr>
                <w:rFonts w:hint="eastAsia" w:ascii="宋体" w:hAnsi="宋体" w:eastAsia="宋体" w:cs="宋体"/>
                <w:b/>
                <w:color w:val="auto"/>
                <w:sz w:val="21"/>
                <w:szCs w:val="21"/>
                <w:highlight w:val="none"/>
                <w:lang w:val="en-US" w:eastAsia="zh-CN"/>
              </w:rPr>
              <w:t>内容</w:t>
            </w:r>
          </w:p>
          <w:p w14:paraId="13D76D5A">
            <w:pPr>
              <w:keepNext w:val="0"/>
              <w:keepLines w:val="0"/>
              <w:pageBreakBefore w:val="0"/>
              <w:widowControl w:val="0"/>
              <w:numPr>
                <w:ilvl w:val="0"/>
                <w:numId w:val="0"/>
              </w:numPr>
              <w:kinsoku/>
              <w:wordWrap/>
              <w:overflowPunct/>
              <w:topLinePunct w:val="0"/>
              <w:autoSpaceDE/>
              <w:autoSpaceDN/>
              <w:bidi w:val="0"/>
              <w:adjustRightInd w:val="0"/>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国家及自治区相关要求，围绕加快发展方式绿色转型、深入推进污染防治攻坚战、提升生态系统多样性稳定性持续性、守牢安全底线、打造美丽建设示范样板等十个方面，对广西落实美丽中国建设、推进美丽广西建设的重点任务实施、指标完成情况进行评估，分析识别建设过程存在的短板、困难和问题，谋划下一步推进措施和计划</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重点</w:t>
            </w:r>
            <w:r>
              <w:rPr>
                <w:rFonts w:hint="eastAsia" w:ascii="宋体" w:hAnsi="宋体" w:eastAsia="宋体" w:cs="宋体"/>
                <w:color w:val="auto"/>
                <w:sz w:val="21"/>
                <w:szCs w:val="21"/>
                <w:highlight w:val="none"/>
                <w:lang w:eastAsia="zh-CN"/>
              </w:rPr>
              <w:t>根据</w:t>
            </w:r>
            <w:r>
              <w:rPr>
                <w:rFonts w:hint="eastAsia" w:ascii="宋体" w:hAnsi="宋体" w:eastAsia="宋体" w:cs="宋体"/>
                <w:color w:val="auto"/>
                <w:sz w:val="21"/>
                <w:szCs w:val="21"/>
                <w:highlight w:val="none"/>
              </w:rPr>
              <w:t>履行美丽中国建设责任落实情况、美丽中国建设年度主要目标重点任务完成情况、资金投入使用情况、公众满意程度等5个方面</w:t>
            </w:r>
            <w:r>
              <w:rPr>
                <w:rFonts w:hint="eastAsia" w:ascii="宋体" w:hAnsi="宋体" w:eastAsia="宋体" w:cs="宋体"/>
                <w:b w:val="0"/>
                <w:bCs w:val="0"/>
                <w:color w:val="auto"/>
                <w:sz w:val="21"/>
                <w:szCs w:val="21"/>
                <w:highlight w:val="none"/>
              </w:rPr>
              <w:t>开展美丽中国建设成效考核2025年度摸底自评</w:t>
            </w:r>
            <w:r>
              <w:rPr>
                <w:rFonts w:hint="eastAsia" w:ascii="宋体" w:hAnsi="宋体" w:eastAsia="宋体" w:cs="宋体"/>
                <w:color w:val="auto"/>
                <w:sz w:val="21"/>
                <w:szCs w:val="21"/>
                <w:highlight w:val="none"/>
                <w:lang w:eastAsia="zh-CN"/>
              </w:rPr>
              <w:t>。</w:t>
            </w:r>
          </w:p>
          <w:p w14:paraId="2518C5B8">
            <w:pPr>
              <w:keepNext w:val="0"/>
              <w:keepLines w:val="0"/>
              <w:pageBreakBefore w:val="0"/>
              <w:widowControl w:val="0"/>
              <w:numPr>
                <w:ilvl w:val="0"/>
                <w:numId w:val="0"/>
              </w:numPr>
              <w:kinsoku/>
              <w:wordWrap/>
              <w:overflowPunct/>
              <w:topLinePunct w:val="0"/>
              <w:autoSpaceDE/>
              <w:autoSpaceDN/>
              <w:bidi w:val="0"/>
              <w:adjustRightInd w:val="0"/>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围绕广西区域内美丽城市建设，因地制宜研究设置绿色低碳、环境优美、生态宜居等领域指标，构建设区市建成美丽城市的评价标准，从多个维度评价城市的美丽度，客观评估美丽城市建设的进程及成效，探索建立科学有效的美丽城市评估指标体系，编制美丽城市建设评估指标体系研究报告。</w:t>
            </w:r>
          </w:p>
          <w:p w14:paraId="63CADEC5">
            <w:pPr>
              <w:keepNext w:val="0"/>
              <w:keepLines w:val="0"/>
              <w:pageBreakBefore w:val="0"/>
              <w:widowControl w:val="0"/>
              <w:numPr>
                <w:ilvl w:val="0"/>
                <w:numId w:val="0"/>
              </w:numPr>
              <w:kinsoku/>
              <w:wordWrap/>
              <w:overflowPunct/>
              <w:topLinePunct w:val="0"/>
              <w:autoSpaceDE/>
              <w:autoSpaceDN/>
              <w:bidi w:val="0"/>
              <w:adjustRightInd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（3）聚焦在推动绿色低碳发展、促进生态环境根本好转、加强生态保护修复、筑牢生态安全底线、深化生态文明体制改革五个方面走在前、作表率，充分挖掘广西优秀做法、经验、思路、理念及成果，</w:t>
            </w:r>
            <w:r>
              <w:rPr>
                <w:rFonts w:hint="eastAsia" w:ascii="宋体" w:hAnsi="宋体" w:eastAsia="宋体" w:cs="宋体"/>
                <w:color w:val="auto"/>
                <w:sz w:val="21"/>
                <w:szCs w:val="21"/>
                <w:highlight w:val="none"/>
              </w:rPr>
              <w:t>系统梳理、分类呈现具有代表性、创新性、示范性的</w:t>
            </w:r>
            <w:r>
              <w:rPr>
                <w:rFonts w:hint="eastAsia" w:ascii="宋体" w:hAnsi="宋体" w:eastAsia="宋体" w:cs="宋体"/>
                <w:color w:val="auto"/>
                <w:sz w:val="21"/>
                <w:szCs w:val="21"/>
                <w:highlight w:val="none"/>
                <w:lang w:val="en-US" w:eastAsia="zh-CN"/>
              </w:rPr>
              <w:t>美丽广西建设</w:t>
            </w:r>
            <w:r>
              <w:rPr>
                <w:rFonts w:hint="eastAsia" w:ascii="宋体" w:hAnsi="宋体" w:eastAsia="宋体" w:cs="宋体"/>
                <w:color w:val="auto"/>
                <w:sz w:val="21"/>
                <w:szCs w:val="21"/>
                <w:highlight w:val="none"/>
              </w:rPr>
              <w:t>先行典型案例，根据采购方要求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编制广西建设美丽中国先行区典型案例集。</w:t>
            </w:r>
          </w:p>
          <w:p w14:paraId="036A6080">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工作质量控制要求</w:t>
            </w:r>
          </w:p>
          <w:p w14:paraId="5587D0F3">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按照项目技术管理要求，项目成果符合合同约定使用的技术标准和技术要求，通过自治区生态环境厅组织的</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w:t>
            </w:r>
          </w:p>
          <w:p w14:paraId="42E3ED39">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质量保障要求</w:t>
            </w:r>
          </w:p>
          <w:p w14:paraId="602AC203">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严格按照国家相关的法律、法规、规范、标准等，对本项目的全</w:t>
            </w:r>
            <w:r>
              <w:rPr>
                <w:rFonts w:hint="eastAsia" w:ascii="宋体" w:hAnsi="宋体" w:eastAsia="宋体" w:cs="宋体"/>
                <w:b w:val="0"/>
                <w:bCs/>
                <w:color w:val="auto"/>
                <w:sz w:val="21"/>
                <w:szCs w:val="21"/>
                <w:highlight w:val="none"/>
                <w:lang w:val="en-US" w:eastAsia="zh-CN"/>
              </w:rPr>
              <w:t>过</w:t>
            </w:r>
            <w:r>
              <w:rPr>
                <w:rFonts w:hint="eastAsia" w:ascii="宋体" w:hAnsi="宋体" w:eastAsia="宋体" w:cs="宋体"/>
                <w:b w:val="0"/>
                <w:bCs/>
                <w:color w:val="auto"/>
                <w:sz w:val="21"/>
                <w:szCs w:val="21"/>
                <w:highlight w:val="none"/>
              </w:rPr>
              <w:t>程进行质量控制，做到合法化、规范化和正确化。</w:t>
            </w:r>
          </w:p>
          <w:p w14:paraId="504893C2">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项目实施人员，按项目计划的要求，对实施的各项工作进行认真自校，做好项目质量的自主控制。</w:t>
            </w:r>
          </w:p>
          <w:p w14:paraId="04EC6F0B">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校核人员在熟悉项目业务的基础资料和原则的基础上，对项目成果进行全面校核，对所校核的项目内容的客观性、真实性、合法性及质量负责。</w:t>
            </w:r>
          </w:p>
          <w:p w14:paraId="379C5FE6">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审核人员审核项目原则、依据、方法是否符合咨询合同要求与有关规定，审核基础数据、重要计算公式和计算方法以及软件使用是否正确，检验关键性的计算结果，以确保其客观性、真实性、合法性且符合相关的法律法规、规范、标准等。</w:t>
            </w:r>
          </w:p>
          <w:p w14:paraId="05FB38EB">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数据资料归属及保密要求</w:t>
            </w:r>
          </w:p>
          <w:p w14:paraId="0991682D">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项目所形成的数据和报告归采购人所有。未经采购人授权，不得将数据和报告发送给任何第三方，严格执行项目实施过程中产生数据和报告等资料保密管理。</w:t>
            </w:r>
          </w:p>
          <w:p w14:paraId="4CB6CBC8">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成果提交</w:t>
            </w:r>
          </w:p>
          <w:p w14:paraId="67573420">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成交供应商须完成并</w:t>
            </w: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val="en-US" w:eastAsia="zh-CN"/>
              </w:rPr>
              <w:t>以下成果：</w:t>
            </w:r>
          </w:p>
          <w:p w14:paraId="34262CE6">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（1）美丽城市建设评估指标体系研究报告</w:t>
            </w:r>
            <w:r>
              <w:rPr>
                <w:rFonts w:hint="eastAsia" w:ascii="宋体" w:hAnsi="宋体" w:eastAsia="宋体" w:cs="宋体"/>
                <w:color w:val="auto"/>
                <w:sz w:val="21"/>
                <w:szCs w:val="21"/>
                <w:highlight w:val="none"/>
                <w:lang w:val="en-US" w:eastAsia="zh-CN"/>
              </w:rPr>
              <w:t>1份</w:t>
            </w:r>
            <w:r>
              <w:rPr>
                <w:rFonts w:hint="eastAsia" w:ascii="宋体" w:hAnsi="宋体" w:eastAsia="宋体" w:cs="宋体"/>
                <w:color w:val="auto"/>
                <w:sz w:val="21"/>
                <w:szCs w:val="21"/>
                <w:highlight w:val="none"/>
              </w:rPr>
              <w:t>；</w:t>
            </w:r>
          </w:p>
          <w:p w14:paraId="05DF9AF5">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（2）根据采购方要求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编制</w:t>
            </w:r>
            <w:r>
              <w:rPr>
                <w:rFonts w:hint="eastAsia" w:ascii="宋体" w:hAnsi="宋体" w:eastAsia="宋体" w:cs="宋体"/>
                <w:color w:val="auto"/>
                <w:sz w:val="21"/>
                <w:szCs w:val="21"/>
                <w:highlight w:val="none"/>
              </w:rPr>
              <w:t>广西建设美丽中国先行区典型案例集</w:t>
            </w:r>
            <w:r>
              <w:rPr>
                <w:rFonts w:hint="eastAsia" w:ascii="宋体" w:hAnsi="宋体" w:eastAsia="宋体" w:cs="宋体"/>
                <w:color w:val="auto"/>
                <w:sz w:val="21"/>
                <w:szCs w:val="21"/>
                <w:highlight w:val="none"/>
                <w:lang w:val="en-US" w:eastAsia="zh-CN"/>
              </w:rPr>
              <w:t>1份</w:t>
            </w:r>
            <w:r>
              <w:rPr>
                <w:rFonts w:hint="eastAsia" w:ascii="宋体" w:hAnsi="宋体" w:eastAsia="宋体" w:cs="宋体"/>
                <w:color w:val="auto"/>
                <w:sz w:val="21"/>
                <w:szCs w:val="21"/>
                <w:highlight w:val="none"/>
              </w:rPr>
              <w:t>；</w:t>
            </w:r>
          </w:p>
          <w:p w14:paraId="7C2D5B4E">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（3）2026年上半年、全年美丽广西建设成效评估报告</w:t>
            </w:r>
            <w:r>
              <w:rPr>
                <w:rFonts w:hint="eastAsia" w:ascii="宋体" w:hAnsi="宋体" w:eastAsia="宋体" w:cs="宋体"/>
                <w:color w:val="auto"/>
                <w:sz w:val="21"/>
                <w:szCs w:val="21"/>
                <w:highlight w:val="none"/>
                <w:lang w:val="en-US" w:eastAsia="zh-CN"/>
              </w:rPr>
              <w:t>各1份</w:t>
            </w:r>
            <w:r>
              <w:rPr>
                <w:rFonts w:hint="eastAsia" w:ascii="宋体" w:hAnsi="宋体" w:eastAsia="宋体" w:cs="宋体"/>
                <w:color w:val="auto"/>
                <w:sz w:val="21"/>
                <w:szCs w:val="21"/>
                <w:highlight w:val="none"/>
              </w:rPr>
              <w:t>；</w:t>
            </w:r>
          </w:p>
          <w:p w14:paraId="5A1586BE">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（4）美丽中国建设成效考核2025年度预自评集成材料1套。</w:t>
            </w:r>
          </w:p>
          <w:p w14:paraId="51C75732">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以上材料</w:t>
            </w:r>
            <w:r>
              <w:rPr>
                <w:rFonts w:hint="eastAsia" w:ascii="宋体" w:hAnsi="宋体" w:eastAsia="宋体" w:cs="宋体"/>
                <w:b w:val="0"/>
                <w:bCs w:val="0"/>
                <w:color w:val="auto"/>
                <w:sz w:val="21"/>
                <w:szCs w:val="21"/>
                <w:highlight w:val="none"/>
              </w:rPr>
              <w:t>要求提供纸质版</w:t>
            </w:r>
            <w:r>
              <w:rPr>
                <w:rFonts w:hint="eastAsia" w:ascii="宋体" w:hAnsi="宋体" w:eastAsia="宋体" w:cs="宋体"/>
                <w:b w:val="0"/>
                <w:bCs w:val="0"/>
                <w:color w:val="auto"/>
                <w:sz w:val="21"/>
                <w:szCs w:val="21"/>
                <w:highlight w:val="none"/>
                <w:lang w:val="en-US" w:eastAsia="zh-CN"/>
              </w:rPr>
              <w:t>3份</w:t>
            </w:r>
            <w:r>
              <w:rPr>
                <w:rFonts w:hint="eastAsia" w:ascii="宋体" w:hAnsi="宋体" w:eastAsia="宋体" w:cs="宋体"/>
                <w:b w:val="0"/>
                <w:bCs w:val="0"/>
                <w:color w:val="auto"/>
                <w:sz w:val="21"/>
                <w:szCs w:val="21"/>
                <w:highlight w:val="none"/>
              </w:rPr>
              <w:t>和电子版</w:t>
            </w:r>
            <w:r>
              <w:rPr>
                <w:rFonts w:hint="eastAsia" w:ascii="宋体" w:hAnsi="宋体" w:eastAsia="宋体" w:cs="宋体"/>
                <w:b w:val="0"/>
                <w:bCs w:val="0"/>
                <w:color w:val="auto"/>
                <w:sz w:val="21"/>
                <w:szCs w:val="21"/>
                <w:highlight w:val="none"/>
                <w:lang w:eastAsia="zh-CN"/>
              </w:rPr>
              <w:t>一份</w:t>
            </w:r>
            <w:r>
              <w:rPr>
                <w:rFonts w:hint="eastAsia" w:ascii="宋体" w:hAnsi="宋体" w:eastAsia="宋体" w:cs="宋体"/>
                <w:b w:val="0"/>
                <w:bCs w:val="0"/>
                <w:color w:val="auto"/>
                <w:sz w:val="21"/>
                <w:szCs w:val="21"/>
                <w:highlight w:val="none"/>
              </w:rPr>
              <w:t>。</w:t>
            </w:r>
          </w:p>
          <w:p w14:paraId="5C9CF047">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项目服务团队要求</w:t>
            </w:r>
          </w:p>
          <w:p w14:paraId="0BB8D7FD">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需组织一支经验丰富的研究团队开展此项目，应配备与其承担技术服务工作的相关专业技术人员，其中项目负责人需为高级职称（职称专业为生态环境保护类相关专业），项目主要专业技术人员的数量和能力应满足技术服务工作任务的需要，拟投入本项目专业技术人员</w:t>
            </w:r>
            <w:r>
              <w:rPr>
                <w:rFonts w:hint="eastAsia" w:ascii="宋体" w:hAnsi="宋体" w:eastAsia="宋体" w:cs="宋体"/>
                <w:color w:val="auto"/>
                <w:sz w:val="21"/>
                <w:szCs w:val="21"/>
                <w:highlight w:val="none"/>
                <w:lang w:eastAsia="zh-CN"/>
              </w:rPr>
              <w:t>（含项目负责人）</w:t>
            </w:r>
            <w:r>
              <w:rPr>
                <w:rFonts w:hint="eastAsia" w:ascii="宋体" w:hAnsi="宋体" w:eastAsia="宋体" w:cs="宋体"/>
                <w:color w:val="auto"/>
                <w:sz w:val="21"/>
                <w:szCs w:val="21"/>
                <w:highlight w:val="none"/>
              </w:rPr>
              <w:t>不少于5人，其中高级职称不少于2人。</w:t>
            </w:r>
          </w:p>
          <w:p w14:paraId="56710B7B">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注：拟投入本项目的以上人员均是</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在职在岗正式员工（非退休）。</w:t>
            </w:r>
          </w:p>
          <w:p w14:paraId="0336DED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是指不能负偏离的条款。</w:t>
            </w:r>
          </w:p>
        </w:tc>
        <w:tc>
          <w:tcPr>
            <w:tcW w:w="650" w:type="dxa"/>
            <w:noWrap w:val="0"/>
            <w:vAlign w:val="center"/>
          </w:tcPr>
          <w:p w14:paraId="25C9E13B">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lang w:val="en-US" w:eastAsia="zh-CN"/>
              </w:rPr>
              <w:t>其他未列明行业</w:t>
            </w:r>
          </w:p>
        </w:tc>
      </w:tr>
      <w:tr w14:paraId="1BEE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14:paraId="256E3DBA">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vertAlign w:val="baseline"/>
                <w:lang w:val="zh-CN" w:eastAsia="zh-CN"/>
              </w:rPr>
            </w:pPr>
            <w:r>
              <w:rPr>
                <w:rFonts w:hint="eastAsia" w:ascii="宋体" w:hAnsi="宋体" w:cs="宋体"/>
                <w:color w:val="auto"/>
                <w:sz w:val="21"/>
                <w:szCs w:val="21"/>
                <w:highlight w:val="none"/>
                <w:vertAlign w:val="baseline"/>
                <w:lang w:val="en-US" w:eastAsia="zh-CN"/>
              </w:rPr>
              <w:t>二、</w:t>
            </w:r>
            <w:r>
              <w:rPr>
                <w:rFonts w:hint="eastAsia" w:ascii="宋体" w:hAnsi="宋体" w:eastAsia="宋体" w:cs="宋体"/>
                <w:color w:val="auto"/>
                <w:sz w:val="21"/>
                <w:szCs w:val="21"/>
                <w:highlight w:val="none"/>
                <w:vertAlign w:val="baseline"/>
                <w:lang w:val="zh-CN" w:eastAsia="zh-CN"/>
              </w:rPr>
              <w:t>商务要求</w:t>
            </w:r>
          </w:p>
          <w:p w14:paraId="693FB546">
            <w:pPr>
              <w:pStyle w:val="18"/>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zh-CN" w:eastAsia="zh-CN"/>
              </w:rPr>
            </w:pPr>
          </w:p>
        </w:tc>
        <w:tc>
          <w:tcPr>
            <w:tcW w:w="7800" w:type="dxa"/>
            <w:gridSpan w:val="5"/>
            <w:noWrap w:val="0"/>
            <w:vAlign w:val="center"/>
          </w:tcPr>
          <w:p w14:paraId="1ED942B7">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22" w:firstLineChars="200"/>
              <w:jc w:val="both"/>
              <w:textAlignment w:val="auto"/>
              <w:outlineLvl w:val="0"/>
              <w:rPr>
                <w:rFonts w:hint="eastAsia" w:ascii="宋体" w:hAnsi="宋体" w:eastAsia="宋体" w:cs="宋体"/>
                <w:b/>
                <w:bCs/>
                <w:i w:val="0"/>
                <w:iCs w:val="0"/>
                <w:color w:val="auto"/>
                <w:sz w:val="21"/>
                <w:szCs w:val="21"/>
                <w:highlight w:val="none"/>
                <w:u w:val="none"/>
                <w:lang w:val="en-US" w:eastAsia="zh-CN"/>
              </w:rPr>
            </w:pPr>
            <w:bookmarkStart w:id="67" w:name="_Toc17213"/>
            <w:bookmarkStart w:id="68" w:name="_Toc27593"/>
            <w:r>
              <w:rPr>
                <w:rFonts w:hint="eastAsia" w:ascii="宋体" w:hAnsi="宋体" w:eastAsia="宋体" w:cs="宋体"/>
                <w:b/>
                <w:bCs/>
                <w:i w:val="0"/>
                <w:iCs w:val="0"/>
                <w:color w:val="auto"/>
                <w:sz w:val="21"/>
                <w:szCs w:val="21"/>
                <w:highlight w:val="none"/>
                <w:u w:val="none"/>
                <w:lang w:val="en-US" w:eastAsia="zh-CN"/>
              </w:rPr>
              <w:t>（一）服务期限和地点</w:t>
            </w:r>
            <w:bookmarkEnd w:id="67"/>
            <w:bookmarkEnd w:id="68"/>
          </w:p>
          <w:p w14:paraId="7BB8491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snapToGrid/>
                <w:color w:val="auto"/>
                <w:sz w:val="21"/>
                <w:szCs w:val="21"/>
                <w:highlight w:val="none"/>
                <w:lang w:val="en-US" w:eastAsia="zh-CN"/>
              </w:rPr>
            </w:pPr>
            <w:r>
              <w:rPr>
                <w:rFonts w:hint="eastAsia" w:ascii="宋体" w:hAnsi="宋体" w:eastAsia="宋体" w:cs="宋体"/>
                <w:snapToGrid/>
                <w:color w:val="auto"/>
                <w:sz w:val="21"/>
                <w:szCs w:val="21"/>
                <w:highlight w:val="none"/>
              </w:rPr>
              <w:t>1</w:t>
            </w:r>
            <w:r>
              <w:rPr>
                <w:rFonts w:hint="eastAsia" w:ascii="宋体" w:hAnsi="宋体" w:eastAsia="宋体" w:cs="宋体"/>
                <w:snapToGrid/>
                <w:color w:val="auto"/>
                <w:sz w:val="21"/>
                <w:szCs w:val="21"/>
                <w:highlight w:val="none"/>
                <w:lang w:val="en-US" w:eastAsia="zh-CN"/>
              </w:rPr>
              <w:t>.</w:t>
            </w:r>
            <w:r>
              <w:rPr>
                <w:rFonts w:hint="eastAsia" w:ascii="宋体" w:hAnsi="宋体" w:eastAsia="宋体" w:cs="宋体"/>
                <w:snapToGrid/>
                <w:color w:val="auto"/>
                <w:sz w:val="21"/>
                <w:szCs w:val="21"/>
                <w:highlight w:val="none"/>
              </w:rPr>
              <w:t>服务时间：自合同</w:t>
            </w:r>
            <w:r>
              <w:rPr>
                <w:rFonts w:hint="eastAsia" w:ascii="宋体" w:hAnsi="宋体" w:eastAsia="宋体" w:cs="宋体"/>
                <w:snapToGrid/>
                <w:color w:val="auto"/>
                <w:sz w:val="21"/>
                <w:szCs w:val="21"/>
                <w:highlight w:val="none"/>
                <w:lang w:val="en-US" w:eastAsia="zh-CN"/>
              </w:rPr>
              <w:t>生效</w:t>
            </w:r>
            <w:r>
              <w:rPr>
                <w:rFonts w:hint="eastAsia" w:ascii="宋体" w:hAnsi="宋体" w:eastAsia="宋体" w:cs="宋体"/>
                <w:snapToGrid/>
                <w:color w:val="auto"/>
                <w:sz w:val="21"/>
                <w:szCs w:val="21"/>
                <w:highlight w:val="none"/>
              </w:rPr>
              <w:t>之日起</w:t>
            </w:r>
            <w:r>
              <w:rPr>
                <w:rFonts w:hint="eastAsia" w:ascii="宋体" w:hAnsi="宋体" w:eastAsia="宋体" w:cs="宋体"/>
                <w:snapToGrid/>
                <w:color w:val="auto"/>
                <w:sz w:val="21"/>
                <w:szCs w:val="21"/>
                <w:highlight w:val="none"/>
                <w:lang w:val="en-US" w:eastAsia="zh-CN"/>
              </w:rPr>
              <w:t>计算，履行期限</w:t>
            </w:r>
            <w:r>
              <w:rPr>
                <w:rFonts w:hint="eastAsia" w:ascii="宋体" w:hAnsi="宋体" w:eastAsia="宋体" w:cs="宋体"/>
                <w:color w:val="auto"/>
                <w:sz w:val="21"/>
                <w:szCs w:val="21"/>
                <w:highlight w:val="none"/>
                <w:lang w:eastAsia="zh-CN"/>
              </w:rPr>
              <w:t>一年</w:t>
            </w:r>
            <w:r>
              <w:rPr>
                <w:rFonts w:hint="eastAsia" w:ascii="宋体" w:hAnsi="宋体" w:eastAsia="宋体" w:cs="宋体"/>
                <w:snapToGrid/>
                <w:color w:val="auto"/>
                <w:sz w:val="21"/>
                <w:szCs w:val="21"/>
                <w:highlight w:val="none"/>
              </w:rPr>
              <w:t>。</w:t>
            </w:r>
          </w:p>
          <w:p w14:paraId="30E258A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snapToGrid/>
                <w:color w:val="auto"/>
                <w:sz w:val="21"/>
                <w:szCs w:val="21"/>
                <w:highlight w:val="none"/>
                <w:lang w:val="en-US" w:eastAsia="zh-CN"/>
              </w:rPr>
            </w:pPr>
            <w:r>
              <w:rPr>
                <w:rFonts w:hint="eastAsia" w:ascii="宋体" w:hAnsi="宋体" w:eastAsia="宋体" w:cs="宋体"/>
                <w:snapToGrid/>
                <w:color w:val="auto"/>
                <w:sz w:val="21"/>
                <w:szCs w:val="21"/>
                <w:highlight w:val="none"/>
              </w:rPr>
              <w:t>2</w:t>
            </w:r>
            <w:r>
              <w:rPr>
                <w:rFonts w:hint="eastAsia" w:ascii="宋体" w:hAnsi="宋体" w:eastAsia="宋体" w:cs="宋体"/>
                <w:snapToGrid/>
                <w:color w:val="auto"/>
                <w:sz w:val="21"/>
                <w:szCs w:val="21"/>
                <w:highlight w:val="none"/>
                <w:lang w:val="en-US" w:eastAsia="zh-CN"/>
              </w:rPr>
              <w:t>.服务地点：广西区内采购人指定地点。</w:t>
            </w:r>
          </w:p>
          <w:p w14:paraId="09B056F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snapToGrid/>
                <w:color w:val="auto"/>
                <w:sz w:val="21"/>
                <w:szCs w:val="21"/>
                <w:highlight w:val="none"/>
                <w:lang w:val="en-US" w:eastAsia="zh-CN"/>
              </w:rPr>
              <w:t>3.</w:t>
            </w:r>
            <w:r>
              <w:rPr>
                <w:rFonts w:hint="eastAsia" w:ascii="宋体" w:hAnsi="宋体" w:eastAsia="宋体" w:cs="宋体"/>
                <w:snapToGrid/>
                <w:color w:val="auto"/>
                <w:sz w:val="21"/>
                <w:szCs w:val="21"/>
                <w:highlight w:val="none"/>
                <w:lang w:eastAsia="zh-CN"/>
              </w:rPr>
              <w:t>成果提交</w:t>
            </w:r>
            <w:r>
              <w:rPr>
                <w:rFonts w:hint="eastAsia" w:ascii="宋体" w:hAnsi="宋体" w:eastAsia="宋体" w:cs="宋体"/>
                <w:snapToGrid/>
                <w:color w:val="auto"/>
                <w:sz w:val="21"/>
                <w:szCs w:val="21"/>
                <w:highlight w:val="none"/>
                <w:lang w:val="en-US" w:eastAsia="zh-CN"/>
              </w:rPr>
              <w:t>时间</w:t>
            </w:r>
            <w:r>
              <w:rPr>
                <w:rFonts w:hint="eastAsia" w:ascii="宋体" w:hAnsi="宋体" w:eastAsia="宋体" w:cs="宋体"/>
                <w:snapToGrid/>
                <w:color w:val="auto"/>
                <w:sz w:val="21"/>
                <w:szCs w:val="21"/>
                <w:highlight w:val="none"/>
              </w:rPr>
              <w:t>：</w:t>
            </w:r>
            <w:r>
              <w:rPr>
                <w:rFonts w:hint="eastAsia" w:ascii="宋体" w:hAnsi="宋体" w:eastAsia="宋体" w:cs="宋体"/>
                <w:b w:val="0"/>
                <w:bCs w:val="0"/>
                <w:color w:val="auto"/>
                <w:sz w:val="21"/>
                <w:szCs w:val="21"/>
                <w:highlight w:val="none"/>
                <w:lang w:val="en-US" w:eastAsia="zh-CN"/>
              </w:rPr>
              <w:t>2026年12月31日前。</w:t>
            </w:r>
          </w:p>
          <w:p w14:paraId="4D312CC1">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22" w:firstLineChars="200"/>
              <w:jc w:val="both"/>
              <w:textAlignment w:val="auto"/>
              <w:outlineLvl w:val="0"/>
              <w:rPr>
                <w:rFonts w:hint="eastAsia" w:ascii="宋体" w:hAnsi="宋体" w:eastAsia="宋体" w:cs="宋体"/>
                <w:b/>
                <w:bCs/>
                <w:i w:val="0"/>
                <w:iCs w:val="0"/>
                <w:color w:val="auto"/>
                <w:sz w:val="21"/>
                <w:szCs w:val="21"/>
                <w:highlight w:val="none"/>
                <w:u w:val="none"/>
                <w:lang w:val="en-US" w:eastAsia="zh-CN"/>
              </w:rPr>
            </w:pPr>
            <w:bookmarkStart w:id="69" w:name="_Toc4686"/>
            <w:bookmarkStart w:id="70" w:name="_Toc30219"/>
            <w:r>
              <w:rPr>
                <w:rFonts w:hint="eastAsia" w:ascii="宋体" w:hAnsi="宋体" w:eastAsia="宋体" w:cs="宋体"/>
                <w:b/>
                <w:bCs/>
                <w:i w:val="0"/>
                <w:iCs w:val="0"/>
                <w:color w:val="auto"/>
                <w:sz w:val="21"/>
                <w:szCs w:val="21"/>
                <w:highlight w:val="none"/>
                <w:u w:val="none"/>
                <w:lang w:val="en-US" w:eastAsia="zh-CN"/>
              </w:rPr>
              <w:t>（二）付款条件</w:t>
            </w:r>
            <w:bookmarkEnd w:id="69"/>
            <w:bookmarkEnd w:id="70"/>
          </w:p>
          <w:p w14:paraId="35FBABF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rPr>
              <w:t>1</w:t>
            </w:r>
            <w:r>
              <w:rPr>
                <w:rFonts w:hint="eastAsia" w:ascii="宋体" w:hAnsi="宋体" w:eastAsia="宋体" w:cs="宋体"/>
                <w:snapToGrid/>
                <w:color w:val="auto"/>
                <w:sz w:val="21"/>
                <w:szCs w:val="21"/>
                <w:highlight w:val="none"/>
                <w:lang w:val="en-US" w:eastAsia="zh-CN"/>
              </w:rPr>
              <w:t>.自合同生效之日起10个工作日内，采购人</w:t>
            </w:r>
            <w:r>
              <w:rPr>
                <w:rFonts w:hint="eastAsia" w:ascii="宋体" w:hAnsi="宋体" w:eastAsia="宋体" w:cs="宋体"/>
                <w:snapToGrid/>
                <w:color w:val="auto"/>
                <w:sz w:val="21"/>
                <w:szCs w:val="21"/>
                <w:highlight w:val="none"/>
              </w:rPr>
              <w:t>向</w:t>
            </w:r>
            <w:r>
              <w:rPr>
                <w:rFonts w:hint="eastAsia" w:ascii="宋体" w:hAnsi="宋体" w:eastAsia="宋体" w:cs="宋体"/>
                <w:snapToGrid/>
                <w:color w:val="auto"/>
                <w:sz w:val="21"/>
                <w:szCs w:val="21"/>
                <w:highlight w:val="none"/>
                <w:lang w:val="en-US" w:eastAsia="zh-CN"/>
              </w:rPr>
              <w:t>成交供应商</w:t>
            </w:r>
            <w:r>
              <w:rPr>
                <w:rFonts w:hint="eastAsia" w:ascii="宋体" w:hAnsi="宋体" w:eastAsia="宋体" w:cs="宋体"/>
                <w:snapToGrid/>
                <w:color w:val="auto"/>
                <w:sz w:val="21"/>
                <w:szCs w:val="21"/>
                <w:highlight w:val="none"/>
              </w:rPr>
              <w:t>支付合同总</w:t>
            </w:r>
            <w:r>
              <w:rPr>
                <w:rFonts w:hint="eastAsia" w:ascii="宋体" w:hAnsi="宋体" w:eastAsia="宋体" w:cs="宋体"/>
                <w:snapToGrid/>
                <w:color w:val="auto"/>
                <w:sz w:val="21"/>
                <w:szCs w:val="21"/>
                <w:highlight w:val="none"/>
                <w:lang w:val="en-US" w:eastAsia="zh-CN"/>
              </w:rPr>
              <w:t>金</w:t>
            </w:r>
            <w:r>
              <w:rPr>
                <w:rFonts w:hint="eastAsia" w:ascii="宋体" w:hAnsi="宋体" w:eastAsia="宋体" w:cs="宋体"/>
                <w:snapToGrid/>
                <w:color w:val="auto"/>
                <w:sz w:val="21"/>
                <w:szCs w:val="21"/>
                <w:highlight w:val="none"/>
              </w:rPr>
              <w:t>额</w:t>
            </w:r>
            <w:r>
              <w:rPr>
                <w:rFonts w:hint="eastAsia" w:ascii="宋体" w:hAnsi="宋体" w:eastAsia="宋体" w:cs="宋体"/>
                <w:snapToGrid/>
                <w:color w:val="auto"/>
                <w:sz w:val="21"/>
                <w:szCs w:val="21"/>
                <w:highlight w:val="none"/>
                <w:lang w:eastAsia="zh-CN"/>
              </w:rPr>
              <w:t>的</w:t>
            </w:r>
            <w:r>
              <w:rPr>
                <w:rFonts w:hint="eastAsia" w:ascii="宋体" w:hAnsi="宋体" w:eastAsia="宋体" w:cs="宋体"/>
                <w:snapToGrid/>
                <w:color w:val="auto"/>
                <w:sz w:val="21"/>
                <w:szCs w:val="21"/>
                <w:highlight w:val="none"/>
                <w:lang w:val="en-US" w:eastAsia="zh-CN"/>
              </w:rPr>
              <w:t>5</w:t>
            </w:r>
            <w:r>
              <w:rPr>
                <w:rFonts w:hint="eastAsia" w:ascii="宋体" w:hAnsi="宋体" w:eastAsia="宋体" w:cs="宋体"/>
                <w:snapToGrid/>
                <w:color w:val="auto"/>
                <w:sz w:val="21"/>
                <w:szCs w:val="21"/>
                <w:highlight w:val="none"/>
              </w:rPr>
              <w:t>0%</w:t>
            </w:r>
            <w:r>
              <w:rPr>
                <w:rFonts w:hint="eastAsia" w:ascii="宋体" w:hAnsi="宋体" w:eastAsia="宋体" w:cs="宋体"/>
                <w:snapToGrid/>
                <w:color w:val="auto"/>
                <w:sz w:val="21"/>
                <w:szCs w:val="21"/>
                <w:highlight w:val="none"/>
                <w:lang w:eastAsia="zh-CN"/>
              </w:rPr>
              <w:t>。</w:t>
            </w:r>
          </w:p>
          <w:p w14:paraId="7A54BA4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snapToGrid/>
                <w:color w:val="auto"/>
                <w:sz w:val="21"/>
                <w:szCs w:val="21"/>
                <w:highlight w:val="none"/>
                <w:lang w:val="en-US" w:eastAsia="zh-CN"/>
              </w:rPr>
            </w:pP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snapToGrid/>
                <w:color w:val="auto"/>
                <w:sz w:val="21"/>
                <w:szCs w:val="21"/>
                <w:highlight w:val="none"/>
                <w:lang w:eastAsia="zh-CN"/>
              </w:rPr>
              <w:t>成交供应商提交2026年上半年美丽广西建设成效评估报告、广西建设美丽中国先行区典型案例集并通过采购人审核后</w:t>
            </w:r>
            <w:r>
              <w:rPr>
                <w:rFonts w:hint="eastAsia" w:ascii="宋体" w:hAnsi="宋体" w:eastAsia="宋体" w:cs="宋体"/>
                <w:snapToGrid/>
                <w:color w:val="auto"/>
                <w:sz w:val="21"/>
                <w:szCs w:val="21"/>
                <w:highlight w:val="none"/>
              </w:rPr>
              <w:t>，</w:t>
            </w:r>
            <w:r>
              <w:rPr>
                <w:rFonts w:hint="eastAsia" w:ascii="宋体" w:hAnsi="宋体" w:eastAsia="宋体" w:cs="宋体"/>
                <w:snapToGrid/>
                <w:color w:val="auto"/>
                <w:sz w:val="21"/>
                <w:szCs w:val="21"/>
                <w:highlight w:val="none"/>
                <w:lang w:val="en-US" w:eastAsia="zh-CN"/>
              </w:rPr>
              <w:t>采购人在10个工作日内</w:t>
            </w:r>
            <w:r>
              <w:rPr>
                <w:rFonts w:hint="eastAsia" w:ascii="宋体" w:hAnsi="宋体" w:eastAsia="宋体" w:cs="宋体"/>
                <w:snapToGrid/>
                <w:color w:val="auto"/>
                <w:sz w:val="21"/>
                <w:szCs w:val="21"/>
                <w:highlight w:val="none"/>
              </w:rPr>
              <w:t>向</w:t>
            </w:r>
            <w:r>
              <w:rPr>
                <w:rFonts w:hint="eastAsia" w:ascii="宋体" w:hAnsi="宋体" w:eastAsia="宋体" w:cs="宋体"/>
                <w:snapToGrid/>
                <w:color w:val="auto"/>
                <w:sz w:val="21"/>
                <w:szCs w:val="21"/>
                <w:highlight w:val="none"/>
                <w:lang w:val="en-US" w:eastAsia="zh-CN"/>
              </w:rPr>
              <w:t>成交供应商</w:t>
            </w:r>
            <w:r>
              <w:rPr>
                <w:rFonts w:hint="eastAsia" w:ascii="宋体" w:hAnsi="宋体" w:eastAsia="宋体" w:cs="宋体"/>
                <w:snapToGrid/>
                <w:color w:val="auto"/>
                <w:sz w:val="21"/>
                <w:szCs w:val="21"/>
                <w:highlight w:val="none"/>
              </w:rPr>
              <w:t>支付合同总</w:t>
            </w:r>
            <w:r>
              <w:rPr>
                <w:rFonts w:hint="eastAsia" w:ascii="宋体" w:hAnsi="宋体" w:eastAsia="宋体" w:cs="宋体"/>
                <w:snapToGrid/>
                <w:color w:val="auto"/>
                <w:sz w:val="21"/>
                <w:szCs w:val="21"/>
                <w:highlight w:val="none"/>
                <w:lang w:val="en-US" w:eastAsia="zh-CN"/>
              </w:rPr>
              <w:t>金</w:t>
            </w:r>
            <w:r>
              <w:rPr>
                <w:rFonts w:hint="eastAsia" w:ascii="宋体" w:hAnsi="宋体" w:eastAsia="宋体" w:cs="宋体"/>
                <w:snapToGrid/>
                <w:color w:val="auto"/>
                <w:sz w:val="21"/>
                <w:szCs w:val="21"/>
                <w:highlight w:val="none"/>
              </w:rPr>
              <w:t>额的</w:t>
            </w:r>
            <w:r>
              <w:rPr>
                <w:rFonts w:hint="eastAsia" w:ascii="宋体" w:hAnsi="宋体" w:eastAsia="宋体" w:cs="宋体"/>
                <w:snapToGrid/>
                <w:color w:val="auto"/>
                <w:sz w:val="21"/>
                <w:szCs w:val="21"/>
                <w:highlight w:val="none"/>
                <w:lang w:val="en-US" w:eastAsia="zh-CN"/>
              </w:rPr>
              <w:t>40</w:t>
            </w:r>
            <w:r>
              <w:rPr>
                <w:rFonts w:hint="eastAsia" w:ascii="宋体" w:hAnsi="宋体" w:eastAsia="宋体" w:cs="宋体"/>
                <w:snapToGrid/>
                <w:color w:val="auto"/>
                <w:sz w:val="21"/>
                <w:szCs w:val="21"/>
                <w:highlight w:val="none"/>
              </w:rPr>
              <w:t>%。</w:t>
            </w:r>
          </w:p>
          <w:p w14:paraId="0E79F97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snapToGrid/>
                <w:color w:val="auto"/>
                <w:sz w:val="21"/>
                <w:szCs w:val="21"/>
                <w:highlight w:val="none"/>
                <w:lang w:eastAsia="zh-CN"/>
              </w:rPr>
              <w:t>成交供应商提交</w:t>
            </w:r>
            <w:r>
              <w:rPr>
                <w:rFonts w:hint="eastAsia" w:ascii="宋体" w:hAnsi="宋体" w:eastAsia="宋体" w:cs="宋体"/>
                <w:snapToGrid/>
                <w:color w:val="auto"/>
                <w:sz w:val="21"/>
                <w:szCs w:val="21"/>
                <w:highlight w:val="none"/>
                <w:lang w:val="en-US" w:eastAsia="zh-CN"/>
              </w:rPr>
              <w:t>2026年度</w:t>
            </w:r>
            <w:r>
              <w:rPr>
                <w:rFonts w:hint="eastAsia" w:ascii="宋体" w:hAnsi="宋体" w:eastAsia="宋体" w:cs="宋体"/>
                <w:snapToGrid/>
                <w:color w:val="auto"/>
                <w:sz w:val="21"/>
                <w:szCs w:val="21"/>
                <w:highlight w:val="none"/>
                <w:lang w:eastAsia="zh-CN"/>
              </w:rPr>
              <w:t>美丽广西建设成效评估报告、美丽中国建设成效考核2025年度预自评集成材料、美丽城市建设评估指标体系研究报告（</w:t>
            </w:r>
            <w:r>
              <w:rPr>
                <w:rFonts w:hint="eastAsia" w:ascii="宋体" w:hAnsi="宋体" w:eastAsia="宋体" w:cs="宋体"/>
                <w:snapToGrid/>
                <w:color w:val="auto"/>
                <w:sz w:val="21"/>
                <w:szCs w:val="21"/>
                <w:highlight w:val="none"/>
                <w:lang w:val="en-US" w:eastAsia="zh-CN"/>
              </w:rPr>
              <w:t>送审</w:t>
            </w:r>
            <w:r>
              <w:rPr>
                <w:rFonts w:hint="eastAsia" w:ascii="宋体" w:hAnsi="宋体" w:eastAsia="宋体" w:cs="宋体"/>
                <w:snapToGrid/>
                <w:color w:val="auto"/>
                <w:sz w:val="21"/>
                <w:szCs w:val="21"/>
                <w:highlight w:val="none"/>
                <w:lang w:eastAsia="zh-CN"/>
              </w:rPr>
              <w:t>稿）并通过采购人审核后</w:t>
            </w:r>
            <w:r>
              <w:rPr>
                <w:rFonts w:hint="eastAsia" w:ascii="宋体" w:hAnsi="宋体" w:eastAsia="宋体" w:cs="宋体"/>
                <w:snapToGrid/>
                <w:color w:val="auto"/>
                <w:sz w:val="21"/>
                <w:szCs w:val="21"/>
                <w:highlight w:val="none"/>
              </w:rPr>
              <w:t>，</w:t>
            </w:r>
            <w:r>
              <w:rPr>
                <w:rFonts w:hint="eastAsia" w:ascii="宋体" w:hAnsi="宋体" w:eastAsia="宋体" w:cs="宋体"/>
                <w:snapToGrid/>
                <w:color w:val="auto"/>
                <w:sz w:val="21"/>
                <w:szCs w:val="21"/>
                <w:highlight w:val="none"/>
                <w:lang w:val="en-US" w:eastAsia="zh-CN"/>
              </w:rPr>
              <w:t>采购人在10个工作日内</w:t>
            </w:r>
            <w:r>
              <w:rPr>
                <w:rFonts w:hint="eastAsia" w:ascii="宋体" w:hAnsi="宋体" w:eastAsia="宋体" w:cs="宋体"/>
                <w:snapToGrid/>
                <w:color w:val="auto"/>
                <w:sz w:val="21"/>
                <w:szCs w:val="21"/>
                <w:highlight w:val="none"/>
              </w:rPr>
              <w:t>向</w:t>
            </w:r>
            <w:r>
              <w:rPr>
                <w:rFonts w:hint="eastAsia" w:ascii="宋体" w:hAnsi="宋体" w:eastAsia="宋体" w:cs="宋体"/>
                <w:snapToGrid/>
                <w:color w:val="auto"/>
                <w:sz w:val="21"/>
                <w:szCs w:val="21"/>
                <w:highlight w:val="none"/>
                <w:lang w:val="en-US" w:eastAsia="zh-CN"/>
              </w:rPr>
              <w:t>成交供应商</w:t>
            </w:r>
            <w:r>
              <w:rPr>
                <w:rFonts w:hint="eastAsia" w:ascii="宋体" w:hAnsi="宋体" w:eastAsia="宋体" w:cs="宋体"/>
                <w:snapToGrid/>
                <w:color w:val="auto"/>
                <w:sz w:val="21"/>
                <w:szCs w:val="21"/>
                <w:highlight w:val="none"/>
              </w:rPr>
              <w:t>支付合同总</w:t>
            </w:r>
            <w:r>
              <w:rPr>
                <w:rFonts w:hint="eastAsia" w:ascii="宋体" w:hAnsi="宋体" w:eastAsia="宋体" w:cs="宋体"/>
                <w:snapToGrid/>
                <w:color w:val="auto"/>
                <w:sz w:val="21"/>
                <w:szCs w:val="21"/>
                <w:highlight w:val="none"/>
                <w:lang w:val="en-US" w:eastAsia="zh-CN"/>
              </w:rPr>
              <w:t>金</w:t>
            </w:r>
            <w:r>
              <w:rPr>
                <w:rFonts w:hint="eastAsia" w:ascii="宋体" w:hAnsi="宋体" w:eastAsia="宋体" w:cs="宋体"/>
                <w:snapToGrid/>
                <w:color w:val="auto"/>
                <w:sz w:val="21"/>
                <w:szCs w:val="21"/>
                <w:highlight w:val="none"/>
              </w:rPr>
              <w:t>额的</w:t>
            </w:r>
            <w:r>
              <w:rPr>
                <w:rFonts w:hint="eastAsia" w:ascii="宋体" w:hAnsi="宋体" w:eastAsia="宋体" w:cs="宋体"/>
                <w:snapToGrid/>
                <w:color w:val="auto"/>
                <w:sz w:val="21"/>
                <w:szCs w:val="21"/>
                <w:highlight w:val="none"/>
                <w:lang w:val="en-US" w:eastAsia="zh-CN"/>
              </w:rPr>
              <w:t>1</w:t>
            </w:r>
            <w:r>
              <w:rPr>
                <w:rFonts w:hint="eastAsia" w:ascii="宋体" w:hAnsi="宋体" w:eastAsia="宋体" w:cs="宋体"/>
                <w:snapToGrid/>
                <w:color w:val="auto"/>
                <w:sz w:val="21"/>
                <w:szCs w:val="21"/>
                <w:highlight w:val="none"/>
              </w:rPr>
              <w:t>0%。</w:t>
            </w:r>
          </w:p>
          <w:p w14:paraId="2CF5591F">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i w:val="0"/>
                <w:iCs w:val="0"/>
                <w:color w:val="auto"/>
                <w:sz w:val="21"/>
                <w:szCs w:val="21"/>
                <w:highlight w:val="none"/>
                <w:u w:val="none"/>
                <w:lang w:val="en-US" w:eastAsia="zh-CN"/>
              </w:rPr>
              <w:t xml:space="preserve"> 4.</w:t>
            </w:r>
            <w:r>
              <w:rPr>
                <w:rFonts w:hint="eastAsia" w:ascii="宋体" w:hAnsi="宋体" w:eastAsia="宋体" w:cs="宋体"/>
                <w:snapToGrid/>
                <w:color w:val="auto"/>
                <w:sz w:val="21"/>
                <w:szCs w:val="21"/>
                <w:highlight w:val="none"/>
              </w:rPr>
              <w:t>成交供应商须于签订合同</w:t>
            </w:r>
            <w:r>
              <w:rPr>
                <w:rFonts w:hint="eastAsia" w:ascii="宋体" w:hAnsi="宋体" w:eastAsia="宋体" w:cs="宋体"/>
                <w:snapToGrid/>
                <w:color w:val="auto"/>
                <w:sz w:val="21"/>
                <w:szCs w:val="21"/>
                <w:highlight w:val="none"/>
                <w:lang w:eastAsia="zh-CN"/>
              </w:rPr>
              <w:t>之</w:t>
            </w:r>
            <w:r>
              <w:rPr>
                <w:rFonts w:hint="eastAsia" w:ascii="宋体" w:hAnsi="宋体" w:eastAsia="宋体" w:cs="宋体"/>
                <w:snapToGrid/>
                <w:color w:val="auto"/>
                <w:sz w:val="21"/>
                <w:szCs w:val="21"/>
                <w:highlight w:val="none"/>
                <w:lang w:val="en-US" w:eastAsia="zh-CN"/>
              </w:rPr>
              <w:t>日起10个工作日内，</w:t>
            </w:r>
            <w:r>
              <w:rPr>
                <w:rFonts w:hint="eastAsia" w:ascii="宋体" w:hAnsi="宋体" w:eastAsia="宋体" w:cs="宋体"/>
                <w:snapToGrid/>
                <w:color w:val="auto"/>
                <w:sz w:val="21"/>
                <w:szCs w:val="21"/>
                <w:highlight w:val="none"/>
              </w:rPr>
              <w:t>将本项目成交</w:t>
            </w:r>
            <w:r>
              <w:rPr>
                <w:rFonts w:hint="eastAsia" w:ascii="宋体" w:hAnsi="宋体" w:eastAsia="宋体" w:cs="宋体"/>
                <w:snapToGrid/>
                <w:color w:val="auto"/>
                <w:sz w:val="21"/>
                <w:szCs w:val="21"/>
                <w:highlight w:val="none"/>
                <w:lang w:val="en-US" w:eastAsia="zh-CN"/>
              </w:rPr>
              <w:t>总</w:t>
            </w:r>
            <w:r>
              <w:rPr>
                <w:rFonts w:hint="eastAsia" w:ascii="宋体" w:hAnsi="宋体" w:eastAsia="宋体" w:cs="宋体"/>
                <w:snapToGrid/>
                <w:color w:val="auto"/>
                <w:sz w:val="21"/>
                <w:szCs w:val="21"/>
                <w:highlight w:val="none"/>
              </w:rPr>
              <w:t>金额</w:t>
            </w:r>
            <w:r>
              <w:rPr>
                <w:rFonts w:hint="eastAsia" w:ascii="宋体" w:hAnsi="宋体" w:eastAsia="宋体" w:cs="宋体"/>
                <w:snapToGrid/>
                <w:color w:val="auto"/>
                <w:sz w:val="21"/>
                <w:szCs w:val="21"/>
                <w:highlight w:val="none"/>
                <w:lang w:val="en-US"/>
              </w:rPr>
              <w:t>5</w:t>
            </w:r>
            <w:r>
              <w:rPr>
                <w:rFonts w:hint="eastAsia" w:ascii="宋体" w:hAnsi="宋体" w:eastAsia="宋体" w:cs="宋体"/>
                <w:snapToGrid/>
                <w:color w:val="auto"/>
                <w:sz w:val="21"/>
                <w:szCs w:val="21"/>
                <w:highlight w:val="none"/>
              </w:rPr>
              <w:t>%的履约保证金（中小企业缴纳数额为成交</w:t>
            </w:r>
            <w:r>
              <w:rPr>
                <w:rFonts w:hint="eastAsia" w:ascii="宋体" w:hAnsi="宋体" w:eastAsia="宋体" w:cs="宋体"/>
                <w:snapToGrid/>
                <w:color w:val="auto"/>
                <w:sz w:val="21"/>
                <w:szCs w:val="21"/>
                <w:highlight w:val="none"/>
                <w:lang w:val="en-US" w:eastAsia="zh-CN"/>
              </w:rPr>
              <w:t>总</w:t>
            </w:r>
            <w:r>
              <w:rPr>
                <w:rFonts w:hint="eastAsia" w:ascii="宋体" w:hAnsi="宋体" w:eastAsia="宋体" w:cs="宋体"/>
                <w:snapToGrid/>
                <w:color w:val="auto"/>
                <w:sz w:val="21"/>
                <w:szCs w:val="21"/>
                <w:highlight w:val="none"/>
              </w:rPr>
              <w:t>金额的2%）按规定直接缴入采购人</w:t>
            </w:r>
            <w:r>
              <w:rPr>
                <w:rFonts w:hint="eastAsia" w:ascii="宋体" w:hAnsi="宋体" w:eastAsia="宋体" w:cs="宋体"/>
                <w:snapToGrid/>
                <w:color w:val="auto"/>
                <w:sz w:val="21"/>
                <w:szCs w:val="21"/>
                <w:highlight w:val="none"/>
                <w:lang w:val="en-US" w:eastAsia="zh-CN"/>
              </w:rPr>
              <w:t>银行</w:t>
            </w:r>
            <w:r>
              <w:rPr>
                <w:rFonts w:hint="eastAsia" w:ascii="宋体" w:hAnsi="宋体" w:eastAsia="宋体" w:cs="宋体"/>
                <w:snapToGrid/>
                <w:color w:val="auto"/>
                <w:sz w:val="21"/>
                <w:szCs w:val="21"/>
                <w:highlight w:val="none"/>
              </w:rPr>
              <w:t>账户</w:t>
            </w:r>
            <w:r>
              <w:rPr>
                <w:rFonts w:hint="eastAsia" w:ascii="宋体" w:hAnsi="宋体" w:eastAsia="宋体" w:cs="宋体"/>
                <w:snapToGrid/>
                <w:color w:val="auto"/>
                <w:sz w:val="21"/>
                <w:szCs w:val="21"/>
                <w:highlight w:val="none"/>
                <w:lang w:eastAsia="zh-CN"/>
              </w:rPr>
              <w:t>，或以转账、支票、汇票、本票、保函等非现金形式缴纳或提交保证金。</w:t>
            </w:r>
          </w:p>
          <w:p w14:paraId="2E9E30E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5</w:t>
            </w:r>
            <w:r>
              <w:rPr>
                <w:rFonts w:hint="eastAsia" w:ascii="宋体" w:hAnsi="宋体" w:eastAsia="宋体" w:cs="宋体"/>
                <w:snapToGrid/>
                <w:color w:val="auto"/>
                <w:sz w:val="21"/>
                <w:szCs w:val="21"/>
                <w:highlight w:val="none"/>
                <w:lang w:val="en-US" w:eastAsia="zh-CN"/>
              </w:rPr>
              <w:t>.</w:t>
            </w:r>
            <w:r>
              <w:rPr>
                <w:rFonts w:hint="eastAsia" w:ascii="宋体" w:hAnsi="宋体" w:eastAsia="宋体" w:cs="宋体"/>
                <w:snapToGrid/>
                <w:color w:val="auto"/>
                <w:sz w:val="21"/>
                <w:szCs w:val="21"/>
                <w:highlight w:val="none"/>
              </w:rPr>
              <w:t>签订合同后，如成交供应商不按双方签订的合同规定履约，则</w:t>
            </w:r>
            <w:r>
              <w:rPr>
                <w:rFonts w:hint="eastAsia" w:ascii="宋体" w:hAnsi="宋体" w:eastAsia="宋体" w:cs="宋体"/>
                <w:snapToGrid/>
                <w:color w:val="auto"/>
                <w:sz w:val="21"/>
                <w:szCs w:val="21"/>
                <w:highlight w:val="none"/>
                <w:lang w:val="en-US" w:eastAsia="zh-CN"/>
              </w:rPr>
              <w:t>采购人有权</w:t>
            </w:r>
            <w:r>
              <w:rPr>
                <w:rFonts w:hint="eastAsia" w:ascii="宋体" w:hAnsi="宋体" w:eastAsia="宋体" w:cs="宋体"/>
                <w:snapToGrid/>
                <w:color w:val="auto"/>
                <w:sz w:val="21"/>
                <w:szCs w:val="21"/>
                <w:highlight w:val="none"/>
              </w:rPr>
              <w:t>没收其全部履约保证金，履约保证金不足以赔偿</w:t>
            </w:r>
            <w:r>
              <w:rPr>
                <w:rFonts w:hint="eastAsia" w:ascii="宋体" w:hAnsi="宋体" w:eastAsia="宋体" w:cs="宋体"/>
                <w:snapToGrid/>
                <w:color w:val="auto"/>
                <w:sz w:val="21"/>
                <w:szCs w:val="21"/>
                <w:highlight w:val="none"/>
                <w:lang w:val="en-US" w:eastAsia="zh-CN"/>
              </w:rPr>
              <w:t>采购人</w:t>
            </w:r>
            <w:r>
              <w:rPr>
                <w:rFonts w:hint="eastAsia" w:ascii="宋体" w:hAnsi="宋体" w:eastAsia="宋体" w:cs="宋体"/>
                <w:snapToGrid/>
                <w:color w:val="auto"/>
                <w:sz w:val="21"/>
                <w:szCs w:val="21"/>
                <w:highlight w:val="none"/>
              </w:rPr>
              <w:t>损失的，按实际损失赔偿。包括</w:t>
            </w:r>
            <w:r>
              <w:rPr>
                <w:rFonts w:hint="eastAsia" w:ascii="宋体" w:hAnsi="宋体" w:eastAsia="宋体" w:cs="宋体"/>
                <w:snapToGrid/>
                <w:color w:val="auto"/>
                <w:sz w:val="21"/>
                <w:szCs w:val="21"/>
                <w:highlight w:val="none"/>
                <w:lang w:val="en-US" w:eastAsia="zh-CN"/>
              </w:rPr>
              <w:t>采购人</w:t>
            </w:r>
            <w:r>
              <w:rPr>
                <w:rFonts w:hint="eastAsia" w:ascii="宋体" w:hAnsi="宋体" w:eastAsia="宋体" w:cs="宋体"/>
                <w:snapToGrid/>
                <w:color w:val="auto"/>
                <w:sz w:val="21"/>
                <w:szCs w:val="21"/>
                <w:highlight w:val="none"/>
              </w:rPr>
              <w:t>遭受的全部直接经济损失、间接损失及为此支出的合理费用（包括但不限于为此支出的调查费、诉讼费、保全费、保全保险费、公证费、律师费、差旅费等）。</w:t>
            </w:r>
          </w:p>
          <w:p w14:paraId="4B0E962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snapToGrid/>
                <w:color w:val="auto"/>
                <w:sz w:val="21"/>
                <w:szCs w:val="21"/>
                <w:highlight w:val="none"/>
              </w:rPr>
            </w:pPr>
            <w:r>
              <w:rPr>
                <w:rFonts w:hint="eastAsia" w:ascii="宋体" w:hAnsi="宋体" w:eastAsia="宋体" w:cs="宋体"/>
                <w:snapToGrid/>
                <w:color w:val="auto"/>
                <w:sz w:val="21"/>
                <w:szCs w:val="21"/>
                <w:highlight w:val="none"/>
              </w:rPr>
              <w:t>6</w:t>
            </w:r>
            <w:r>
              <w:rPr>
                <w:rFonts w:hint="eastAsia" w:ascii="宋体" w:hAnsi="宋体" w:eastAsia="宋体" w:cs="宋体"/>
                <w:snapToGrid/>
                <w:color w:val="auto"/>
                <w:sz w:val="21"/>
                <w:szCs w:val="21"/>
                <w:highlight w:val="none"/>
                <w:lang w:val="en-US" w:eastAsia="zh-CN"/>
              </w:rPr>
              <w:t>.</w:t>
            </w:r>
            <w:r>
              <w:rPr>
                <w:rFonts w:hint="eastAsia" w:ascii="宋体" w:hAnsi="宋体" w:eastAsia="宋体" w:cs="宋体"/>
                <w:snapToGrid/>
                <w:color w:val="auto"/>
                <w:sz w:val="21"/>
                <w:szCs w:val="21"/>
                <w:highlight w:val="none"/>
              </w:rPr>
              <w:t>履约保证金在成交供应商按合同约定服务验收合格后，由成交供应商向采购人提供《政府采购项目履约保证金退付意见书》，采购人在收到合格材料后</w:t>
            </w:r>
            <w:r>
              <w:rPr>
                <w:rFonts w:hint="eastAsia" w:ascii="宋体" w:hAnsi="宋体" w:eastAsia="宋体" w:cs="宋体"/>
                <w:snapToGrid/>
                <w:color w:val="auto"/>
                <w:sz w:val="21"/>
                <w:szCs w:val="21"/>
                <w:highlight w:val="none"/>
                <w:lang w:val="en-US" w:eastAsia="zh-CN"/>
              </w:rPr>
              <w:t>10</w:t>
            </w:r>
            <w:r>
              <w:rPr>
                <w:rFonts w:hint="eastAsia" w:ascii="宋体" w:hAnsi="宋体" w:eastAsia="宋体" w:cs="宋体"/>
                <w:snapToGrid/>
                <w:color w:val="auto"/>
                <w:sz w:val="21"/>
                <w:szCs w:val="21"/>
                <w:highlight w:val="none"/>
              </w:rPr>
              <w:t>个工作日内以银行转</w:t>
            </w:r>
            <w:r>
              <w:rPr>
                <w:rFonts w:hint="eastAsia" w:ascii="宋体" w:hAnsi="宋体" w:eastAsia="宋体" w:cs="宋体"/>
                <w:snapToGrid/>
                <w:color w:val="auto"/>
                <w:sz w:val="21"/>
                <w:szCs w:val="21"/>
                <w:highlight w:val="none"/>
                <w:lang w:val="en-US" w:eastAsia="zh-CN"/>
              </w:rPr>
              <w:t>账</w:t>
            </w:r>
            <w:r>
              <w:rPr>
                <w:rFonts w:hint="eastAsia" w:ascii="宋体" w:hAnsi="宋体" w:eastAsia="宋体" w:cs="宋体"/>
                <w:snapToGrid/>
                <w:color w:val="auto"/>
                <w:sz w:val="21"/>
                <w:szCs w:val="21"/>
                <w:highlight w:val="none"/>
              </w:rPr>
              <w:t>方式如数退还。（不计利息）</w:t>
            </w:r>
          </w:p>
          <w:p w14:paraId="7D629E1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val="en-US" w:eastAsia="zh-CN"/>
              </w:rPr>
              <w:t>7.</w:t>
            </w:r>
            <w:r>
              <w:rPr>
                <w:rFonts w:hint="eastAsia" w:ascii="宋体" w:hAnsi="宋体" w:eastAsia="宋体" w:cs="宋体"/>
                <w:snapToGrid/>
                <w:color w:val="auto"/>
                <w:sz w:val="21"/>
                <w:szCs w:val="21"/>
                <w:highlight w:val="none"/>
              </w:rPr>
              <w:t>在履约保证金退还日期前，若成交供应商的开户名称、开户银行、</w:t>
            </w:r>
            <w:r>
              <w:rPr>
                <w:rFonts w:hint="eastAsia" w:ascii="宋体" w:hAnsi="宋体" w:eastAsia="宋体" w:cs="宋体"/>
                <w:snapToGrid/>
                <w:color w:val="auto"/>
                <w:sz w:val="21"/>
                <w:szCs w:val="21"/>
                <w:highlight w:val="none"/>
                <w:lang w:val="en-US" w:eastAsia="zh-CN"/>
              </w:rPr>
              <w:t>账</w:t>
            </w:r>
            <w:r>
              <w:rPr>
                <w:rFonts w:hint="eastAsia" w:ascii="宋体" w:hAnsi="宋体" w:eastAsia="宋体" w:cs="宋体"/>
                <w:snapToGrid/>
                <w:color w:val="auto"/>
                <w:sz w:val="21"/>
                <w:szCs w:val="21"/>
                <w:highlight w:val="none"/>
              </w:rPr>
              <w:t>有变动的，请</w:t>
            </w:r>
            <w:r>
              <w:rPr>
                <w:rFonts w:hint="eastAsia" w:ascii="宋体" w:hAnsi="宋体" w:eastAsia="宋体" w:cs="宋体"/>
                <w:snapToGrid/>
                <w:color w:val="auto"/>
                <w:sz w:val="21"/>
                <w:szCs w:val="21"/>
                <w:highlight w:val="none"/>
                <w:lang w:eastAsia="zh-CN"/>
              </w:rPr>
              <w:t>提前</w:t>
            </w:r>
            <w:r>
              <w:rPr>
                <w:rFonts w:hint="eastAsia" w:ascii="宋体" w:hAnsi="宋体" w:eastAsia="宋体" w:cs="宋体"/>
                <w:snapToGrid/>
                <w:color w:val="auto"/>
                <w:sz w:val="21"/>
                <w:szCs w:val="21"/>
                <w:highlight w:val="none"/>
                <w:lang w:val="en-US" w:eastAsia="zh-CN"/>
              </w:rPr>
              <w:t>5个工作日</w:t>
            </w:r>
            <w:r>
              <w:rPr>
                <w:rFonts w:hint="eastAsia" w:ascii="宋体" w:hAnsi="宋体" w:eastAsia="宋体" w:cs="宋体"/>
                <w:snapToGrid/>
                <w:color w:val="auto"/>
                <w:sz w:val="21"/>
                <w:szCs w:val="21"/>
                <w:highlight w:val="none"/>
              </w:rPr>
              <w:t>以书面形式通知采购人，否则由此产生的后果由成交供应商自负。</w:t>
            </w:r>
          </w:p>
          <w:p w14:paraId="5663459C">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outlineLvl w:val="9"/>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Cs/>
                <w:color w:val="auto"/>
                <w:kern w:val="2"/>
                <w:sz w:val="21"/>
                <w:szCs w:val="21"/>
                <w:highlight w:val="none"/>
                <w:u w:val="none"/>
                <w:shd w:val="clear" w:color="auto" w:fill="auto"/>
                <w:lang w:val="en-US" w:eastAsia="zh-CN" w:bidi="ar-SA"/>
              </w:rPr>
              <w:t>8.采购人在</w:t>
            </w:r>
            <w:r>
              <w:rPr>
                <w:rFonts w:hint="eastAsia" w:ascii="宋体" w:hAnsi="宋体" w:eastAsia="宋体" w:cs="宋体"/>
                <w:snapToGrid/>
                <w:color w:val="auto"/>
                <w:sz w:val="21"/>
                <w:szCs w:val="21"/>
                <w:highlight w:val="none"/>
                <w:lang w:eastAsia="zh-CN"/>
              </w:rPr>
              <w:t>支付每一笔合同款前，</w:t>
            </w:r>
            <w:r>
              <w:rPr>
                <w:rFonts w:hint="eastAsia" w:ascii="宋体" w:hAnsi="宋体" w:eastAsia="宋体" w:cs="宋体"/>
                <w:snapToGrid/>
                <w:color w:val="auto"/>
                <w:sz w:val="21"/>
                <w:szCs w:val="21"/>
                <w:highlight w:val="none"/>
                <w:lang w:val="en-US" w:eastAsia="zh-CN"/>
              </w:rPr>
              <w:t>成交供应商应当</w:t>
            </w:r>
            <w:r>
              <w:rPr>
                <w:rFonts w:hint="eastAsia" w:ascii="宋体" w:hAnsi="宋体" w:eastAsia="宋体" w:cs="宋体"/>
                <w:snapToGrid/>
                <w:color w:val="auto"/>
                <w:sz w:val="21"/>
                <w:szCs w:val="21"/>
                <w:highlight w:val="none"/>
                <w:lang w:eastAsia="zh-CN"/>
              </w:rPr>
              <w:t>向</w:t>
            </w:r>
            <w:r>
              <w:rPr>
                <w:rFonts w:hint="eastAsia" w:ascii="宋体" w:hAnsi="宋体" w:eastAsia="宋体" w:cs="宋体"/>
                <w:snapToGrid/>
                <w:color w:val="auto"/>
                <w:sz w:val="21"/>
                <w:szCs w:val="21"/>
                <w:highlight w:val="none"/>
                <w:lang w:val="en-US" w:eastAsia="zh-CN"/>
              </w:rPr>
              <w:t>采购人提供可供政府审计并且符合税务规定的正式</w:t>
            </w:r>
            <w:r>
              <w:rPr>
                <w:rFonts w:hint="eastAsia" w:ascii="宋体" w:hAnsi="宋体" w:eastAsia="宋体" w:cs="宋体"/>
                <w:snapToGrid/>
                <w:color w:val="auto"/>
                <w:sz w:val="21"/>
                <w:szCs w:val="21"/>
                <w:highlight w:val="none"/>
                <w:lang w:eastAsia="zh-CN"/>
              </w:rPr>
              <w:t>等额发票，否则甲方有权拒付相应款项直至乙方能提供符合规定的发票为止。</w:t>
            </w:r>
          </w:p>
          <w:p w14:paraId="3C311B76">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22" w:firstLineChars="200"/>
              <w:jc w:val="both"/>
              <w:textAlignment w:val="auto"/>
              <w:outlineLvl w:val="0"/>
              <w:rPr>
                <w:rFonts w:hint="eastAsia" w:ascii="宋体" w:hAnsi="宋体" w:eastAsia="宋体" w:cs="宋体"/>
                <w:b/>
                <w:bCs/>
                <w:i w:val="0"/>
                <w:iCs w:val="0"/>
                <w:color w:val="auto"/>
                <w:sz w:val="21"/>
                <w:szCs w:val="21"/>
                <w:highlight w:val="none"/>
                <w:u w:val="none"/>
                <w:lang w:val="en-US" w:eastAsia="zh-CN"/>
              </w:rPr>
            </w:pPr>
            <w:bookmarkStart w:id="71" w:name="_Toc22496"/>
            <w:bookmarkStart w:id="72" w:name="_Toc646"/>
            <w:r>
              <w:rPr>
                <w:rFonts w:hint="eastAsia" w:ascii="宋体" w:hAnsi="宋体" w:eastAsia="宋体" w:cs="宋体"/>
                <w:b/>
                <w:bCs/>
                <w:i w:val="0"/>
                <w:iCs w:val="0"/>
                <w:color w:val="auto"/>
                <w:sz w:val="21"/>
                <w:szCs w:val="21"/>
                <w:highlight w:val="none"/>
                <w:u w:val="none"/>
                <w:lang w:val="en-US" w:eastAsia="zh-CN"/>
              </w:rPr>
              <w:t>（三）验收标准</w:t>
            </w:r>
            <w:bookmarkEnd w:id="71"/>
            <w:bookmarkEnd w:id="72"/>
          </w:p>
          <w:p w14:paraId="7DC08673">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kern w:val="2"/>
                <w:sz w:val="21"/>
                <w:szCs w:val="21"/>
                <w:highlight w:val="none"/>
                <w:lang w:val="en-US" w:eastAsia="zh-CN" w:bidi="ar-SA"/>
              </w:rPr>
              <w:t>项目完成后</w:t>
            </w:r>
            <w:r>
              <w:rPr>
                <w:rFonts w:hint="eastAsia" w:ascii="宋体" w:hAnsi="宋体" w:cs="宋体"/>
                <w:color w:val="auto"/>
                <w:kern w:val="2"/>
                <w:sz w:val="21"/>
                <w:szCs w:val="21"/>
                <w:highlight w:val="none"/>
                <w:lang w:val="en-US" w:eastAsia="zh-CN" w:bidi="ar-SA"/>
              </w:rPr>
              <w:t>采购人</w:t>
            </w:r>
            <w:r>
              <w:rPr>
                <w:rFonts w:hint="eastAsia" w:ascii="宋体" w:hAnsi="宋体" w:eastAsia="宋体" w:cs="宋体"/>
                <w:color w:val="auto"/>
                <w:kern w:val="2"/>
                <w:sz w:val="21"/>
                <w:szCs w:val="21"/>
                <w:highlight w:val="none"/>
                <w:lang w:val="en-US" w:eastAsia="zh-CN" w:bidi="ar-SA"/>
              </w:rPr>
              <w:t>应组织专家</w:t>
            </w:r>
            <w:r>
              <w:rPr>
                <w:rFonts w:hint="eastAsia" w:ascii="宋体" w:hAnsi="宋体" w:eastAsia="宋体" w:cs="宋体"/>
                <w:color w:val="auto"/>
                <w:kern w:val="2"/>
                <w:sz w:val="21"/>
                <w:szCs w:val="21"/>
                <w:highlight w:val="none"/>
                <w:lang w:val="en-US" w:eastAsia="zh-CN" w:bidi="ar-SA"/>
              </w:rPr>
              <w:t>对项目成果出具技术评审意见</w:t>
            </w:r>
            <w:r>
              <w:rPr>
                <w:rFonts w:hint="eastAsia" w:ascii="宋体" w:hAnsi="宋体" w:eastAsia="宋体" w:cs="宋体"/>
                <w:color w:val="auto"/>
                <w:sz w:val="21"/>
                <w:szCs w:val="21"/>
                <w:highlight w:val="none"/>
              </w:rPr>
              <w:t>。</w:t>
            </w:r>
          </w:p>
          <w:p w14:paraId="56D17AF1">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根据自治区政府办公厅和生态环境部办公厅有关文件要求进行验收。</w:t>
            </w:r>
          </w:p>
          <w:p w14:paraId="2A0BA312">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验收过程中所产生的一切费用均由成交人承担。报价时应考虑相关费用。</w:t>
            </w:r>
          </w:p>
          <w:p w14:paraId="0CD4B44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22" w:firstLineChars="200"/>
              <w:jc w:val="both"/>
              <w:textAlignment w:val="auto"/>
              <w:outlineLvl w:val="0"/>
              <w:rPr>
                <w:rFonts w:hint="eastAsia" w:ascii="宋体" w:hAnsi="宋体" w:eastAsia="宋体" w:cs="宋体"/>
                <w:b/>
                <w:bCs/>
                <w:i w:val="0"/>
                <w:iCs w:val="0"/>
                <w:color w:val="auto"/>
                <w:sz w:val="21"/>
                <w:szCs w:val="21"/>
                <w:highlight w:val="none"/>
                <w:u w:val="none"/>
                <w:lang w:val="en-US" w:eastAsia="zh-CN"/>
              </w:rPr>
            </w:pPr>
            <w:bookmarkStart w:id="73" w:name="_Toc763"/>
            <w:bookmarkStart w:id="74" w:name="_Toc17683"/>
            <w:r>
              <w:rPr>
                <w:rFonts w:hint="eastAsia" w:ascii="宋体" w:hAnsi="宋体" w:eastAsia="宋体" w:cs="宋体"/>
                <w:b/>
                <w:bCs/>
                <w:i w:val="0"/>
                <w:iCs w:val="0"/>
                <w:color w:val="auto"/>
                <w:sz w:val="21"/>
                <w:szCs w:val="21"/>
                <w:highlight w:val="none"/>
                <w:u w:val="none"/>
                <w:lang w:val="en-US" w:eastAsia="zh-CN"/>
              </w:rPr>
              <w:t>（四）售后服务</w:t>
            </w:r>
            <w:bookmarkEnd w:id="73"/>
            <w:bookmarkEnd w:id="74"/>
          </w:p>
          <w:p w14:paraId="206ADE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供应商应按照国家有关法律法规、合同、招标文件、投标文件所附的《服务承诺》要求为甲方提供相应的售后服务。</w:t>
            </w:r>
          </w:p>
          <w:p w14:paraId="00685572">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22" w:firstLineChars="200"/>
              <w:jc w:val="both"/>
              <w:textAlignment w:val="auto"/>
              <w:outlineLvl w:val="0"/>
              <w:rPr>
                <w:rFonts w:hint="eastAsia" w:ascii="宋体" w:hAnsi="宋体" w:eastAsia="宋体" w:cs="宋体"/>
                <w:b/>
                <w:bCs/>
                <w:i w:val="0"/>
                <w:iCs w:val="0"/>
                <w:color w:val="auto"/>
                <w:sz w:val="21"/>
                <w:szCs w:val="21"/>
                <w:highlight w:val="none"/>
                <w:u w:val="none"/>
                <w:lang w:val="en-US" w:eastAsia="zh-CN"/>
              </w:rPr>
            </w:pPr>
            <w:bookmarkStart w:id="75" w:name="_Toc353"/>
            <w:bookmarkStart w:id="76" w:name="_Toc22698"/>
            <w:r>
              <w:rPr>
                <w:rFonts w:hint="eastAsia" w:ascii="宋体" w:hAnsi="宋体" w:eastAsia="宋体" w:cs="宋体"/>
                <w:b/>
                <w:bCs/>
                <w:i w:val="0"/>
                <w:iCs w:val="0"/>
                <w:color w:val="auto"/>
                <w:sz w:val="21"/>
                <w:szCs w:val="21"/>
                <w:highlight w:val="none"/>
                <w:u w:val="none"/>
                <w:lang w:val="en-US" w:eastAsia="zh-CN"/>
              </w:rPr>
              <w:t>（五）其他要求</w:t>
            </w:r>
            <w:bookmarkEnd w:id="75"/>
            <w:bookmarkEnd w:id="76"/>
          </w:p>
          <w:p w14:paraId="0118A9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1.本项目不接受存在知识产权纠纷或存在潜在知识产权纠纷的技术方案。</w:t>
            </w:r>
          </w:p>
          <w:p w14:paraId="79936F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2.供应商提供的技术服务必须保证具备自有知识产权，如发生与知识产权有关的纠纷，由供应商解决并承担全部责任，与采购人无关。</w:t>
            </w:r>
          </w:p>
          <w:p w14:paraId="18E040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3.合同履行要求</w:t>
            </w:r>
          </w:p>
          <w:p w14:paraId="10CDA6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（1）由采购人组织验收，验收不通过的事项，供应商须在采购人指定的时限内完成。遇特殊情况的，可由双方依据客观事实商议完成时限。</w:t>
            </w:r>
          </w:p>
          <w:p w14:paraId="2C4AE3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（2）如发现供应商提供虚假材料谋取成交违法行为，采购人将报告同级财政部门和相关行政主管部门依法追究其法律责任。</w:t>
            </w:r>
          </w:p>
          <w:p w14:paraId="1BC699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b w:val="0"/>
                <w:bCs w:val="0"/>
                <w:i w:val="0"/>
                <w:iCs w:val="0"/>
                <w:color w:val="auto"/>
                <w:sz w:val="21"/>
                <w:szCs w:val="21"/>
                <w:highlight w:val="none"/>
                <w:u w:val="none"/>
                <w:lang w:val="en-US" w:eastAsia="zh-CN"/>
              </w:rPr>
              <w:t>4.供应商如有因技术、数据造假（相关案件、信用记录）记录，一律不得参与投标及评标。如供应商不符合上述要求、隐瞒、提供虚假承诺等行为，由采购人或代理机构第一时间报监管部门并按照《中华人民共和国政府采购法》等相关规定处理，由供应商承担所有责任和费用，采购人保留进一步追究责任的权利，供应商不得做任何辩解。</w:t>
            </w:r>
          </w:p>
        </w:tc>
      </w:tr>
      <w:tr w14:paraId="35DC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14:paraId="3EC5D7C0">
            <w:pPr>
              <w:keepNext w:val="0"/>
              <w:keepLines w:val="0"/>
              <w:pageBreakBefore w:val="0"/>
              <w:kinsoku/>
              <w:wordWrap/>
              <w:overflowPunct/>
              <w:topLinePunct w:val="0"/>
              <w:autoSpaceDE/>
              <w:autoSpaceDN/>
              <w:bidi w:val="0"/>
              <w:adjustRightInd w:val="0"/>
              <w:spacing w:line="40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知识产权</w:t>
            </w:r>
          </w:p>
        </w:tc>
        <w:tc>
          <w:tcPr>
            <w:tcW w:w="7800" w:type="dxa"/>
            <w:gridSpan w:val="5"/>
            <w:noWrap w:val="0"/>
            <w:vAlign w:val="top"/>
          </w:tcPr>
          <w:p w14:paraId="628CF3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采购人在中华人民共和国境内使用供应商提供的产品及服务时免受第三方提出的侵犯其专利权或其它知识产权的起诉。如果第三方提出侵权指控，成交供应商应承担由此而引起的一切法律责任和费用。</w:t>
            </w:r>
          </w:p>
        </w:tc>
      </w:tr>
    </w:tbl>
    <w:p w14:paraId="20B1F642">
      <w:pPr>
        <w:pStyle w:val="3"/>
        <w:pageBreakBefore w:val="0"/>
        <w:widowControl w:val="0"/>
        <w:kinsoku/>
        <w:wordWrap/>
        <w:overflowPunct/>
        <w:topLinePunct w:val="0"/>
        <w:autoSpaceDE/>
        <w:autoSpaceDN/>
        <w:bidi w:val="0"/>
        <w:adjustRightInd/>
        <w:snapToGrid/>
        <w:spacing w:before="0" w:after="0" w:line="400" w:lineRule="exact"/>
        <w:jc w:val="center"/>
        <w:textAlignment w:val="auto"/>
        <w:rPr>
          <w:rFonts w:ascii="宋体" w:hAnsi="宋体" w:cs="宋体"/>
          <w:color w:val="auto"/>
          <w:sz w:val="24"/>
          <w:szCs w:val="24"/>
          <w:highlight w:val="none"/>
        </w:rPr>
      </w:pPr>
      <w:bookmarkStart w:id="77" w:name="_Toc6548"/>
      <w:bookmarkStart w:id="78" w:name="_Toc32375"/>
      <w:bookmarkStart w:id="79" w:name="_Toc485920211"/>
      <w:bookmarkStart w:id="80" w:name="_Toc460253700"/>
      <w:bookmarkStart w:id="81" w:name="_Toc213326413"/>
      <w:bookmarkStart w:id="82" w:name="_Toc213206173"/>
      <w:bookmarkStart w:id="83" w:name="_Toc139966432"/>
      <w:bookmarkStart w:id="84" w:name="_Toc139967216"/>
      <w:bookmarkStart w:id="85" w:name="_Toc213325922"/>
      <w:r>
        <w:rPr>
          <w:rFonts w:hint="eastAsia" w:ascii="黑体" w:hAnsi="黑体" w:eastAsia="黑体" w:cs="黑体"/>
          <w:b w:val="0"/>
          <w:bCs w:val="0"/>
          <w:color w:val="auto"/>
          <w:szCs w:val="30"/>
          <w:highlight w:val="none"/>
          <w:lang w:val="en-US" w:eastAsia="zh-CN"/>
        </w:rPr>
        <w:br w:type="page"/>
      </w:r>
      <w:bookmarkStart w:id="86" w:name="_Toc14640"/>
      <w:bookmarkStart w:id="87" w:name="_Toc13131"/>
      <w:r>
        <w:rPr>
          <w:rFonts w:hint="eastAsia" w:ascii="方正小标宋_GBK" w:hAnsi="方正小标宋_GBK" w:eastAsia="方正小标宋_GBK" w:cs="方正小标宋_GBK"/>
          <w:b w:val="0"/>
          <w:bCs w:val="0"/>
          <w:color w:val="auto"/>
          <w:kern w:val="2"/>
          <w:sz w:val="21"/>
          <w:szCs w:val="21"/>
          <w:highlight w:val="none"/>
          <w:lang w:val="en-US" w:eastAsia="zh-CN" w:bidi="ar-SA"/>
        </w:rPr>
        <w:t>第四章  响应文件格式</w:t>
      </w:r>
      <w:bookmarkEnd w:id="77"/>
      <w:bookmarkEnd w:id="78"/>
      <w:bookmarkEnd w:id="86"/>
      <w:bookmarkEnd w:id="87"/>
    </w:p>
    <w:p w14:paraId="735DDEDD">
      <w:pPr>
        <w:jc w:val="center"/>
        <w:outlineLvl w:val="9"/>
        <w:rPr>
          <w:rFonts w:hint="eastAsia" w:ascii="新宋体" w:hAnsi="新宋体" w:eastAsia="新宋体" w:cs="新宋体"/>
          <w:b/>
          <w:bCs/>
          <w:color w:val="auto"/>
          <w:sz w:val="32"/>
          <w:szCs w:val="32"/>
          <w:highlight w:val="none"/>
        </w:rPr>
      </w:pPr>
      <w:bookmarkStart w:id="88" w:name="_Toc44229898"/>
      <w:bookmarkStart w:id="89" w:name="_Toc20777"/>
    </w:p>
    <w:bookmarkEnd w:id="79"/>
    <w:bookmarkEnd w:id="88"/>
    <w:bookmarkEnd w:id="89"/>
    <w:p w14:paraId="0BC86B1C">
      <w:pPr>
        <w:snapToGrid w:val="0"/>
        <w:spacing w:before="50" w:after="50"/>
        <w:outlineLvl w:val="1"/>
        <w:rPr>
          <w:rFonts w:hint="eastAsia" w:ascii="宋体" w:hAnsi="宋体" w:cs="宋体"/>
          <w:b/>
          <w:bCs/>
          <w:color w:val="auto"/>
          <w:sz w:val="32"/>
          <w:szCs w:val="32"/>
          <w:highlight w:val="none"/>
        </w:rPr>
      </w:pPr>
      <w:bookmarkStart w:id="90" w:name="_Toc16770"/>
      <w:bookmarkStart w:id="91" w:name="_Toc18117"/>
      <w:r>
        <w:rPr>
          <w:rFonts w:hint="eastAsia" w:ascii="宋体" w:hAnsi="宋体" w:cs="宋体"/>
          <w:b/>
          <w:color w:val="auto"/>
          <w:sz w:val="32"/>
          <w:szCs w:val="32"/>
          <w:highlight w:val="none"/>
        </w:rPr>
        <w:t>（</w:t>
      </w:r>
      <w:bookmarkStart w:id="92" w:name="_Toc35611437"/>
      <w:bookmarkStart w:id="93" w:name="_Toc35611515"/>
      <w:r>
        <w:rPr>
          <w:rFonts w:hint="eastAsia" w:ascii="宋体" w:hAnsi="宋体" w:cs="宋体"/>
          <w:b/>
          <w:bCs/>
          <w:color w:val="auto"/>
          <w:sz w:val="32"/>
          <w:szCs w:val="32"/>
          <w:highlight w:val="none"/>
        </w:rPr>
        <w:t>响应文件外层包装封面格式</w:t>
      </w:r>
      <w:bookmarkEnd w:id="92"/>
      <w:bookmarkEnd w:id="93"/>
      <w:r>
        <w:rPr>
          <w:rFonts w:hint="eastAsia" w:ascii="宋体" w:hAnsi="宋体" w:cs="宋体"/>
          <w:b/>
          <w:color w:val="auto"/>
          <w:sz w:val="32"/>
          <w:szCs w:val="32"/>
          <w:highlight w:val="none"/>
        </w:rPr>
        <w:t xml:space="preserve"> ）</w:t>
      </w:r>
    </w:p>
    <w:p w14:paraId="52FDBED1">
      <w:pPr>
        <w:snapToGrid w:val="0"/>
        <w:spacing w:before="156" w:beforeLines="50" w:after="50"/>
        <w:rPr>
          <w:rFonts w:hint="eastAsia" w:ascii="宋体" w:hAnsi="宋体" w:cs="宋体"/>
          <w:color w:val="auto"/>
          <w:sz w:val="24"/>
          <w:szCs w:val="20"/>
          <w:highlight w:val="none"/>
        </w:rPr>
      </w:pPr>
    </w:p>
    <w:p w14:paraId="5DB9F001">
      <w:pPr>
        <w:snapToGrid w:val="0"/>
        <w:spacing w:before="156" w:beforeLines="50" w:after="50"/>
        <w:jc w:val="center"/>
        <w:rPr>
          <w:rFonts w:hint="eastAsia" w:ascii="宋体" w:hAnsi="宋体" w:cs="宋体"/>
          <w:bCs/>
          <w:color w:val="auto"/>
          <w:sz w:val="24"/>
          <w:szCs w:val="20"/>
          <w:highlight w:val="none"/>
        </w:rPr>
      </w:pPr>
    </w:p>
    <w:p w14:paraId="6BBB9116">
      <w:pPr>
        <w:snapToGrid w:val="0"/>
        <w:spacing w:before="156"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7B56FDBE">
      <w:pPr>
        <w:snapToGrid w:val="0"/>
        <w:spacing w:before="156" w:beforeLines="50" w:after="50"/>
        <w:rPr>
          <w:rFonts w:hint="eastAsia" w:ascii="宋体" w:hAnsi="宋体" w:cs="宋体"/>
          <w:bCs/>
          <w:color w:val="auto"/>
          <w:sz w:val="24"/>
          <w:szCs w:val="20"/>
          <w:highlight w:val="none"/>
        </w:rPr>
      </w:pPr>
    </w:p>
    <w:p w14:paraId="611B24BD">
      <w:pPr>
        <w:snapToGrid w:val="0"/>
        <w:spacing w:before="156" w:beforeLines="50" w:after="50"/>
        <w:rPr>
          <w:rFonts w:hint="eastAsia" w:ascii="宋体" w:hAnsi="宋体" w:cs="宋体"/>
          <w:bCs/>
          <w:color w:val="auto"/>
          <w:sz w:val="24"/>
          <w:szCs w:val="20"/>
          <w:highlight w:val="none"/>
        </w:rPr>
      </w:pPr>
    </w:p>
    <w:p w14:paraId="1109DBB2">
      <w:pPr>
        <w:snapToGrid w:val="0"/>
        <w:spacing w:before="156" w:beforeLines="50" w:after="50"/>
        <w:rPr>
          <w:rFonts w:hint="eastAsia" w:ascii="宋体" w:hAnsi="宋体" w:cs="宋体"/>
          <w:bCs/>
          <w:color w:val="auto"/>
          <w:sz w:val="32"/>
          <w:szCs w:val="32"/>
          <w:highlight w:val="none"/>
        </w:rPr>
      </w:pPr>
    </w:p>
    <w:p w14:paraId="73DB823C">
      <w:pPr>
        <w:snapToGrid w:val="0"/>
        <w:spacing w:before="156"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1FFD9B1">
      <w:pPr>
        <w:snapToGrid w:val="0"/>
        <w:spacing w:before="156" w:beforeLines="50" w:after="50"/>
        <w:ind w:firstLine="480" w:firstLineChars="150"/>
        <w:rPr>
          <w:rFonts w:hint="eastAsia" w:ascii="宋体" w:hAnsi="宋体" w:cs="宋体"/>
          <w:bCs/>
          <w:color w:val="auto"/>
          <w:sz w:val="32"/>
          <w:szCs w:val="32"/>
          <w:highlight w:val="none"/>
        </w:rPr>
      </w:pPr>
    </w:p>
    <w:p w14:paraId="091DE17E">
      <w:pPr>
        <w:snapToGrid w:val="0"/>
        <w:spacing w:before="156"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1C288D7">
      <w:pPr>
        <w:snapToGrid w:val="0"/>
        <w:spacing w:before="156" w:beforeLines="50" w:after="50"/>
        <w:ind w:firstLine="480" w:firstLineChars="150"/>
        <w:rPr>
          <w:rFonts w:hint="eastAsia" w:ascii="宋体" w:hAnsi="宋体" w:cs="宋体"/>
          <w:bCs/>
          <w:color w:val="auto"/>
          <w:sz w:val="32"/>
          <w:szCs w:val="32"/>
          <w:highlight w:val="none"/>
        </w:rPr>
      </w:pPr>
    </w:p>
    <w:p w14:paraId="16CDB8A5">
      <w:pPr>
        <w:snapToGrid w:val="0"/>
        <w:spacing w:before="156"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E12E229">
      <w:pPr>
        <w:snapToGrid w:val="0"/>
        <w:spacing w:before="156" w:beforeLines="50" w:after="50"/>
        <w:rPr>
          <w:rFonts w:hint="eastAsia" w:ascii="宋体" w:hAnsi="宋体" w:cs="宋体"/>
          <w:bCs/>
          <w:color w:val="auto"/>
          <w:sz w:val="32"/>
          <w:szCs w:val="32"/>
          <w:highlight w:val="none"/>
        </w:rPr>
      </w:pPr>
    </w:p>
    <w:p w14:paraId="58F2D45C">
      <w:pPr>
        <w:snapToGrid w:val="0"/>
        <w:spacing w:before="156"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58BE8BC">
      <w:pPr>
        <w:snapToGrid w:val="0"/>
        <w:spacing w:before="156" w:beforeLines="50" w:after="50"/>
        <w:rPr>
          <w:rFonts w:hint="eastAsia" w:ascii="宋体" w:hAnsi="宋体" w:cs="宋体"/>
          <w:bCs/>
          <w:color w:val="auto"/>
          <w:sz w:val="32"/>
          <w:szCs w:val="32"/>
          <w:highlight w:val="none"/>
        </w:rPr>
      </w:pPr>
    </w:p>
    <w:p w14:paraId="32488406">
      <w:pPr>
        <w:snapToGrid w:val="0"/>
        <w:spacing w:before="156" w:beforeLines="50" w:after="50"/>
        <w:ind w:firstLine="480" w:firstLineChars="150"/>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首次响应文件提交截止时间前不得启封</w:t>
      </w:r>
    </w:p>
    <w:p w14:paraId="153297D5">
      <w:pPr>
        <w:snapToGrid w:val="0"/>
        <w:spacing w:before="156" w:beforeLines="50" w:after="50"/>
        <w:ind w:firstLine="5440" w:firstLineChars="1700"/>
        <w:jc w:val="center"/>
        <w:rPr>
          <w:rFonts w:hint="eastAsia" w:ascii="宋体" w:hAnsi="宋体" w:cs="宋体"/>
          <w:bCs/>
          <w:color w:val="auto"/>
          <w:sz w:val="32"/>
          <w:szCs w:val="32"/>
          <w:highlight w:val="none"/>
        </w:rPr>
      </w:pPr>
    </w:p>
    <w:p w14:paraId="0C8B7154">
      <w:pPr>
        <w:snapToGrid w:val="0"/>
        <w:spacing w:before="156" w:beforeLines="50" w:after="50"/>
        <w:ind w:firstLine="645"/>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79B3B44E">
      <w:pPr>
        <w:spacing w:line="240" w:lineRule="atLeast"/>
        <w:rPr>
          <w:rFonts w:hint="eastAsia" w:ascii="宋体" w:hAnsi="宋体" w:cs="宋体"/>
          <w:bCs/>
          <w:color w:val="auto"/>
          <w:sz w:val="32"/>
          <w:szCs w:val="32"/>
          <w:highlight w:val="none"/>
        </w:rPr>
      </w:pPr>
      <w:r>
        <w:rPr>
          <w:rFonts w:hint="eastAsia" w:ascii="宋体" w:hAnsi="宋体" w:cs="宋体"/>
          <w:bCs/>
          <w:color w:val="auto"/>
          <w:sz w:val="24"/>
          <w:highlight w:val="none"/>
        </w:rPr>
        <w:br w:type="page"/>
      </w:r>
      <w:r>
        <w:rPr>
          <w:rFonts w:hint="eastAsia" w:ascii="宋体" w:hAnsi="宋体" w:cs="宋体"/>
          <w:b/>
          <w:bCs/>
          <w:color w:val="auto"/>
          <w:sz w:val="32"/>
          <w:szCs w:val="32"/>
          <w:highlight w:val="none"/>
        </w:rPr>
        <w:t>（响应文件封面格式）</w:t>
      </w:r>
    </w:p>
    <w:p w14:paraId="3B147F37">
      <w:pPr>
        <w:spacing w:line="240" w:lineRule="atLeast"/>
        <w:jc w:val="center"/>
        <w:rPr>
          <w:rFonts w:hint="eastAsia" w:ascii="宋体" w:hAnsi="宋体" w:cs="宋体"/>
          <w:bCs/>
          <w:color w:val="auto"/>
          <w:sz w:val="24"/>
          <w:highlight w:val="none"/>
        </w:rPr>
      </w:pPr>
    </w:p>
    <w:p w14:paraId="381911B6">
      <w:pPr>
        <w:spacing w:line="240" w:lineRule="atLeast"/>
        <w:jc w:val="center"/>
        <w:rPr>
          <w:rFonts w:hint="eastAsia" w:ascii="宋体" w:hAnsi="宋体" w:cs="宋体"/>
          <w:bCs/>
          <w:color w:val="auto"/>
          <w:sz w:val="24"/>
          <w:highlight w:val="none"/>
        </w:rPr>
      </w:pPr>
    </w:p>
    <w:p w14:paraId="1D09AB62">
      <w:pPr>
        <w:spacing w:line="240" w:lineRule="atLeast"/>
        <w:jc w:val="center"/>
        <w:rPr>
          <w:rFonts w:hint="eastAsia" w:ascii="宋体" w:hAnsi="宋体" w:cs="宋体"/>
          <w:bCs/>
          <w:color w:val="auto"/>
          <w:sz w:val="24"/>
          <w:highlight w:val="none"/>
        </w:rPr>
      </w:pPr>
    </w:p>
    <w:p w14:paraId="4D31DCAA">
      <w:pPr>
        <w:spacing w:line="240" w:lineRule="atLeast"/>
        <w:jc w:val="center"/>
        <w:rPr>
          <w:rFonts w:hint="eastAsia" w:ascii="宋体" w:hAnsi="宋体" w:cs="宋体"/>
          <w:bCs/>
          <w:color w:val="auto"/>
          <w:sz w:val="44"/>
          <w:szCs w:val="44"/>
          <w:highlight w:val="none"/>
        </w:rPr>
      </w:pPr>
    </w:p>
    <w:p w14:paraId="1A28C3BD">
      <w:pPr>
        <w:spacing w:line="240" w:lineRule="atLeast"/>
        <w:jc w:val="center"/>
        <w:rPr>
          <w:rFonts w:hint="eastAsia" w:ascii="宋体" w:hAnsi="宋体" w:cs="宋体"/>
          <w:bCs/>
          <w:color w:val="auto"/>
          <w:sz w:val="44"/>
          <w:szCs w:val="44"/>
          <w:highlight w:val="none"/>
        </w:rPr>
      </w:pPr>
    </w:p>
    <w:p w14:paraId="3D3DCD7C">
      <w:pPr>
        <w:spacing w:line="240" w:lineRule="atLeast"/>
        <w:jc w:val="center"/>
        <w:rPr>
          <w:rFonts w:hint="eastAsia" w:ascii="宋体" w:hAnsi="宋体" w:cs="宋体"/>
          <w:b/>
          <w:color w:val="auto"/>
          <w:sz w:val="32"/>
          <w:szCs w:val="32"/>
          <w:highlight w:val="none"/>
        </w:rPr>
      </w:pPr>
      <w:r>
        <w:rPr>
          <w:rFonts w:hint="eastAsia" w:ascii="宋体" w:hAnsi="宋体" w:cs="宋体"/>
          <w:bCs/>
          <w:color w:val="auto"/>
          <w:sz w:val="44"/>
          <w:szCs w:val="44"/>
          <w:highlight w:val="none"/>
        </w:rPr>
        <w:t>响  应  文  件</w:t>
      </w:r>
      <w:r>
        <w:rPr>
          <w:rFonts w:hint="eastAsia" w:ascii="宋体" w:hAnsi="宋体" w:cs="宋体"/>
          <w:b/>
          <w:color w:val="auto"/>
          <w:sz w:val="32"/>
          <w:szCs w:val="32"/>
          <w:highlight w:val="none"/>
        </w:rPr>
        <w:t xml:space="preserve"> </w:t>
      </w:r>
      <w:r>
        <w:rPr>
          <w:rFonts w:hint="eastAsia" w:ascii="宋体" w:hAnsi="宋体" w:cs="宋体"/>
          <w:color w:val="auto"/>
          <w:szCs w:val="21"/>
          <w:highlight w:val="none"/>
        </w:rPr>
        <w:t>(封面)</w:t>
      </w:r>
    </w:p>
    <w:p w14:paraId="2571FCDF">
      <w:pPr>
        <w:spacing w:line="360" w:lineRule="auto"/>
        <w:jc w:val="center"/>
        <w:rPr>
          <w:rFonts w:hint="eastAsia" w:ascii="宋体" w:hAnsi="宋体" w:cs="宋体"/>
          <w:color w:val="auto"/>
          <w:szCs w:val="21"/>
          <w:highlight w:val="none"/>
        </w:rPr>
      </w:pPr>
    </w:p>
    <w:p w14:paraId="06E54D7E">
      <w:pPr>
        <w:spacing w:line="360" w:lineRule="auto"/>
        <w:jc w:val="center"/>
        <w:rPr>
          <w:rFonts w:hint="eastAsia" w:ascii="宋体" w:hAnsi="宋体" w:cs="宋体"/>
          <w:color w:val="auto"/>
          <w:szCs w:val="21"/>
          <w:highlight w:val="none"/>
        </w:rPr>
      </w:pPr>
    </w:p>
    <w:p w14:paraId="2006725B">
      <w:pPr>
        <w:spacing w:line="360" w:lineRule="auto"/>
        <w:jc w:val="center"/>
        <w:rPr>
          <w:rFonts w:hint="eastAsia" w:ascii="宋体" w:hAnsi="宋体" w:cs="宋体"/>
          <w:color w:val="auto"/>
          <w:szCs w:val="21"/>
          <w:highlight w:val="none"/>
        </w:rPr>
      </w:pPr>
    </w:p>
    <w:p w14:paraId="4C5A926E">
      <w:pPr>
        <w:spacing w:line="360" w:lineRule="auto"/>
        <w:jc w:val="center"/>
        <w:rPr>
          <w:rFonts w:hint="eastAsia" w:ascii="宋体" w:hAnsi="宋体" w:cs="宋体"/>
          <w:color w:val="auto"/>
          <w:szCs w:val="21"/>
          <w:highlight w:val="none"/>
        </w:rPr>
      </w:pPr>
    </w:p>
    <w:p w14:paraId="2244AF78">
      <w:pPr>
        <w:spacing w:line="360" w:lineRule="auto"/>
        <w:jc w:val="left"/>
        <w:rPr>
          <w:rFonts w:hint="eastAsia" w:ascii="宋体" w:hAnsi="宋体" w:cs="宋体"/>
          <w:color w:val="auto"/>
          <w:sz w:val="32"/>
          <w:szCs w:val="32"/>
          <w:highlight w:val="none"/>
        </w:rPr>
      </w:pPr>
    </w:p>
    <w:p w14:paraId="5043092B">
      <w:pPr>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项目编号：</w:t>
      </w:r>
    </w:p>
    <w:p w14:paraId="0DDA6C49">
      <w:pPr>
        <w:spacing w:line="360" w:lineRule="auto"/>
        <w:ind w:firstLine="640" w:firstLineChars="200"/>
        <w:jc w:val="left"/>
        <w:rPr>
          <w:rFonts w:hint="eastAsia" w:ascii="宋体" w:hAnsi="宋体" w:cs="宋体"/>
          <w:color w:val="auto"/>
          <w:sz w:val="32"/>
          <w:szCs w:val="32"/>
          <w:highlight w:val="none"/>
          <w:u w:val="single"/>
        </w:rPr>
      </w:pPr>
    </w:p>
    <w:p w14:paraId="5BBEA698">
      <w:pPr>
        <w:tabs>
          <w:tab w:val="left" w:pos="3240"/>
        </w:tabs>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项目名称：</w:t>
      </w:r>
    </w:p>
    <w:p w14:paraId="3EA764A0">
      <w:pPr>
        <w:tabs>
          <w:tab w:val="left" w:pos="3240"/>
        </w:tabs>
        <w:spacing w:line="360" w:lineRule="auto"/>
        <w:ind w:firstLine="640" w:firstLineChars="200"/>
        <w:jc w:val="left"/>
        <w:rPr>
          <w:rFonts w:hint="eastAsia" w:ascii="宋体" w:hAnsi="宋体" w:cs="宋体"/>
          <w:color w:val="auto"/>
          <w:sz w:val="32"/>
          <w:szCs w:val="32"/>
          <w:highlight w:val="none"/>
          <w:u w:val="single"/>
        </w:rPr>
      </w:pPr>
    </w:p>
    <w:p w14:paraId="71832C99">
      <w:pPr>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所竞分标</w:t>
      </w:r>
      <w:r>
        <w:rPr>
          <w:rFonts w:hint="eastAsia" w:ascii="宋体" w:hAnsi="宋体" w:cs="宋体"/>
          <w:bCs/>
          <w:color w:val="auto"/>
          <w:sz w:val="32"/>
          <w:szCs w:val="32"/>
          <w:highlight w:val="none"/>
        </w:rPr>
        <w:t>（如有则填写，无分标时填写“无”或者留空）</w:t>
      </w:r>
      <w:r>
        <w:rPr>
          <w:rFonts w:hint="eastAsia" w:ascii="宋体" w:hAnsi="宋体" w:cs="宋体"/>
          <w:color w:val="auto"/>
          <w:sz w:val="32"/>
          <w:szCs w:val="32"/>
          <w:highlight w:val="none"/>
        </w:rPr>
        <w:t>：</w:t>
      </w:r>
    </w:p>
    <w:p w14:paraId="66E9196F">
      <w:pPr>
        <w:spacing w:line="360" w:lineRule="auto"/>
        <w:ind w:firstLine="640" w:firstLineChars="200"/>
        <w:jc w:val="left"/>
        <w:rPr>
          <w:rFonts w:hint="eastAsia" w:ascii="宋体" w:hAnsi="宋体" w:cs="宋体"/>
          <w:color w:val="auto"/>
          <w:sz w:val="32"/>
          <w:szCs w:val="32"/>
          <w:highlight w:val="none"/>
          <w:u w:val="single"/>
        </w:rPr>
      </w:pPr>
    </w:p>
    <w:p w14:paraId="1828E468">
      <w:pPr>
        <w:spacing w:line="360" w:lineRule="auto"/>
        <w:ind w:firstLine="640" w:firstLineChars="200"/>
        <w:jc w:val="left"/>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供应商名称：</w:t>
      </w:r>
    </w:p>
    <w:p w14:paraId="131F8075">
      <w:pPr>
        <w:snapToGrid w:val="0"/>
        <w:spacing w:before="156" w:beforeLines="50" w:after="50"/>
        <w:rPr>
          <w:rFonts w:hint="eastAsia" w:ascii="宋体" w:hAnsi="宋体" w:cs="宋体"/>
          <w:color w:val="auto"/>
          <w:sz w:val="32"/>
          <w:szCs w:val="32"/>
          <w:highlight w:val="none"/>
        </w:rPr>
      </w:pPr>
    </w:p>
    <w:p w14:paraId="75849F61">
      <w:pPr>
        <w:snapToGrid w:val="0"/>
        <w:spacing w:before="156" w:beforeLines="50" w:after="50"/>
        <w:rPr>
          <w:rFonts w:hint="eastAsia" w:ascii="宋体" w:hAnsi="宋体" w:cs="宋体"/>
          <w:color w:val="auto"/>
          <w:sz w:val="32"/>
          <w:szCs w:val="32"/>
          <w:highlight w:val="none"/>
        </w:rPr>
      </w:pPr>
    </w:p>
    <w:p w14:paraId="7295EB7E">
      <w:pPr>
        <w:snapToGrid w:val="0"/>
        <w:spacing w:before="156" w:beforeLines="50" w:after="50"/>
        <w:rPr>
          <w:rFonts w:hint="eastAsia" w:ascii="宋体" w:hAnsi="宋体" w:cs="宋体"/>
          <w:color w:val="auto"/>
          <w:sz w:val="32"/>
          <w:szCs w:val="32"/>
          <w:highlight w:val="none"/>
        </w:rPr>
      </w:pPr>
    </w:p>
    <w:p w14:paraId="44A52C0D">
      <w:pPr>
        <w:snapToGrid w:val="0"/>
        <w:spacing w:before="156"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4D8AC733">
      <w:pPr>
        <w:snapToGrid w:val="0"/>
        <w:spacing w:before="156" w:beforeLines="50" w:after="50"/>
        <w:jc w:val="center"/>
        <w:rPr>
          <w:rFonts w:hint="eastAsia" w:ascii="宋体" w:hAnsi="宋体" w:cs="宋体"/>
          <w:bCs/>
          <w:color w:val="auto"/>
          <w:sz w:val="32"/>
          <w:szCs w:val="32"/>
          <w:highlight w:val="none"/>
        </w:rPr>
      </w:pPr>
      <w:r>
        <w:rPr>
          <w:rFonts w:hint="eastAsia" w:ascii="宋体" w:hAnsi="宋体" w:cs="宋体"/>
          <w:color w:val="auto"/>
          <w:sz w:val="32"/>
          <w:szCs w:val="32"/>
          <w:highlight w:val="none"/>
        </w:rPr>
        <w:br w:type="page"/>
      </w:r>
    </w:p>
    <w:p w14:paraId="1AF68808">
      <w:pPr>
        <w:snapToGrid w:val="0"/>
        <w:spacing w:before="156" w:beforeLines="50" w:after="50" w:line="360" w:lineRule="auto"/>
        <w:outlineLvl w:val="1"/>
        <w:rPr>
          <w:rFonts w:hint="eastAsia" w:ascii="宋体" w:hAnsi="宋体" w:cs="宋体"/>
          <w:b/>
          <w:bCs/>
          <w:color w:val="auto"/>
          <w:sz w:val="32"/>
          <w:szCs w:val="32"/>
          <w:highlight w:val="none"/>
        </w:rPr>
      </w:pPr>
      <w:bookmarkStart w:id="94" w:name="_Toc35611438"/>
      <w:bookmarkStart w:id="95" w:name="_Toc44229899"/>
      <w:bookmarkStart w:id="96" w:name="_Toc31723070"/>
      <w:bookmarkStart w:id="97" w:name="_Toc31728084"/>
      <w:bookmarkStart w:id="98" w:name="_Toc35611516"/>
      <w:r>
        <w:rPr>
          <w:rFonts w:hint="eastAsia" w:ascii="宋体" w:hAnsi="宋体" w:cs="宋体"/>
          <w:b/>
          <w:bCs/>
          <w:color w:val="auto"/>
          <w:sz w:val="32"/>
          <w:szCs w:val="32"/>
          <w:highlight w:val="none"/>
        </w:rPr>
        <w:t>一、资格证明文件格式</w:t>
      </w:r>
      <w:bookmarkEnd w:id="94"/>
      <w:bookmarkEnd w:id="95"/>
      <w:bookmarkEnd w:id="96"/>
      <w:bookmarkEnd w:id="97"/>
      <w:bookmarkEnd w:id="98"/>
    </w:p>
    <w:p w14:paraId="69800EB9">
      <w:pPr>
        <w:snapToGrid w:val="0"/>
        <w:spacing w:before="156" w:beforeLines="50" w:after="50"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3C5F7931">
      <w:pPr>
        <w:snapToGrid w:val="0"/>
        <w:spacing w:before="156"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正本/副本</w:t>
      </w:r>
    </w:p>
    <w:p w14:paraId="7FF77A80">
      <w:pPr>
        <w:snapToGrid w:val="0"/>
        <w:spacing w:before="156" w:beforeLines="50" w:after="50"/>
        <w:rPr>
          <w:rFonts w:hint="eastAsia" w:ascii="宋体" w:hAnsi="宋体" w:cs="宋体"/>
          <w:color w:val="auto"/>
          <w:sz w:val="24"/>
          <w:szCs w:val="20"/>
          <w:highlight w:val="none"/>
        </w:rPr>
      </w:pPr>
    </w:p>
    <w:p w14:paraId="1862BA48">
      <w:pPr>
        <w:snapToGrid w:val="0"/>
        <w:spacing w:before="156" w:beforeLines="50" w:after="50"/>
        <w:rPr>
          <w:rFonts w:hint="eastAsia" w:ascii="宋体" w:hAnsi="宋体" w:cs="宋体"/>
          <w:color w:val="auto"/>
          <w:sz w:val="24"/>
          <w:szCs w:val="20"/>
          <w:highlight w:val="none"/>
        </w:rPr>
      </w:pPr>
    </w:p>
    <w:p w14:paraId="03777C7D">
      <w:pPr>
        <w:snapToGrid w:val="0"/>
        <w:spacing w:before="156"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资格证明文件</w:t>
      </w:r>
    </w:p>
    <w:p w14:paraId="40655F6F">
      <w:pPr>
        <w:snapToGrid w:val="0"/>
        <w:spacing w:before="156" w:beforeLines="50" w:after="50"/>
        <w:rPr>
          <w:rFonts w:hint="eastAsia" w:ascii="宋体" w:hAnsi="宋体" w:cs="宋体"/>
          <w:bCs/>
          <w:color w:val="auto"/>
          <w:sz w:val="24"/>
          <w:szCs w:val="20"/>
          <w:highlight w:val="none"/>
        </w:rPr>
      </w:pPr>
    </w:p>
    <w:p w14:paraId="459342C9">
      <w:pPr>
        <w:snapToGrid w:val="0"/>
        <w:spacing w:before="156" w:beforeLines="50" w:after="50"/>
        <w:rPr>
          <w:rFonts w:hint="eastAsia" w:ascii="宋体" w:hAnsi="宋体" w:cs="宋体"/>
          <w:bCs/>
          <w:color w:val="auto"/>
          <w:sz w:val="24"/>
          <w:szCs w:val="20"/>
          <w:highlight w:val="none"/>
        </w:rPr>
      </w:pPr>
    </w:p>
    <w:p w14:paraId="0F01A5F7">
      <w:pPr>
        <w:snapToGrid w:val="0"/>
        <w:spacing w:before="156" w:beforeLines="50" w:after="50"/>
        <w:rPr>
          <w:rFonts w:hint="eastAsia" w:ascii="宋体" w:hAnsi="宋体" w:cs="宋体"/>
          <w:bCs/>
          <w:color w:val="auto"/>
          <w:sz w:val="24"/>
          <w:szCs w:val="20"/>
          <w:highlight w:val="none"/>
        </w:rPr>
      </w:pPr>
    </w:p>
    <w:p w14:paraId="51B854A3">
      <w:pPr>
        <w:snapToGrid w:val="0"/>
        <w:spacing w:before="156" w:beforeLines="50" w:after="50"/>
        <w:rPr>
          <w:rFonts w:hint="eastAsia" w:ascii="宋体" w:hAnsi="宋体" w:cs="宋体"/>
          <w:bCs/>
          <w:color w:val="auto"/>
          <w:sz w:val="24"/>
          <w:szCs w:val="20"/>
          <w:highlight w:val="none"/>
        </w:rPr>
      </w:pPr>
    </w:p>
    <w:p w14:paraId="6B8EB7EC">
      <w:pPr>
        <w:snapToGrid w:val="0"/>
        <w:spacing w:before="156" w:beforeLines="50" w:after="50"/>
        <w:rPr>
          <w:rFonts w:hint="eastAsia" w:ascii="宋体" w:hAnsi="宋体" w:cs="宋体"/>
          <w:bCs/>
          <w:color w:val="auto"/>
          <w:sz w:val="24"/>
          <w:szCs w:val="20"/>
          <w:highlight w:val="none"/>
        </w:rPr>
      </w:pPr>
    </w:p>
    <w:p w14:paraId="37E33EA4">
      <w:pPr>
        <w:snapToGrid w:val="0"/>
        <w:spacing w:before="156"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8196368">
      <w:pPr>
        <w:snapToGrid w:val="0"/>
        <w:spacing w:before="156" w:beforeLines="50" w:after="50"/>
        <w:ind w:firstLine="720" w:firstLineChars="225"/>
        <w:rPr>
          <w:rFonts w:hint="eastAsia" w:ascii="宋体" w:hAnsi="宋体" w:cs="宋体"/>
          <w:bCs/>
          <w:color w:val="auto"/>
          <w:sz w:val="32"/>
          <w:szCs w:val="32"/>
          <w:highlight w:val="none"/>
        </w:rPr>
      </w:pPr>
    </w:p>
    <w:p w14:paraId="2A7236D3">
      <w:pPr>
        <w:snapToGrid w:val="0"/>
        <w:spacing w:before="156"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FB27D2F">
      <w:pPr>
        <w:snapToGrid w:val="0"/>
        <w:spacing w:before="156"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E8397A2">
      <w:pPr>
        <w:snapToGrid w:val="0"/>
        <w:spacing w:before="156"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CBD36DF">
      <w:pPr>
        <w:snapToGrid w:val="0"/>
        <w:spacing w:before="156" w:beforeLines="50" w:after="50"/>
        <w:ind w:firstLine="720" w:firstLineChars="225"/>
        <w:rPr>
          <w:rFonts w:hint="eastAsia" w:ascii="宋体" w:hAnsi="宋体" w:cs="宋体"/>
          <w:bCs/>
          <w:color w:val="auto"/>
          <w:sz w:val="32"/>
          <w:szCs w:val="32"/>
          <w:highlight w:val="none"/>
        </w:rPr>
      </w:pPr>
    </w:p>
    <w:p w14:paraId="5413D3C8">
      <w:pPr>
        <w:pStyle w:val="7"/>
        <w:snapToGrid w:val="0"/>
        <w:spacing w:before="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D45465D">
      <w:pPr>
        <w:pStyle w:val="7"/>
        <w:snapToGrid w:val="0"/>
        <w:spacing w:before="50" w:after="50"/>
        <w:ind w:firstLine="720" w:firstLineChars="225"/>
        <w:rPr>
          <w:rFonts w:hint="eastAsia" w:ascii="宋体" w:hAnsi="宋体" w:cs="宋体"/>
          <w:bCs/>
          <w:color w:val="auto"/>
          <w:sz w:val="32"/>
          <w:szCs w:val="32"/>
          <w:highlight w:val="none"/>
        </w:rPr>
      </w:pPr>
    </w:p>
    <w:p w14:paraId="60F2A23E">
      <w:pPr>
        <w:pStyle w:val="7"/>
        <w:snapToGrid w:val="0"/>
        <w:spacing w:before="50" w:after="50"/>
        <w:ind w:firstLine="720" w:firstLineChars="225"/>
        <w:rPr>
          <w:rFonts w:hint="eastAsia" w:ascii="宋体" w:hAnsi="宋体" w:cs="宋体"/>
          <w:bCs/>
          <w:color w:val="auto"/>
          <w:sz w:val="32"/>
          <w:szCs w:val="32"/>
          <w:highlight w:val="none"/>
        </w:rPr>
      </w:pPr>
    </w:p>
    <w:p w14:paraId="6AA7220F">
      <w:pPr>
        <w:pStyle w:val="7"/>
        <w:snapToGrid w:val="0"/>
        <w:spacing w:before="50" w:after="50"/>
        <w:ind w:firstLine="720" w:firstLineChars="225"/>
        <w:rPr>
          <w:rFonts w:hint="eastAsia" w:ascii="宋体" w:hAnsi="宋体" w:cs="宋体"/>
          <w:bCs/>
          <w:color w:val="auto"/>
          <w:sz w:val="32"/>
          <w:szCs w:val="32"/>
          <w:highlight w:val="none"/>
        </w:rPr>
      </w:pPr>
    </w:p>
    <w:p w14:paraId="37C73681">
      <w:pPr>
        <w:pStyle w:val="7"/>
        <w:snapToGrid w:val="0"/>
        <w:spacing w:before="50" w:after="50"/>
        <w:ind w:firstLine="1280" w:firstLineChars="400"/>
        <w:rPr>
          <w:rFonts w:hint="eastAsia" w:ascii="宋体" w:hAnsi="宋体" w:cs="宋体"/>
          <w:bCs/>
          <w:color w:val="auto"/>
          <w:sz w:val="32"/>
          <w:szCs w:val="32"/>
          <w:highlight w:val="none"/>
        </w:rPr>
      </w:pPr>
    </w:p>
    <w:p w14:paraId="2F9F9F73">
      <w:pPr>
        <w:snapToGrid w:val="0"/>
        <w:spacing w:before="156"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653FACE2">
      <w:pPr>
        <w:snapToGrid w:val="0"/>
        <w:spacing w:before="156" w:beforeLines="50" w:after="50" w:line="360" w:lineRule="auto"/>
        <w:ind w:left="142"/>
        <w:jc w:val="left"/>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38DD9446">
      <w:pPr>
        <w:snapToGrid w:val="0"/>
        <w:spacing w:before="156" w:beforeLines="50" w:after="50" w:line="360" w:lineRule="auto"/>
        <w:ind w:firstLine="645"/>
        <w:rPr>
          <w:rFonts w:hint="eastAsia" w:ascii="宋体" w:hAnsi="宋体" w:cs="宋体"/>
          <w:color w:val="auto"/>
          <w:sz w:val="32"/>
          <w:szCs w:val="32"/>
          <w:highlight w:val="none"/>
        </w:rPr>
      </w:pPr>
      <w:r>
        <w:rPr>
          <w:rFonts w:hint="eastAsia" w:ascii="宋体" w:hAnsi="宋体" w:cs="宋体"/>
          <w:color w:val="auto"/>
          <w:szCs w:val="21"/>
          <w:highlight w:val="none"/>
        </w:rPr>
        <w:t>根据磋商文件规定（供应商须知前附表）及供应商提供的材料自行编写目录（部分格式后附）。</w:t>
      </w:r>
    </w:p>
    <w:p w14:paraId="2530D8FA">
      <w:pPr>
        <w:snapToGrid w:val="0"/>
        <w:spacing w:before="156"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7FC99FB6">
      <w:pPr>
        <w:spacing w:line="300" w:lineRule="auto"/>
        <w:rPr>
          <w:rFonts w:hint="eastAsia" w:ascii="宋体" w:hAnsi="宋体" w:cs="宋体"/>
          <w:color w:val="auto"/>
          <w:szCs w:val="21"/>
          <w:highlight w:val="none"/>
        </w:rPr>
      </w:pPr>
    </w:p>
    <w:p w14:paraId="400B2122">
      <w:pPr>
        <w:spacing w:line="300" w:lineRule="auto"/>
        <w:rPr>
          <w:rFonts w:hint="eastAsia" w:ascii="宋体" w:hAnsi="宋体" w:cs="宋体"/>
          <w:color w:val="auto"/>
          <w:szCs w:val="21"/>
          <w:highlight w:val="none"/>
        </w:rPr>
      </w:pPr>
    </w:p>
    <w:p w14:paraId="5629C0C8">
      <w:pPr>
        <w:spacing w:line="300" w:lineRule="auto"/>
        <w:rPr>
          <w:rFonts w:hint="eastAsia" w:ascii="宋体" w:hAnsi="宋体" w:cs="宋体"/>
          <w:color w:val="auto"/>
          <w:szCs w:val="21"/>
          <w:highlight w:val="none"/>
        </w:rPr>
      </w:pPr>
    </w:p>
    <w:p w14:paraId="0806C280">
      <w:pPr>
        <w:spacing w:line="300" w:lineRule="auto"/>
        <w:rPr>
          <w:rFonts w:hint="eastAsia" w:ascii="宋体" w:hAnsi="宋体" w:cs="宋体"/>
          <w:color w:val="auto"/>
          <w:szCs w:val="21"/>
          <w:highlight w:val="none"/>
        </w:rPr>
      </w:pPr>
    </w:p>
    <w:p w14:paraId="0B717DED">
      <w:pPr>
        <w:spacing w:line="300" w:lineRule="auto"/>
        <w:rPr>
          <w:rFonts w:hint="eastAsia" w:ascii="宋体" w:hAnsi="宋体" w:cs="宋体"/>
          <w:color w:val="auto"/>
          <w:szCs w:val="21"/>
          <w:highlight w:val="none"/>
        </w:rPr>
      </w:pPr>
    </w:p>
    <w:p w14:paraId="3B2DEDC1">
      <w:pPr>
        <w:spacing w:line="300" w:lineRule="auto"/>
        <w:rPr>
          <w:rFonts w:hint="eastAsia" w:ascii="宋体" w:hAnsi="宋体" w:cs="宋体"/>
          <w:color w:val="auto"/>
          <w:szCs w:val="21"/>
          <w:highlight w:val="none"/>
        </w:rPr>
      </w:pPr>
    </w:p>
    <w:p w14:paraId="2C8F0497">
      <w:pPr>
        <w:spacing w:line="300" w:lineRule="auto"/>
        <w:rPr>
          <w:rFonts w:hint="eastAsia" w:ascii="宋体" w:hAnsi="宋体" w:cs="宋体"/>
          <w:color w:val="auto"/>
          <w:szCs w:val="21"/>
          <w:highlight w:val="none"/>
        </w:rPr>
      </w:pPr>
    </w:p>
    <w:p w14:paraId="32E3AFCB">
      <w:pPr>
        <w:spacing w:line="300" w:lineRule="auto"/>
        <w:rPr>
          <w:rFonts w:hint="eastAsia" w:ascii="宋体" w:hAnsi="宋体" w:cs="宋体"/>
          <w:color w:val="auto"/>
          <w:szCs w:val="21"/>
          <w:highlight w:val="none"/>
        </w:rPr>
      </w:pPr>
    </w:p>
    <w:p w14:paraId="25DF07BE">
      <w:pPr>
        <w:spacing w:line="300" w:lineRule="auto"/>
        <w:rPr>
          <w:rFonts w:hint="eastAsia" w:ascii="宋体" w:hAnsi="宋体" w:cs="宋体"/>
          <w:color w:val="auto"/>
          <w:szCs w:val="21"/>
          <w:highlight w:val="none"/>
        </w:rPr>
      </w:pPr>
    </w:p>
    <w:p w14:paraId="0DEBE370">
      <w:pPr>
        <w:spacing w:line="300" w:lineRule="auto"/>
        <w:rPr>
          <w:rFonts w:hint="eastAsia" w:ascii="宋体" w:hAnsi="宋体" w:cs="宋体"/>
          <w:color w:val="auto"/>
          <w:szCs w:val="21"/>
          <w:highlight w:val="none"/>
        </w:rPr>
      </w:pPr>
    </w:p>
    <w:p w14:paraId="4187EBB5">
      <w:pPr>
        <w:spacing w:line="300" w:lineRule="auto"/>
        <w:rPr>
          <w:rFonts w:hint="eastAsia" w:ascii="宋体" w:hAnsi="宋体" w:cs="宋体"/>
          <w:color w:val="auto"/>
          <w:szCs w:val="21"/>
          <w:highlight w:val="none"/>
        </w:rPr>
      </w:pPr>
    </w:p>
    <w:p w14:paraId="267EEAAC">
      <w:pPr>
        <w:spacing w:line="300" w:lineRule="auto"/>
        <w:rPr>
          <w:rFonts w:hint="eastAsia" w:ascii="宋体" w:hAnsi="宋体" w:cs="宋体"/>
          <w:color w:val="auto"/>
          <w:szCs w:val="21"/>
          <w:highlight w:val="none"/>
        </w:rPr>
      </w:pPr>
    </w:p>
    <w:p w14:paraId="6F472200">
      <w:pPr>
        <w:spacing w:line="300" w:lineRule="auto"/>
        <w:rPr>
          <w:rFonts w:hint="eastAsia" w:ascii="宋体" w:hAnsi="宋体" w:cs="宋体"/>
          <w:color w:val="auto"/>
          <w:szCs w:val="21"/>
          <w:highlight w:val="none"/>
        </w:rPr>
      </w:pPr>
    </w:p>
    <w:p w14:paraId="42AA4DE2">
      <w:pPr>
        <w:spacing w:line="300" w:lineRule="auto"/>
        <w:rPr>
          <w:rFonts w:hint="eastAsia" w:ascii="宋体" w:hAnsi="宋体" w:cs="宋体"/>
          <w:color w:val="auto"/>
          <w:szCs w:val="21"/>
          <w:highlight w:val="none"/>
        </w:rPr>
      </w:pPr>
    </w:p>
    <w:p w14:paraId="0C2F74FD">
      <w:pPr>
        <w:spacing w:line="300" w:lineRule="auto"/>
        <w:rPr>
          <w:rFonts w:hint="eastAsia" w:ascii="宋体" w:hAnsi="宋体" w:cs="宋体"/>
          <w:color w:val="auto"/>
          <w:szCs w:val="21"/>
          <w:highlight w:val="none"/>
        </w:rPr>
      </w:pPr>
    </w:p>
    <w:p w14:paraId="731EB933">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 xml:space="preserve"> </w:t>
      </w:r>
    </w:p>
    <w:p w14:paraId="534E4572">
      <w:pPr>
        <w:wordWrap w:val="0"/>
        <w:spacing w:before="156" w:beforeLines="50" w:after="50" w:line="320" w:lineRule="exact"/>
        <w:ind w:right="482" w:firstLine="210" w:firstLineChars="100"/>
        <w:contextualSpacing/>
        <w:jc w:val="center"/>
        <w:rPr>
          <w:rFonts w:hint="eastAsia" w:ascii="宋体" w:hAnsi="宋体" w:cs="宋体"/>
          <w:color w:val="auto"/>
          <w:szCs w:val="21"/>
          <w:highlight w:val="none"/>
        </w:rPr>
      </w:pPr>
    </w:p>
    <w:p w14:paraId="63EAE0F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2A49991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b/>
          <w:color w:val="auto"/>
          <w:sz w:val="24"/>
          <w:highlight w:val="none"/>
        </w:rPr>
      </w:pPr>
    </w:p>
    <w:p w14:paraId="3E7586DE">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36703563">
      <w:pPr>
        <w:spacing w:line="360" w:lineRule="auto"/>
        <w:contextualSpacing/>
        <w:jc w:val="center"/>
        <w:rPr>
          <w:rFonts w:hint="eastAsia" w:ascii="宋体" w:hAnsi="宋体" w:cs="宋体"/>
          <w:b/>
          <w:color w:val="auto"/>
          <w:sz w:val="24"/>
          <w:highlight w:val="none"/>
        </w:rPr>
      </w:pPr>
    </w:p>
    <w:tbl>
      <w:tblPr>
        <w:tblStyle w:val="2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7788B3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17BCC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07B17C">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304CA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17F592">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ECCDF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F2C47B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F2E78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2865DD">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F6A05C">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7818B">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BC60C8">
            <w:pPr>
              <w:widowControl/>
              <w:spacing w:line="360" w:lineRule="auto"/>
              <w:contextualSpacing/>
              <w:jc w:val="center"/>
              <w:rPr>
                <w:rFonts w:hint="eastAsia" w:ascii="宋体" w:hAnsi="宋体" w:cs="宋体"/>
                <w:color w:val="auto"/>
                <w:kern w:val="0"/>
                <w:sz w:val="24"/>
                <w:highlight w:val="none"/>
              </w:rPr>
            </w:pPr>
          </w:p>
        </w:tc>
      </w:tr>
      <w:tr w14:paraId="5B05F36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0F492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0D78A2">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74DCCE">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87346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38355B">
            <w:pPr>
              <w:widowControl/>
              <w:spacing w:line="360" w:lineRule="auto"/>
              <w:contextualSpacing/>
              <w:jc w:val="center"/>
              <w:rPr>
                <w:rFonts w:hint="eastAsia" w:ascii="宋体" w:hAnsi="宋体" w:cs="宋体"/>
                <w:color w:val="auto"/>
                <w:kern w:val="0"/>
                <w:sz w:val="24"/>
                <w:highlight w:val="none"/>
              </w:rPr>
            </w:pPr>
          </w:p>
        </w:tc>
      </w:tr>
      <w:tr w14:paraId="060DC08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F879C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E466B2">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BD20D2">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69D0C0">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72FA93">
            <w:pPr>
              <w:widowControl/>
              <w:spacing w:line="360" w:lineRule="auto"/>
              <w:contextualSpacing/>
              <w:jc w:val="center"/>
              <w:rPr>
                <w:rFonts w:hint="eastAsia" w:ascii="宋体" w:hAnsi="宋体" w:cs="宋体"/>
                <w:color w:val="auto"/>
                <w:kern w:val="0"/>
                <w:sz w:val="24"/>
                <w:highlight w:val="none"/>
              </w:rPr>
            </w:pPr>
          </w:p>
        </w:tc>
      </w:tr>
      <w:tr w14:paraId="013FA38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28BCF5">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28488C">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72958B">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11B60F">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924812">
            <w:pPr>
              <w:widowControl/>
              <w:spacing w:line="360" w:lineRule="auto"/>
              <w:contextualSpacing/>
              <w:jc w:val="center"/>
              <w:rPr>
                <w:rFonts w:hint="eastAsia" w:ascii="宋体" w:hAnsi="宋体" w:cs="宋体"/>
                <w:color w:val="auto"/>
                <w:kern w:val="0"/>
                <w:sz w:val="24"/>
                <w:highlight w:val="none"/>
              </w:rPr>
            </w:pPr>
          </w:p>
        </w:tc>
      </w:tr>
    </w:tbl>
    <w:p w14:paraId="221089FD">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23EBCD09">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E6EDE3A">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123773C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3.供应商不存在直接控股股东的，则填“无”。</w:t>
      </w:r>
    </w:p>
    <w:p w14:paraId="30070E54">
      <w:pPr>
        <w:snapToGrid w:val="0"/>
        <w:spacing w:line="360" w:lineRule="auto"/>
        <w:jc w:val="left"/>
        <w:rPr>
          <w:rFonts w:hint="eastAsia" w:ascii="宋体" w:hAnsi="宋体" w:cs="宋体"/>
          <w:color w:val="auto"/>
          <w:sz w:val="24"/>
          <w:highlight w:val="none"/>
        </w:rPr>
      </w:pPr>
    </w:p>
    <w:p w14:paraId="65747C2A">
      <w:pPr>
        <w:snapToGrid w:val="0"/>
        <w:spacing w:line="360" w:lineRule="auto"/>
        <w:jc w:val="left"/>
        <w:rPr>
          <w:rFonts w:hint="eastAsia" w:ascii="宋体" w:hAnsi="宋体" w:cs="宋体"/>
          <w:color w:val="auto"/>
          <w:sz w:val="24"/>
          <w:highlight w:val="none"/>
        </w:rPr>
      </w:pPr>
    </w:p>
    <w:p w14:paraId="74FC3C5E">
      <w:pPr>
        <w:snapToGrid w:val="0"/>
        <w:spacing w:line="360" w:lineRule="auto"/>
        <w:jc w:val="left"/>
        <w:rPr>
          <w:rFonts w:hint="eastAsia" w:ascii="宋体" w:hAnsi="宋体" w:cs="宋体"/>
          <w:color w:val="auto"/>
          <w:sz w:val="24"/>
          <w:highlight w:val="none"/>
        </w:rPr>
      </w:pPr>
    </w:p>
    <w:p w14:paraId="69DDCAAB">
      <w:pPr>
        <w:snapToGrid w:val="0"/>
        <w:spacing w:before="156" w:beforeLines="50" w:line="360" w:lineRule="auto"/>
        <w:ind w:right="480" w:firstLine="1920" w:firstLineChars="800"/>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6DD796FE">
      <w:pPr>
        <w:snapToGrid w:val="0"/>
        <w:spacing w:before="156" w:beforeLines="50" w:after="50" w:line="360" w:lineRule="auto"/>
        <w:ind w:right="480" w:firstLine="3000" w:firstLineChars="1250"/>
        <w:rPr>
          <w:rFonts w:hint="eastAsia" w:ascii="宋体" w:hAnsi="宋体" w:cs="宋体"/>
          <w:color w:val="auto"/>
          <w:sz w:val="24"/>
          <w:highlight w:val="none"/>
          <w:u w:val="single"/>
        </w:rPr>
      </w:pPr>
      <w:r>
        <w:rPr>
          <w:rFonts w:hint="eastAsia" w:ascii="宋体" w:hAnsi="宋体" w:cs="宋体"/>
          <w:color w:val="auto"/>
          <w:sz w:val="24"/>
          <w:highlight w:val="none"/>
        </w:rPr>
        <w:t>供应商（盖公章 ）：</w:t>
      </w:r>
      <w:r>
        <w:rPr>
          <w:rFonts w:hint="eastAsia" w:ascii="宋体" w:hAnsi="宋体" w:cs="宋体"/>
          <w:color w:val="auto"/>
          <w:sz w:val="24"/>
          <w:highlight w:val="none"/>
          <w:u w:val="single"/>
        </w:rPr>
        <w:t xml:space="preserve">                              </w:t>
      </w:r>
    </w:p>
    <w:p w14:paraId="3EB2DDE6">
      <w:pPr>
        <w:snapToGrid w:val="0"/>
        <w:spacing w:before="156" w:beforeLines="50" w:after="50" w:line="360" w:lineRule="auto"/>
        <w:ind w:right="480" w:firstLine="5280" w:firstLineChars="2200"/>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19B1EB8D">
      <w:pPr>
        <w:snapToGrid w:val="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1DC981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600159E4">
      <w:pPr>
        <w:snapToGrid w:val="0"/>
        <w:spacing w:line="360" w:lineRule="auto"/>
        <w:jc w:val="center"/>
        <w:rPr>
          <w:rFonts w:hint="eastAsia" w:ascii="宋体" w:hAnsi="宋体" w:cs="宋体"/>
          <w:b/>
          <w:color w:val="auto"/>
          <w:sz w:val="24"/>
          <w:highlight w:val="none"/>
        </w:rPr>
      </w:pPr>
    </w:p>
    <w:tbl>
      <w:tblPr>
        <w:tblStyle w:val="2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F79E677">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4E9C9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69B82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DCA7E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24E09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1DDAA3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FD573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AE9D9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6EAD3A">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EE5F99">
            <w:pPr>
              <w:widowControl/>
              <w:spacing w:line="360" w:lineRule="auto"/>
              <w:contextualSpacing/>
              <w:jc w:val="center"/>
              <w:rPr>
                <w:rFonts w:hint="eastAsia" w:ascii="宋体" w:hAnsi="宋体" w:cs="宋体"/>
                <w:color w:val="auto"/>
                <w:kern w:val="0"/>
                <w:sz w:val="24"/>
                <w:highlight w:val="none"/>
              </w:rPr>
            </w:pPr>
          </w:p>
        </w:tc>
      </w:tr>
      <w:tr w14:paraId="4354B01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4FC10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2D5AC4">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BDF0A5">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DC9D81">
            <w:pPr>
              <w:widowControl/>
              <w:spacing w:line="360" w:lineRule="auto"/>
              <w:contextualSpacing/>
              <w:jc w:val="center"/>
              <w:rPr>
                <w:rFonts w:hint="eastAsia" w:ascii="宋体" w:hAnsi="宋体" w:cs="宋体"/>
                <w:color w:val="auto"/>
                <w:kern w:val="0"/>
                <w:sz w:val="24"/>
                <w:highlight w:val="none"/>
              </w:rPr>
            </w:pPr>
          </w:p>
        </w:tc>
      </w:tr>
      <w:tr w14:paraId="4DC71EB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772DB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333578">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3FA1AA">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44C606">
            <w:pPr>
              <w:widowControl/>
              <w:spacing w:line="360" w:lineRule="auto"/>
              <w:contextualSpacing/>
              <w:jc w:val="center"/>
              <w:rPr>
                <w:rFonts w:hint="eastAsia" w:ascii="宋体" w:hAnsi="宋体" w:cs="宋体"/>
                <w:color w:val="auto"/>
                <w:kern w:val="0"/>
                <w:sz w:val="24"/>
                <w:highlight w:val="none"/>
              </w:rPr>
            </w:pPr>
          </w:p>
        </w:tc>
      </w:tr>
      <w:tr w14:paraId="7693FF8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BF3905">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A50F45">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55FEA2">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CB3973">
            <w:pPr>
              <w:widowControl/>
              <w:spacing w:line="360" w:lineRule="auto"/>
              <w:contextualSpacing/>
              <w:jc w:val="center"/>
              <w:rPr>
                <w:rFonts w:hint="eastAsia" w:ascii="宋体" w:hAnsi="宋体" w:cs="宋体"/>
                <w:color w:val="auto"/>
                <w:kern w:val="0"/>
                <w:sz w:val="24"/>
                <w:highlight w:val="none"/>
              </w:rPr>
            </w:pPr>
          </w:p>
        </w:tc>
      </w:tr>
    </w:tbl>
    <w:p w14:paraId="60B63F95">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3D41D033">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4FB997F3">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6F6BFCE8">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宋体" w:hAnsi="宋体" w:cs="宋体"/>
          <w:color w:val="auto"/>
          <w:sz w:val="24"/>
          <w:highlight w:val="none"/>
        </w:rPr>
      </w:pPr>
      <w:r>
        <w:rPr>
          <w:rFonts w:hint="eastAsia" w:ascii="宋体" w:hAnsi="宋体" w:cs="宋体"/>
          <w:color w:val="auto"/>
          <w:szCs w:val="21"/>
          <w:highlight w:val="none"/>
        </w:rPr>
        <w:t>3.供应商不存在直接管理关系的，则填“无”。</w:t>
      </w:r>
    </w:p>
    <w:p w14:paraId="32EC3DD1">
      <w:pPr>
        <w:spacing w:line="360" w:lineRule="auto"/>
        <w:contextualSpacing/>
        <w:jc w:val="left"/>
        <w:rPr>
          <w:rFonts w:hint="eastAsia" w:ascii="宋体" w:hAnsi="宋体" w:cs="宋体"/>
          <w:color w:val="auto"/>
          <w:sz w:val="24"/>
          <w:highlight w:val="none"/>
        </w:rPr>
      </w:pPr>
    </w:p>
    <w:p w14:paraId="7F3F1AE7">
      <w:pPr>
        <w:spacing w:line="360" w:lineRule="auto"/>
        <w:contextualSpacing/>
        <w:jc w:val="left"/>
        <w:rPr>
          <w:rFonts w:hint="eastAsia" w:ascii="宋体" w:hAnsi="宋体" w:cs="宋体"/>
          <w:color w:val="auto"/>
          <w:sz w:val="24"/>
          <w:highlight w:val="none"/>
        </w:rPr>
      </w:pPr>
    </w:p>
    <w:p w14:paraId="30CC1C64">
      <w:pPr>
        <w:spacing w:line="360" w:lineRule="auto"/>
        <w:contextualSpacing/>
        <w:jc w:val="left"/>
        <w:rPr>
          <w:rFonts w:hint="eastAsia" w:ascii="宋体" w:hAnsi="宋体" w:cs="宋体"/>
          <w:color w:val="auto"/>
          <w:sz w:val="24"/>
          <w:highlight w:val="none"/>
        </w:rPr>
      </w:pPr>
    </w:p>
    <w:p w14:paraId="672395C9">
      <w:pPr>
        <w:spacing w:line="360" w:lineRule="auto"/>
        <w:contextualSpacing/>
        <w:jc w:val="left"/>
        <w:rPr>
          <w:rFonts w:hint="eastAsia" w:ascii="宋体" w:hAnsi="宋体" w:cs="宋体"/>
          <w:color w:val="auto"/>
          <w:sz w:val="24"/>
          <w:highlight w:val="none"/>
        </w:rPr>
      </w:pPr>
    </w:p>
    <w:p w14:paraId="17F5A05C">
      <w:pPr>
        <w:spacing w:line="360" w:lineRule="auto"/>
        <w:contextualSpacing/>
        <w:jc w:val="left"/>
        <w:rPr>
          <w:rFonts w:hint="eastAsia" w:ascii="宋体" w:hAnsi="宋体" w:cs="宋体"/>
          <w:color w:val="auto"/>
          <w:sz w:val="24"/>
          <w:highlight w:val="none"/>
        </w:rPr>
      </w:pPr>
    </w:p>
    <w:p w14:paraId="5289C50B">
      <w:pPr>
        <w:spacing w:line="360" w:lineRule="auto"/>
        <w:contextualSpacing/>
        <w:jc w:val="left"/>
        <w:rPr>
          <w:rFonts w:hint="eastAsia" w:ascii="宋体" w:hAnsi="宋体" w:cs="宋体"/>
          <w:color w:val="auto"/>
          <w:sz w:val="24"/>
          <w:highlight w:val="none"/>
        </w:rPr>
      </w:pPr>
    </w:p>
    <w:p w14:paraId="3C85131B">
      <w:pPr>
        <w:spacing w:line="360" w:lineRule="auto"/>
        <w:ind w:right="480" w:firstLine="2160" w:firstLineChars="900"/>
        <w:contextualSpacing/>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26AE540C">
      <w:pPr>
        <w:spacing w:line="360" w:lineRule="auto"/>
        <w:ind w:right="480" w:firstLine="3360" w:firstLineChars="1400"/>
        <w:contextualSpacing/>
        <w:rPr>
          <w:rFonts w:hint="eastAsia" w:ascii="宋体" w:hAnsi="宋体" w:cs="宋体"/>
          <w:color w:val="auto"/>
          <w:sz w:val="24"/>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55952753">
      <w:pPr>
        <w:spacing w:line="360" w:lineRule="auto"/>
        <w:ind w:right="480" w:firstLine="240" w:firstLineChars="100"/>
        <w:contextualSpacing/>
        <w:jc w:val="center"/>
        <w:rPr>
          <w:rFonts w:hint="eastAsia" w:ascii="宋体" w:hAnsi="宋体" w:cs="宋体"/>
          <w:color w:val="auto"/>
          <w:sz w:val="28"/>
          <w:szCs w:val="28"/>
          <w:highlight w:val="none"/>
        </w:rPr>
      </w:pPr>
      <w:r>
        <w:rPr>
          <w:rFonts w:hint="eastAsia" w:ascii="宋体" w:hAnsi="宋体" w:cs="宋体"/>
          <w:color w:val="auto"/>
          <w:sz w:val="24"/>
          <w:highlight w:val="none"/>
        </w:rPr>
        <w:t xml:space="preserve">                                        年    月    日</w:t>
      </w:r>
    </w:p>
    <w:p w14:paraId="5A270406">
      <w:pPr>
        <w:spacing w:line="320" w:lineRule="exact"/>
        <w:jc w:val="center"/>
        <w:rPr>
          <w:rFonts w:hint="eastAsia"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竞标声明</w:t>
      </w:r>
    </w:p>
    <w:p w14:paraId="5E4DAD04">
      <w:pPr>
        <w:spacing w:line="320" w:lineRule="exact"/>
        <w:jc w:val="center"/>
        <w:rPr>
          <w:rFonts w:hint="eastAsia" w:ascii="宋体" w:hAnsi="宋体" w:cs="宋体"/>
          <w:color w:val="auto"/>
          <w:sz w:val="24"/>
          <w:szCs w:val="20"/>
          <w:highlight w:val="none"/>
        </w:rPr>
      </w:pPr>
    </w:p>
    <w:p w14:paraId="15EA38CC">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C71E941">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DFC3D08">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2411D2D0">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2F974BA2">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AAE076C">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367D2F70">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2EE6E2AA">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7836FB72">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4F8B40BC">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07F14B8E">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76FCE05">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C9B9E3A">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DCA9F39">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511819F">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D191720">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（5）参加本次采购活动前三年内，在经营活动中没有重大违法记录；</w:t>
      </w:r>
    </w:p>
    <w:p w14:paraId="5DC9A711">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69C74965">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73C3604">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6.依照《中华人民共和国政府采购法实施条例》第五十条要求可对采购合同进行公告，但采购合同中涉及国家秘密、商业秘密的内容除外。我方就对本次响应文件进行注明如下：（两项内容中必须选择一项）</w:t>
      </w:r>
    </w:p>
    <w:p w14:paraId="2B60833A">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7720473">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A0555BC">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0B833BD1">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0ED6A880">
      <w:pPr>
        <w:pStyle w:val="13"/>
        <w:keepNext w:val="0"/>
        <w:keepLines w:val="0"/>
        <w:pageBreakBefore w:val="0"/>
        <w:widowControl w:val="0"/>
        <w:tabs>
          <w:tab w:val="left" w:pos="939"/>
        </w:tabs>
        <w:kinsoku/>
        <w:wordWrap/>
        <w:overflowPunct/>
        <w:topLinePunct w:val="0"/>
        <w:autoSpaceDE/>
        <w:autoSpaceDN/>
        <w:bidi w:val="0"/>
        <w:adjustRightInd/>
        <w:snapToGrid/>
        <w:spacing w:line="400" w:lineRule="exact"/>
        <w:ind w:left="141" w:leftChars="67"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779F8684">
      <w:pPr>
        <w:pStyle w:val="13"/>
        <w:keepNext w:val="0"/>
        <w:keepLines w:val="0"/>
        <w:pageBreakBefore w:val="0"/>
        <w:widowControl w:val="0"/>
        <w:tabs>
          <w:tab w:val="left" w:pos="939"/>
        </w:tabs>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1861FFAF">
      <w:pPr>
        <w:pStyle w:val="13"/>
        <w:keepNext w:val="0"/>
        <w:keepLines w:val="0"/>
        <w:pageBreakBefore w:val="0"/>
        <w:widowControl w:val="0"/>
        <w:tabs>
          <w:tab w:val="left" w:pos="939"/>
        </w:tabs>
        <w:kinsoku/>
        <w:wordWrap/>
        <w:overflowPunct/>
        <w:topLinePunct w:val="0"/>
        <w:autoSpaceDE/>
        <w:autoSpaceDN/>
        <w:bidi w:val="0"/>
        <w:adjustRightInd/>
        <w:snapToGrid/>
        <w:spacing w:line="400" w:lineRule="exact"/>
        <w:ind w:left="141" w:leftChars="67"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rPr>
        <w:t>特此承诺。</w:t>
      </w:r>
    </w:p>
    <w:p w14:paraId="5C4B86DC">
      <w:pPr>
        <w:pStyle w:val="13"/>
        <w:tabs>
          <w:tab w:val="left" w:pos="939"/>
        </w:tabs>
        <w:spacing w:line="360" w:lineRule="auto"/>
        <w:ind w:left="0" w:leftChars="0" w:firstLine="420" w:firstLineChars="200"/>
        <w:rPr>
          <w:rFonts w:hint="eastAsia" w:ascii="宋体" w:hAnsi="宋体" w:cs="宋体"/>
          <w:color w:val="auto"/>
          <w:szCs w:val="21"/>
          <w:highlight w:val="none"/>
        </w:rPr>
      </w:pPr>
    </w:p>
    <w:p w14:paraId="6A5DF336">
      <w:pPr>
        <w:pStyle w:val="13"/>
        <w:tabs>
          <w:tab w:val="left" w:pos="939"/>
        </w:tabs>
        <w:spacing w:line="360" w:lineRule="auto"/>
        <w:ind w:left="0" w:leftChars="0" w:firstLine="420" w:firstLineChars="200"/>
        <w:rPr>
          <w:rFonts w:hint="eastAsia" w:ascii="宋体" w:hAnsi="宋体" w:cs="宋体"/>
          <w:color w:val="auto"/>
          <w:szCs w:val="21"/>
          <w:highlight w:val="none"/>
        </w:rPr>
      </w:pPr>
    </w:p>
    <w:p w14:paraId="5478B315">
      <w:pPr>
        <w:pStyle w:val="13"/>
        <w:tabs>
          <w:tab w:val="left" w:pos="939"/>
        </w:tabs>
        <w:spacing w:line="360" w:lineRule="auto"/>
        <w:ind w:left="0" w:leftChars="0" w:firstLine="420" w:firstLineChars="200"/>
        <w:rPr>
          <w:rFonts w:hint="eastAsia" w:ascii="宋体" w:hAnsi="宋体" w:cs="宋体"/>
          <w:color w:val="auto"/>
          <w:szCs w:val="21"/>
          <w:highlight w:val="none"/>
        </w:rPr>
      </w:pPr>
    </w:p>
    <w:p w14:paraId="0FB6B29D">
      <w:pPr>
        <w:spacing w:line="360" w:lineRule="auto"/>
        <w:ind w:firstLine="4320" w:firstLineChars="1800"/>
        <w:contextualSpacing/>
        <w:rPr>
          <w:rFonts w:hint="eastAsia" w:ascii="宋体" w:hAnsi="宋体" w:cs="宋体"/>
          <w:color w:val="auto"/>
          <w:sz w:val="24"/>
          <w:highlight w:val="non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D4372ED">
      <w:pPr>
        <w:spacing w:line="360" w:lineRule="auto"/>
        <w:ind w:firstLine="4320" w:firstLineChars="180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4E6DED9">
      <w:pPr>
        <w:spacing w:line="360" w:lineRule="auto"/>
        <w:ind w:right="480" w:firstLine="240" w:firstLineChars="100"/>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60BB0030">
      <w:pPr>
        <w:pStyle w:val="7"/>
        <w:overflowPunct w:val="0"/>
        <w:spacing w:line="520" w:lineRule="exact"/>
        <w:ind w:firstLine="0"/>
        <w:rPr>
          <w:rFonts w:hint="eastAsia" w:ascii="宋体" w:hAnsi="宋体" w:cs="宋体"/>
          <w:b/>
          <w:bCs/>
          <w:color w:val="auto"/>
          <w:sz w:val="32"/>
          <w:szCs w:val="32"/>
          <w:highlight w:val="none"/>
        </w:rPr>
      </w:pPr>
    </w:p>
    <w:p w14:paraId="1CB09FE2">
      <w:pPr>
        <w:snapToGrid w:val="0"/>
        <w:spacing w:before="156" w:beforeLines="50" w:after="50" w:line="360" w:lineRule="auto"/>
        <w:ind w:right="480" w:firstLine="321" w:firstLineChars="100"/>
        <w:jc w:val="center"/>
        <w:rPr>
          <w:rFonts w:hint="eastAsia" w:ascii="宋体" w:hAnsi="宋体" w:cs="宋体"/>
          <w:b/>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报价商务技术文件格式</w:t>
      </w:r>
    </w:p>
    <w:p w14:paraId="2C1DB6FD">
      <w:pPr>
        <w:snapToGrid w:val="0"/>
        <w:spacing w:before="156"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1.报价商务技术文件封面格式</w:t>
      </w:r>
    </w:p>
    <w:p w14:paraId="7EABDBE0">
      <w:pPr>
        <w:snapToGrid w:val="0"/>
        <w:spacing w:before="156"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正本/副本</w:t>
      </w:r>
    </w:p>
    <w:p w14:paraId="4CEEC393">
      <w:pPr>
        <w:snapToGrid w:val="0"/>
        <w:spacing w:before="156" w:beforeLines="50" w:after="50"/>
        <w:rPr>
          <w:rFonts w:hint="eastAsia" w:ascii="宋体" w:hAnsi="宋体" w:cs="宋体"/>
          <w:color w:val="auto"/>
          <w:sz w:val="24"/>
          <w:szCs w:val="20"/>
          <w:highlight w:val="none"/>
        </w:rPr>
      </w:pPr>
    </w:p>
    <w:p w14:paraId="3607D395">
      <w:pPr>
        <w:snapToGrid w:val="0"/>
        <w:spacing w:before="156" w:beforeLines="50" w:after="50"/>
        <w:rPr>
          <w:rFonts w:hint="eastAsia" w:ascii="宋体" w:hAnsi="宋体" w:cs="宋体"/>
          <w:color w:val="auto"/>
          <w:sz w:val="24"/>
          <w:szCs w:val="20"/>
          <w:highlight w:val="none"/>
        </w:rPr>
      </w:pPr>
    </w:p>
    <w:p w14:paraId="48B0CB89">
      <w:pPr>
        <w:snapToGrid w:val="0"/>
        <w:spacing w:before="156" w:beforeLines="50" w:after="50"/>
        <w:rPr>
          <w:rFonts w:hint="eastAsia" w:ascii="宋体" w:hAnsi="宋体" w:cs="宋体"/>
          <w:color w:val="auto"/>
          <w:sz w:val="24"/>
          <w:szCs w:val="20"/>
          <w:highlight w:val="none"/>
        </w:rPr>
      </w:pPr>
    </w:p>
    <w:p w14:paraId="25B5AF54">
      <w:pPr>
        <w:snapToGrid w:val="0"/>
        <w:spacing w:before="156"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报价商务技术文件</w:t>
      </w:r>
    </w:p>
    <w:p w14:paraId="723566A1">
      <w:pPr>
        <w:snapToGrid w:val="0"/>
        <w:spacing w:before="156" w:beforeLines="50" w:after="50"/>
        <w:rPr>
          <w:rFonts w:hint="eastAsia" w:ascii="宋体" w:hAnsi="宋体" w:cs="宋体"/>
          <w:bCs/>
          <w:color w:val="auto"/>
          <w:sz w:val="24"/>
          <w:szCs w:val="20"/>
          <w:highlight w:val="none"/>
        </w:rPr>
      </w:pPr>
    </w:p>
    <w:p w14:paraId="665C3DC1">
      <w:pPr>
        <w:snapToGrid w:val="0"/>
        <w:spacing w:before="156" w:beforeLines="50" w:after="50"/>
        <w:rPr>
          <w:rFonts w:hint="eastAsia" w:ascii="宋体" w:hAnsi="宋体" w:cs="宋体"/>
          <w:bCs/>
          <w:color w:val="auto"/>
          <w:sz w:val="24"/>
          <w:szCs w:val="20"/>
          <w:highlight w:val="none"/>
        </w:rPr>
      </w:pPr>
    </w:p>
    <w:p w14:paraId="566FA9AB">
      <w:pPr>
        <w:snapToGrid w:val="0"/>
        <w:spacing w:before="156" w:beforeLines="50" w:after="50"/>
        <w:rPr>
          <w:rFonts w:hint="eastAsia" w:ascii="宋体" w:hAnsi="宋体" w:cs="宋体"/>
          <w:bCs/>
          <w:color w:val="auto"/>
          <w:sz w:val="24"/>
          <w:szCs w:val="20"/>
          <w:highlight w:val="none"/>
        </w:rPr>
      </w:pPr>
    </w:p>
    <w:p w14:paraId="458C0BBE">
      <w:pPr>
        <w:snapToGrid w:val="0"/>
        <w:spacing w:before="156" w:beforeLines="50" w:after="50"/>
        <w:rPr>
          <w:rFonts w:hint="eastAsia" w:ascii="宋体" w:hAnsi="宋体" w:cs="宋体"/>
          <w:bCs/>
          <w:color w:val="auto"/>
          <w:sz w:val="24"/>
          <w:szCs w:val="20"/>
          <w:highlight w:val="none"/>
        </w:rPr>
      </w:pPr>
    </w:p>
    <w:p w14:paraId="78A5AF8C">
      <w:pPr>
        <w:snapToGrid w:val="0"/>
        <w:spacing w:before="156" w:beforeLines="50" w:after="50"/>
        <w:rPr>
          <w:rFonts w:hint="eastAsia" w:ascii="宋体" w:hAnsi="宋体" w:cs="宋体"/>
          <w:bCs/>
          <w:color w:val="auto"/>
          <w:sz w:val="24"/>
          <w:szCs w:val="20"/>
          <w:highlight w:val="none"/>
        </w:rPr>
      </w:pPr>
    </w:p>
    <w:p w14:paraId="2B318D7A">
      <w:pPr>
        <w:snapToGrid w:val="0"/>
        <w:spacing w:before="156"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FC58474">
      <w:pPr>
        <w:snapToGrid w:val="0"/>
        <w:spacing w:before="156" w:beforeLines="50" w:after="50"/>
        <w:ind w:firstLine="720" w:firstLineChars="225"/>
        <w:rPr>
          <w:rFonts w:hint="eastAsia" w:ascii="宋体" w:hAnsi="宋体" w:cs="宋体"/>
          <w:bCs/>
          <w:color w:val="auto"/>
          <w:sz w:val="32"/>
          <w:szCs w:val="32"/>
          <w:highlight w:val="none"/>
        </w:rPr>
      </w:pPr>
    </w:p>
    <w:p w14:paraId="7B5DB9D1">
      <w:pPr>
        <w:snapToGrid w:val="0"/>
        <w:spacing w:before="156"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6EB859D">
      <w:pPr>
        <w:snapToGrid w:val="0"/>
        <w:spacing w:before="156"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247D43F4">
      <w:pPr>
        <w:snapToGrid w:val="0"/>
        <w:spacing w:before="156"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A39AC6D">
      <w:pPr>
        <w:snapToGrid w:val="0"/>
        <w:spacing w:before="156" w:beforeLines="50" w:after="50"/>
        <w:ind w:firstLine="720" w:firstLineChars="225"/>
        <w:rPr>
          <w:rFonts w:hint="eastAsia" w:ascii="宋体" w:hAnsi="宋体" w:cs="宋体"/>
          <w:bCs/>
          <w:color w:val="auto"/>
          <w:sz w:val="32"/>
          <w:szCs w:val="32"/>
          <w:highlight w:val="none"/>
        </w:rPr>
      </w:pPr>
    </w:p>
    <w:p w14:paraId="7352244C">
      <w:pPr>
        <w:pStyle w:val="7"/>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CC65029">
      <w:pPr>
        <w:pStyle w:val="7"/>
        <w:snapToGrid w:val="0"/>
        <w:spacing w:before="50" w:after="50"/>
        <w:ind w:firstLine="720" w:firstLineChars="225"/>
        <w:rPr>
          <w:rFonts w:hint="eastAsia" w:ascii="宋体" w:hAnsi="宋体" w:cs="宋体"/>
          <w:bCs/>
          <w:color w:val="auto"/>
          <w:sz w:val="32"/>
          <w:szCs w:val="32"/>
          <w:highlight w:val="none"/>
        </w:rPr>
      </w:pPr>
    </w:p>
    <w:p w14:paraId="5EA58B05">
      <w:pPr>
        <w:pStyle w:val="7"/>
        <w:snapToGrid w:val="0"/>
        <w:spacing w:before="50" w:after="50"/>
        <w:ind w:firstLine="720" w:firstLineChars="225"/>
        <w:rPr>
          <w:rFonts w:hint="eastAsia" w:ascii="宋体" w:hAnsi="宋体" w:cs="宋体"/>
          <w:bCs/>
          <w:color w:val="auto"/>
          <w:sz w:val="32"/>
          <w:szCs w:val="32"/>
          <w:highlight w:val="none"/>
        </w:rPr>
      </w:pPr>
    </w:p>
    <w:p w14:paraId="4DC4A327">
      <w:pPr>
        <w:pStyle w:val="7"/>
        <w:snapToGrid w:val="0"/>
        <w:spacing w:before="50" w:after="50"/>
        <w:ind w:firstLine="1280" w:firstLineChars="400"/>
        <w:rPr>
          <w:rFonts w:hint="eastAsia" w:ascii="宋体" w:hAnsi="宋体" w:cs="宋体"/>
          <w:bCs/>
          <w:color w:val="auto"/>
          <w:sz w:val="32"/>
          <w:szCs w:val="32"/>
          <w:highlight w:val="none"/>
        </w:rPr>
      </w:pPr>
    </w:p>
    <w:p w14:paraId="70621111">
      <w:pPr>
        <w:snapToGrid w:val="0"/>
        <w:spacing w:before="156"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12E246C1">
      <w:pPr>
        <w:snapToGrid w:val="0"/>
        <w:spacing w:before="156" w:beforeLines="50" w:after="50" w:line="360" w:lineRule="auto"/>
        <w:ind w:left="142"/>
        <w:jc w:val="left"/>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2.报价商务技术文件目录</w:t>
      </w:r>
    </w:p>
    <w:p w14:paraId="5795F849">
      <w:pPr>
        <w:snapToGrid w:val="0"/>
        <w:spacing w:before="156" w:beforeLines="50" w:after="50" w:line="360" w:lineRule="auto"/>
        <w:ind w:firstLine="420" w:firstLineChars="200"/>
        <w:rPr>
          <w:rFonts w:hint="eastAsia" w:ascii="宋体" w:hAnsi="宋体" w:cs="宋体"/>
          <w:color w:val="auto"/>
          <w:sz w:val="32"/>
          <w:szCs w:val="32"/>
          <w:highlight w:val="none"/>
        </w:rPr>
      </w:pPr>
      <w:r>
        <w:rPr>
          <w:rFonts w:hint="eastAsia" w:ascii="宋体" w:hAnsi="宋体" w:cs="宋体"/>
          <w:color w:val="auto"/>
          <w:szCs w:val="21"/>
          <w:highlight w:val="none"/>
        </w:rPr>
        <w:t>根据磋商文件规定（供应商须知前附表）及供应商提供的材料自行编写目录（部分格式后附）。</w:t>
      </w:r>
    </w:p>
    <w:p w14:paraId="2900B47F">
      <w:pPr>
        <w:spacing w:line="400" w:lineRule="exact"/>
        <w:rPr>
          <w:rFonts w:hint="eastAsia" w:ascii="宋体" w:hAnsi="宋体" w:cs="宋体"/>
          <w:color w:val="auto"/>
          <w:sz w:val="32"/>
          <w:szCs w:val="32"/>
          <w:highlight w:val="none"/>
        </w:rPr>
      </w:pPr>
    </w:p>
    <w:p w14:paraId="4AA63480">
      <w:pPr>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3B8B0E77">
      <w:pPr>
        <w:spacing w:line="360" w:lineRule="auto"/>
        <w:ind w:firstLine="482" w:firstLineChars="200"/>
        <w:contextualSpacing/>
        <w:rPr>
          <w:rFonts w:hint="eastAsia" w:ascii="宋体" w:hAnsi="宋体" w:cs="宋体"/>
          <w:b/>
          <w:bCs/>
          <w:color w:val="auto"/>
          <w:sz w:val="24"/>
          <w:highlight w:val="none"/>
        </w:rPr>
      </w:pPr>
    </w:p>
    <w:p w14:paraId="303724F6">
      <w:pPr>
        <w:keepNext w:val="0"/>
        <w:keepLines w:val="0"/>
        <w:pageBreakBefore w:val="0"/>
        <w:widowControl w:val="0"/>
        <w:kinsoku/>
        <w:wordWrap/>
        <w:overflowPunct/>
        <w:topLinePunct w:val="0"/>
        <w:autoSpaceDE/>
        <w:autoSpaceDN/>
        <w:bidi w:val="0"/>
        <w:adjustRightInd/>
        <w:snapToGrid/>
        <w:spacing w:line="400" w:lineRule="exact"/>
        <w:ind w:firstLine="482" w:firstLineChars="200"/>
        <w:contextualSpacing/>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04A90F9D">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654FCF34">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75A09092">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31FEF8E2">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787551E5">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5.不同供应商的响应文件相互混装；</w:t>
      </w:r>
    </w:p>
    <w:p w14:paraId="069DB383">
      <w:pPr>
        <w:keepNext w:val="0"/>
        <w:keepLines w:val="0"/>
        <w:pageBreakBefore w:val="0"/>
        <w:widowControl w:val="0"/>
        <w:kinsoku/>
        <w:wordWrap/>
        <w:overflowPunct/>
        <w:topLinePunct w:val="0"/>
        <w:autoSpaceDE/>
        <w:autoSpaceDN/>
        <w:bidi w:val="0"/>
        <w:adjustRightInd/>
        <w:snapToGrid/>
        <w:spacing w:line="400" w:lineRule="exact"/>
        <w:ind w:firstLine="482" w:firstLineChars="200"/>
        <w:contextualSpacing/>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492163A9">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21BC9554">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101018F3">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4C1363D7">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4.属于同一集团、协会、商会等组织成员的供应商按照该组织要求协同参加本次采购活动；</w:t>
      </w:r>
    </w:p>
    <w:p w14:paraId="1C0D0A52">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9E4AE59">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6.供应商之间商定部分供应商放弃参加本次采购活动或者放弃成交；</w:t>
      </w:r>
    </w:p>
    <w:p w14:paraId="0C321F07">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2E29FE09">
      <w:pPr>
        <w:keepNext w:val="0"/>
        <w:keepLines w:val="0"/>
        <w:pageBreakBefore w:val="0"/>
        <w:widowControl w:val="0"/>
        <w:kinsoku/>
        <w:wordWrap/>
        <w:overflowPunct/>
        <w:topLinePunct w:val="0"/>
        <w:autoSpaceDE/>
        <w:autoSpaceDN/>
        <w:bidi w:val="0"/>
        <w:adjustRightInd/>
        <w:snapToGrid/>
        <w:spacing w:line="400" w:lineRule="exact"/>
        <w:ind w:firstLine="482" w:firstLineChars="200"/>
        <w:contextualSpacing/>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三、我方承诺：</w:t>
      </w:r>
    </w:p>
    <w:p w14:paraId="72A879C3">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1．如违反承诺书中应遵守的内容，自愿退出本次采购活动，且3年内不得参加采购单位系统项目采购；</w:t>
      </w:r>
    </w:p>
    <w:p w14:paraId="572FEDF2">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color w:val="auto"/>
          <w:sz w:val="24"/>
          <w:highlight w:val="none"/>
        </w:rPr>
      </w:pPr>
      <w:r>
        <w:rPr>
          <w:rFonts w:hint="eastAsia" w:ascii="宋体" w:hAnsi="宋体" w:eastAsia="宋体" w:cs="宋体"/>
          <w:color w:val="auto"/>
          <w:sz w:val="24"/>
          <w:szCs w:val="24"/>
          <w:highlight w:val="none"/>
        </w:rPr>
        <w:t>2．如违反承诺书中应遵守的内容，承担终止合同的全部责任，且3年内不得参加采购单位系统项目采购。</w:t>
      </w:r>
    </w:p>
    <w:p w14:paraId="6630F9C6">
      <w:pPr>
        <w:keepNext w:val="0"/>
        <w:keepLines w:val="0"/>
        <w:pageBreakBefore w:val="0"/>
        <w:widowControl w:val="0"/>
        <w:kinsoku/>
        <w:wordWrap/>
        <w:overflowPunct/>
        <w:topLinePunct w:val="0"/>
        <w:autoSpaceDE/>
        <w:autoSpaceDN/>
        <w:bidi w:val="0"/>
        <w:adjustRightInd/>
        <w:snapToGrid/>
        <w:spacing w:line="400" w:lineRule="exact"/>
        <w:ind w:firstLine="482" w:firstLineChars="200"/>
        <w:contextualSpacing/>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1B28A150">
      <w:pPr>
        <w:spacing w:line="360" w:lineRule="auto"/>
        <w:contextualSpacing/>
        <w:rPr>
          <w:rFonts w:hint="eastAsia" w:ascii="宋体" w:hAnsi="宋体" w:cs="宋体"/>
          <w:color w:val="auto"/>
          <w:sz w:val="24"/>
          <w:highlight w:val="none"/>
        </w:rPr>
      </w:pPr>
    </w:p>
    <w:p w14:paraId="5A8235B3">
      <w:pPr>
        <w:spacing w:line="360" w:lineRule="auto"/>
        <w:ind w:firstLine="3600" w:firstLineChars="1500"/>
        <w:contextualSpacing/>
        <w:rPr>
          <w:rFonts w:hint="eastAsia" w:ascii="宋体" w:hAnsi="宋体" w:cs="宋体"/>
          <w:color w:val="auto"/>
          <w:sz w:val="24"/>
          <w:highlight w:val="none"/>
        </w:rPr>
      </w:pPr>
      <w:r>
        <w:rPr>
          <w:rFonts w:hint="eastAsia" w:ascii="宋体" w:hAnsi="宋体" w:cs="宋体"/>
          <w:color w:val="auto"/>
          <w:sz w:val="24"/>
          <w:highlight w:val="none"/>
        </w:rPr>
        <w:t>供应商（盖公章）：</w:t>
      </w:r>
    </w:p>
    <w:p w14:paraId="147BC789">
      <w:pPr>
        <w:spacing w:line="360" w:lineRule="auto"/>
        <w:ind w:firstLine="480" w:firstLineChars="200"/>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1A4E560E">
      <w:pPr>
        <w:spacing w:line="520" w:lineRule="exact"/>
        <w:jc w:val="center"/>
        <w:rPr>
          <w:rFonts w:hint="eastAsia" w:ascii="宋体" w:hAnsi="宋体" w:cs="宋体"/>
          <w:bCs/>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竞标报价表</w:t>
      </w:r>
    </w:p>
    <w:p w14:paraId="01A76BA2">
      <w:pPr>
        <w:spacing w:line="440" w:lineRule="exact"/>
        <w:jc w:val="center"/>
        <w:rPr>
          <w:rFonts w:hint="eastAsia" w:ascii="宋体" w:hAnsi="宋体" w:cs="宋体"/>
          <w:bCs/>
          <w:color w:val="auto"/>
          <w:sz w:val="32"/>
          <w:szCs w:val="32"/>
          <w:highlight w:val="none"/>
        </w:rPr>
      </w:pPr>
    </w:p>
    <w:p w14:paraId="5C9F0E9A">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C68BE1C">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分标（如有）：</w:t>
      </w:r>
      <w:r>
        <w:rPr>
          <w:rFonts w:hint="eastAsia" w:ascii="宋体" w:hAnsi="宋体" w:cs="宋体"/>
          <w:color w:val="auto"/>
          <w:sz w:val="24"/>
          <w:highlight w:val="none"/>
          <w:u w:val="single"/>
        </w:rPr>
        <w:t xml:space="preserve">  无                              </w:t>
      </w:r>
    </w:p>
    <w:p w14:paraId="544B47EC">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2"/>
        <w:tblW w:w="84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427"/>
        <w:gridCol w:w="1785"/>
        <w:gridCol w:w="1155"/>
        <w:gridCol w:w="2610"/>
        <w:gridCol w:w="840"/>
      </w:tblGrid>
      <w:tr w14:paraId="4C14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608" w:type="dxa"/>
            <w:noWrap w:val="0"/>
            <w:vAlign w:val="center"/>
          </w:tcPr>
          <w:p w14:paraId="1DD13F22">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pacing w:val="-20"/>
                <w:sz w:val="21"/>
                <w:szCs w:val="21"/>
                <w:highlight w:val="none"/>
              </w:rPr>
            </w:pPr>
            <w:r>
              <w:rPr>
                <w:rFonts w:hint="eastAsia" w:ascii="宋体" w:hAnsi="宋体" w:eastAsia="宋体" w:cs="宋体"/>
                <w:b/>
                <w:bCs/>
                <w:color w:val="auto"/>
                <w:spacing w:val="-20"/>
                <w:sz w:val="21"/>
                <w:szCs w:val="21"/>
                <w:highlight w:val="none"/>
              </w:rPr>
              <w:t>项号</w:t>
            </w:r>
          </w:p>
        </w:tc>
        <w:tc>
          <w:tcPr>
            <w:tcW w:w="1427" w:type="dxa"/>
            <w:noWrap w:val="0"/>
            <w:vAlign w:val="center"/>
          </w:tcPr>
          <w:p w14:paraId="4A7A18CF">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pacing w:val="-20"/>
                <w:sz w:val="21"/>
                <w:szCs w:val="21"/>
                <w:highlight w:val="none"/>
              </w:rPr>
            </w:pPr>
            <w:r>
              <w:rPr>
                <w:rFonts w:hint="eastAsia" w:ascii="宋体" w:hAnsi="宋体" w:eastAsia="宋体" w:cs="宋体"/>
                <w:b/>
                <w:bCs/>
                <w:color w:val="auto"/>
                <w:kern w:val="0"/>
                <w:sz w:val="21"/>
                <w:szCs w:val="21"/>
                <w:highlight w:val="none"/>
                <w:lang w:val="en-US" w:eastAsia="zh-CN" w:bidi="ar-SA"/>
              </w:rPr>
              <w:t>标的名称</w:t>
            </w:r>
          </w:p>
        </w:tc>
        <w:tc>
          <w:tcPr>
            <w:tcW w:w="1785" w:type="dxa"/>
            <w:noWrap w:val="0"/>
            <w:vAlign w:val="center"/>
          </w:tcPr>
          <w:p w14:paraId="2E8376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pacing w:val="-20"/>
                <w:sz w:val="21"/>
                <w:szCs w:val="21"/>
                <w:highlight w:val="none"/>
              </w:rPr>
            </w:pPr>
            <w:r>
              <w:rPr>
                <w:rFonts w:hint="eastAsia" w:ascii="宋体" w:hAnsi="宋体" w:eastAsia="宋体" w:cs="宋体"/>
                <w:b/>
                <w:bCs/>
                <w:color w:val="auto"/>
                <w:kern w:val="0"/>
                <w:sz w:val="21"/>
                <w:szCs w:val="21"/>
                <w:highlight w:val="none"/>
                <w:lang w:val="en-US" w:eastAsia="zh-CN" w:bidi="ar-SA"/>
              </w:rPr>
              <w:t>主要服务内容</w:t>
            </w:r>
          </w:p>
        </w:tc>
        <w:tc>
          <w:tcPr>
            <w:tcW w:w="1155" w:type="dxa"/>
            <w:noWrap w:val="0"/>
            <w:vAlign w:val="center"/>
          </w:tcPr>
          <w:p w14:paraId="59E32A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pacing w:val="-20"/>
                <w:sz w:val="21"/>
                <w:szCs w:val="21"/>
                <w:highlight w:val="none"/>
              </w:rPr>
            </w:pPr>
            <w:r>
              <w:rPr>
                <w:rFonts w:hint="eastAsia" w:ascii="宋体" w:hAnsi="宋体" w:eastAsia="宋体" w:cs="宋体"/>
                <w:b/>
                <w:bCs/>
                <w:color w:val="auto"/>
                <w:sz w:val="21"/>
                <w:szCs w:val="21"/>
                <w:highlight w:val="none"/>
              </w:rPr>
              <w:t>数量</w:t>
            </w:r>
          </w:p>
        </w:tc>
        <w:tc>
          <w:tcPr>
            <w:tcW w:w="2610" w:type="dxa"/>
            <w:noWrap w:val="0"/>
            <w:vAlign w:val="center"/>
          </w:tcPr>
          <w:p w14:paraId="57AAC9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报价（元）</w:t>
            </w:r>
          </w:p>
        </w:tc>
        <w:tc>
          <w:tcPr>
            <w:tcW w:w="840" w:type="dxa"/>
            <w:noWrap w:val="0"/>
            <w:vAlign w:val="center"/>
          </w:tcPr>
          <w:p w14:paraId="68BAF04E">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2DFE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608" w:type="dxa"/>
            <w:noWrap w:val="0"/>
            <w:vAlign w:val="center"/>
          </w:tcPr>
          <w:p w14:paraId="5E6537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27" w:type="dxa"/>
            <w:noWrap w:val="0"/>
            <w:vAlign w:val="center"/>
          </w:tcPr>
          <w:p w14:paraId="3D1F66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785" w:type="dxa"/>
            <w:noWrap w:val="0"/>
            <w:vAlign w:val="center"/>
          </w:tcPr>
          <w:p w14:paraId="374EE302">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p>
        </w:tc>
        <w:tc>
          <w:tcPr>
            <w:tcW w:w="1155" w:type="dxa"/>
            <w:noWrap w:val="0"/>
            <w:vAlign w:val="center"/>
          </w:tcPr>
          <w:p w14:paraId="2D4A09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610" w:type="dxa"/>
            <w:noWrap w:val="0"/>
            <w:vAlign w:val="center"/>
          </w:tcPr>
          <w:p w14:paraId="49A3B850">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40" w:type="dxa"/>
            <w:noWrap w:val="0"/>
            <w:vAlign w:val="center"/>
          </w:tcPr>
          <w:p w14:paraId="4692A815">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1"/>
                <w:szCs w:val="21"/>
                <w:highlight w:val="none"/>
              </w:rPr>
            </w:pPr>
          </w:p>
        </w:tc>
      </w:tr>
      <w:tr w14:paraId="5414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608" w:type="dxa"/>
            <w:noWrap w:val="0"/>
            <w:vAlign w:val="center"/>
          </w:tcPr>
          <w:p w14:paraId="693F1C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27" w:type="dxa"/>
            <w:noWrap w:val="0"/>
            <w:vAlign w:val="center"/>
          </w:tcPr>
          <w:p w14:paraId="2B22F7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785" w:type="dxa"/>
            <w:noWrap w:val="0"/>
            <w:vAlign w:val="center"/>
          </w:tcPr>
          <w:p w14:paraId="633C7EC5">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p>
        </w:tc>
        <w:tc>
          <w:tcPr>
            <w:tcW w:w="1155" w:type="dxa"/>
            <w:noWrap w:val="0"/>
            <w:vAlign w:val="center"/>
          </w:tcPr>
          <w:p w14:paraId="117694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610" w:type="dxa"/>
            <w:noWrap w:val="0"/>
            <w:vAlign w:val="center"/>
          </w:tcPr>
          <w:p w14:paraId="597D5EDF">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40" w:type="dxa"/>
            <w:noWrap w:val="0"/>
            <w:vAlign w:val="center"/>
          </w:tcPr>
          <w:p w14:paraId="5AA94227">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1"/>
                <w:szCs w:val="21"/>
                <w:highlight w:val="none"/>
              </w:rPr>
            </w:pPr>
          </w:p>
        </w:tc>
      </w:tr>
      <w:tr w14:paraId="1DBC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608" w:type="dxa"/>
            <w:noWrap w:val="0"/>
            <w:vAlign w:val="center"/>
          </w:tcPr>
          <w:p w14:paraId="2FF0A8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27" w:type="dxa"/>
            <w:noWrap w:val="0"/>
            <w:vAlign w:val="center"/>
          </w:tcPr>
          <w:p w14:paraId="5E185E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785" w:type="dxa"/>
            <w:noWrap w:val="0"/>
            <w:vAlign w:val="center"/>
          </w:tcPr>
          <w:p w14:paraId="21B79697">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p>
        </w:tc>
        <w:tc>
          <w:tcPr>
            <w:tcW w:w="1155" w:type="dxa"/>
            <w:noWrap w:val="0"/>
            <w:vAlign w:val="center"/>
          </w:tcPr>
          <w:p w14:paraId="728DA5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610" w:type="dxa"/>
            <w:noWrap w:val="0"/>
            <w:vAlign w:val="center"/>
          </w:tcPr>
          <w:p w14:paraId="1A7C0647">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40" w:type="dxa"/>
            <w:noWrap w:val="0"/>
            <w:vAlign w:val="center"/>
          </w:tcPr>
          <w:p w14:paraId="59705008">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1"/>
                <w:szCs w:val="21"/>
                <w:highlight w:val="none"/>
              </w:rPr>
            </w:pPr>
          </w:p>
        </w:tc>
      </w:tr>
      <w:tr w14:paraId="082A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8425" w:type="dxa"/>
            <w:gridSpan w:val="6"/>
            <w:noWrap w:val="0"/>
            <w:vAlign w:val="center"/>
          </w:tcPr>
          <w:p w14:paraId="006482D8">
            <w:pPr>
              <w:pStyle w:val="1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pacing w:val="-6"/>
                <w:sz w:val="21"/>
                <w:szCs w:val="21"/>
                <w:highlight w:val="none"/>
                <w:u w:val="none"/>
                <w:lang w:val="en-US" w:eastAsia="zh-CN"/>
              </w:rPr>
            </w:pPr>
            <w:r>
              <w:rPr>
                <w:rFonts w:hint="eastAsia" w:hAnsi="宋体" w:eastAsia="宋体" w:cs="宋体"/>
                <w:color w:val="auto"/>
                <w:spacing w:val="-6"/>
                <w:sz w:val="21"/>
                <w:szCs w:val="21"/>
                <w:highlight w:val="none"/>
                <w:lang w:eastAsia="zh-CN"/>
              </w:rPr>
              <w:t>总报价：人民币大写：</w:t>
            </w:r>
            <w:r>
              <w:rPr>
                <w:rFonts w:hint="eastAsia" w:hAnsi="宋体" w:eastAsia="宋体" w:cs="宋体"/>
                <w:color w:val="auto"/>
                <w:spacing w:val="-6"/>
                <w:sz w:val="21"/>
                <w:szCs w:val="21"/>
                <w:highlight w:val="none"/>
                <w:u w:val="single"/>
                <w:lang w:val="en-US" w:eastAsia="zh-CN"/>
              </w:rPr>
              <w:t xml:space="preserve">           </w:t>
            </w:r>
            <w:r>
              <w:rPr>
                <w:rFonts w:hint="eastAsia" w:hAnsi="宋体" w:eastAsia="宋体" w:cs="宋体"/>
                <w:color w:val="auto"/>
                <w:spacing w:val="-6"/>
                <w:sz w:val="21"/>
                <w:szCs w:val="21"/>
                <w:highlight w:val="none"/>
                <w:u w:val="none"/>
                <w:lang w:val="en-US" w:eastAsia="zh-CN"/>
              </w:rPr>
              <w:t>元（</w:t>
            </w:r>
            <w:r>
              <w:rPr>
                <w:rFonts w:hint="default" w:ascii="Arial" w:hAnsi="Arial" w:eastAsia="宋体" w:cs="Arial"/>
                <w:color w:val="auto"/>
                <w:spacing w:val="-6"/>
                <w:sz w:val="21"/>
                <w:szCs w:val="21"/>
                <w:highlight w:val="none"/>
                <w:u w:val="none"/>
                <w:lang w:val="en-US" w:eastAsia="zh-CN"/>
              </w:rPr>
              <w:t>¥</w:t>
            </w:r>
            <w:r>
              <w:rPr>
                <w:rFonts w:hint="eastAsia" w:hAnsi="宋体" w:eastAsia="宋体" w:cs="宋体"/>
                <w:color w:val="auto"/>
                <w:spacing w:val="-6"/>
                <w:sz w:val="21"/>
                <w:szCs w:val="21"/>
                <w:highlight w:val="none"/>
                <w:u w:val="single"/>
                <w:lang w:val="en-US" w:eastAsia="zh-CN"/>
              </w:rPr>
              <w:t xml:space="preserve">           </w:t>
            </w:r>
            <w:r>
              <w:rPr>
                <w:rFonts w:hint="eastAsia" w:hAnsi="宋体" w:eastAsia="宋体" w:cs="宋体"/>
                <w:color w:val="auto"/>
                <w:spacing w:val="-6"/>
                <w:sz w:val="21"/>
                <w:szCs w:val="21"/>
                <w:highlight w:val="none"/>
                <w:u w:val="none"/>
                <w:lang w:val="en-US" w:eastAsia="zh-CN"/>
              </w:rPr>
              <w:t>）</w:t>
            </w:r>
          </w:p>
        </w:tc>
      </w:tr>
      <w:tr w14:paraId="2355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8425" w:type="dxa"/>
            <w:gridSpan w:val="6"/>
            <w:noWrap w:val="0"/>
            <w:vAlign w:val="center"/>
          </w:tcPr>
          <w:p w14:paraId="232C3081">
            <w:pPr>
              <w:pStyle w:val="1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服务时间：</w:t>
            </w:r>
          </w:p>
        </w:tc>
      </w:tr>
      <w:tr w14:paraId="5011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425" w:type="dxa"/>
            <w:gridSpan w:val="6"/>
            <w:noWrap w:val="0"/>
            <w:vAlign w:val="center"/>
          </w:tcPr>
          <w:p w14:paraId="1D8E25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备注：磋商报价是履行合同的最终价格，磋商供应商应报完成本项目“</w:t>
            </w:r>
            <w:r>
              <w:rPr>
                <w:rFonts w:hint="eastAsia" w:ascii="宋体" w:hAnsi="宋体" w:cs="宋体"/>
                <w:color w:val="auto"/>
                <w:sz w:val="21"/>
                <w:szCs w:val="21"/>
                <w:highlight w:val="none"/>
                <w:lang w:val="en-US" w:eastAsia="zh-CN"/>
              </w:rPr>
              <w:t>服务内容及</w:t>
            </w:r>
            <w:r>
              <w:rPr>
                <w:rFonts w:hint="default" w:ascii="宋体" w:hAnsi="宋体" w:eastAsia="宋体" w:cs="宋体"/>
                <w:color w:val="auto"/>
                <w:sz w:val="21"/>
                <w:szCs w:val="21"/>
                <w:highlight w:val="none"/>
                <w:lang w:val="en-US" w:eastAsia="zh-CN"/>
              </w:rPr>
              <w:t>需求</w:t>
            </w:r>
            <w:r>
              <w:rPr>
                <w:rFonts w:hint="eastAsia" w:ascii="宋体" w:hAnsi="宋体" w:eastAsia="宋体" w:cs="宋体"/>
                <w:color w:val="auto"/>
                <w:kern w:val="2"/>
                <w:sz w:val="21"/>
                <w:szCs w:val="21"/>
                <w:highlight w:val="none"/>
                <w:lang w:val="en-US" w:eastAsia="zh-CN" w:bidi="ar-SA"/>
              </w:rPr>
              <w:t>”中全部内容的含税、费的人民币价格。</w:t>
            </w:r>
          </w:p>
        </w:tc>
      </w:tr>
    </w:tbl>
    <w:p w14:paraId="58739518">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3E56C2C5">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1.供应商的报价表必须加盖供应商公章并由法定代表人或者委托代理人签字或者盖章，</w:t>
      </w:r>
      <w:r>
        <w:rPr>
          <w:rFonts w:hint="eastAsia" w:ascii="宋体" w:hAnsi="宋体" w:cs="宋体"/>
          <w:b/>
          <w:color w:val="auto"/>
          <w:szCs w:val="21"/>
          <w:highlight w:val="none"/>
        </w:rPr>
        <w:t>否则其响应文件按无效响应处理</w:t>
      </w:r>
      <w:r>
        <w:rPr>
          <w:rFonts w:hint="eastAsia" w:ascii="宋体" w:hAnsi="宋体" w:cs="宋体"/>
          <w:color w:val="auto"/>
          <w:szCs w:val="21"/>
          <w:highlight w:val="none"/>
        </w:rPr>
        <w:t>。</w:t>
      </w:r>
    </w:p>
    <w:p w14:paraId="2E38684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报价一经涂改，应在涂改处加盖供应商公章或者由法定代表人或者委托代理人签字或者盖章</w:t>
      </w:r>
      <w:r>
        <w:rPr>
          <w:rFonts w:hint="eastAsia" w:ascii="宋体" w:hAnsi="宋体" w:cs="宋体"/>
          <w:b/>
          <w:color w:val="auto"/>
          <w:szCs w:val="21"/>
          <w:highlight w:val="none"/>
        </w:rPr>
        <w:t>，否则其响应文件按无效响应处理。</w:t>
      </w:r>
    </w:p>
    <w:p w14:paraId="68B755B6">
      <w:pPr>
        <w:spacing w:line="360" w:lineRule="auto"/>
        <w:ind w:right="-817" w:rightChars="-389"/>
        <w:contextualSpacing/>
        <w:rPr>
          <w:rFonts w:hint="eastAsia" w:ascii="宋体" w:hAnsi="宋体" w:cs="宋体"/>
          <w:color w:val="auto"/>
          <w:sz w:val="24"/>
          <w:highlight w:val="none"/>
        </w:rPr>
      </w:pPr>
    </w:p>
    <w:p w14:paraId="399C1E89">
      <w:pPr>
        <w:spacing w:line="360" w:lineRule="auto"/>
        <w:ind w:right="-817" w:rightChars="-389" w:firstLine="960" w:firstLineChars="400"/>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19B53D6">
      <w:pPr>
        <w:spacing w:line="360" w:lineRule="auto"/>
        <w:ind w:leftChars="2300" w:right="-817" w:rightChars="-389"/>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供应商（盖公章）：      </w:t>
      </w:r>
    </w:p>
    <w:p w14:paraId="35887707">
      <w:pPr>
        <w:spacing w:line="360" w:lineRule="auto"/>
        <w:ind w:leftChars="1400" w:right="-817" w:rightChars="-389"/>
        <w:contextualSpacing/>
        <w:rPr>
          <w:rFonts w:hint="eastAsia" w:ascii="宋体" w:hAnsi="宋体" w:cs="宋体"/>
          <w:color w:val="auto"/>
          <w:sz w:val="24"/>
          <w:highlight w:val="none"/>
        </w:rPr>
      </w:pPr>
      <w:r>
        <w:rPr>
          <w:rFonts w:hint="eastAsia" w:ascii="宋体" w:hAnsi="宋体" w:cs="宋体"/>
          <w:color w:val="auto"/>
          <w:sz w:val="24"/>
          <w:highlight w:val="none"/>
        </w:rPr>
        <w:t>法定代表人或者委托代理人（签字）：</w:t>
      </w:r>
    </w:p>
    <w:p w14:paraId="62DB263A">
      <w:pPr>
        <w:spacing w:line="360" w:lineRule="auto"/>
        <w:ind w:right="-817" w:rightChars="-389" w:firstLine="4080" w:firstLineChars="1700"/>
        <w:contextualSpacing/>
        <w:rPr>
          <w:rFonts w:hint="eastAsia" w:ascii="宋体" w:hAnsi="宋体" w:cs="宋体"/>
          <w:b/>
          <w:color w:val="auto"/>
          <w:sz w:val="24"/>
          <w:highlight w:val="none"/>
        </w:rPr>
      </w:pPr>
      <w:r>
        <w:rPr>
          <w:rFonts w:hint="eastAsia" w:ascii="宋体" w:hAnsi="宋体" w:cs="宋体"/>
          <w:color w:val="auto"/>
          <w:sz w:val="24"/>
          <w:highlight w:val="none"/>
        </w:rPr>
        <w:t>日期：   年   月   日</w:t>
      </w:r>
    </w:p>
    <w:p w14:paraId="543473C5">
      <w:pPr>
        <w:spacing w:before="312" w:beforeLines="100" w:after="156" w:afterLines="50" w:line="520" w:lineRule="exact"/>
        <w:ind w:left="540"/>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Cs/>
          <w:color w:val="auto"/>
          <w:sz w:val="44"/>
          <w:szCs w:val="44"/>
          <w:highlight w:val="none"/>
        </w:rPr>
        <w:t>法定代表人证明书</w:t>
      </w:r>
    </w:p>
    <w:p w14:paraId="2044B91A">
      <w:pPr>
        <w:spacing w:line="360" w:lineRule="auto"/>
        <w:ind w:left="540"/>
        <w:contextualSpacing/>
        <w:rPr>
          <w:rFonts w:hint="eastAsia" w:ascii="宋体" w:hAnsi="宋体" w:cs="宋体"/>
          <w:color w:val="auto"/>
          <w:sz w:val="32"/>
          <w:szCs w:val="32"/>
          <w:highlight w:val="none"/>
        </w:rPr>
      </w:pPr>
    </w:p>
    <w:p w14:paraId="47BE9055">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2CEDAB85">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43E0883C">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6E96F908">
      <w:pPr>
        <w:spacing w:line="360" w:lineRule="auto"/>
        <w:ind w:left="540"/>
        <w:contextualSpacing/>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7002B5CF">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16C22E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E7E74CF">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特此证明。</w:t>
      </w:r>
    </w:p>
    <w:p w14:paraId="124540AF">
      <w:pPr>
        <w:spacing w:line="360" w:lineRule="auto"/>
        <w:ind w:left="540"/>
        <w:contextualSpacing/>
        <w:rPr>
          <w:rFonts w:hint="eastAsia" w:ascii="宋体" w:hAnsi="宋体" w:cs="宋体"/>
          <w:color w:val="auto"/>
          <w:sz w:val="24"/>
          <w:highlight w:val="none"/>
        </w:rPr>
      </w:pPr>
    </w:p>
    <w:p w14:paraId="3147496A">
      <w:pPr>
        <w:spacing w:line="360" w:lineRule="auto"/>
        <w:ind w:left="540"/>
        <w:contextualSpacing/>
        <w:rPr>
          <w:rFonts w:hint="eastAsia" w:ascii="宋体" w:hAnsi="宋体" w:cs="宋体"/>
          <w:color w:val="auto"/>
          <w:sz w:val="24"/>
          <w:highlight w:val="none"/>
        </w:rPr>
      </w:pPr>
    </w:p>
    <w:p w14:paraId="7CBFD6B6">
      <w:pPr>
        <w:spacing w:line="360" w:lineRule="auto"/>
        <w:ind w:left="540"/>
        <w:contextualSpacing/>
        <w:rPr>
          <w:rFonts w:hint="eastAsia" w:ascii="宋体" w:hAnsi="宋体" w:cs="宋体"/>
          <w:color w:val="auto"/>
          <w:sz w:val="24"/>
          <w:highlight w:val="none"/>
        </w:rPr>
      </w:pPr>
    </w:p>
    <w:p w14:paraId="7D80086A">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145C8884">
      <w:pPr>
        <w:spacing w:line="360" w:lineRule="auto"/>
        <w:ind w:left="540"/>
        <w:contextualSpacing/>
        <w:rPr>
          <w:rFonts w:hint="eastAsia" w:ascii="宋体" w:hAnsi="宋体" w:cs="宋体"/>
          <w:color w:val="auto"/>
          <w:sz w:val="24"/>
          <w:highlight w:val="none"/>
        </w:rPr>
      </w:pPr>
    </w:p>
    <w:p w14:paraId="44928C55">
      <w:pPr>
        <w:spacing w:line="360" w:lineRule="auto"/>
        <w:ind w:left="540"/>
        <w:contextualSpacing/>
        <w:jc w:val="center"/>
        <w:rPr>
          <w:rFonts w:hint="eastAsia" w:ascii="宋体" w:hAnsi="宋体" w:cs="宋体"/>
          <w:color w:val="auto"/>
          <w:sz w:val="24"/>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02A9170A">
      <w:pPr>
        <w:spacing w:line="360" w:lineRule="auto"/>
        <w:ind w:firstLine="4080" w:firstLineChars="1700"/>
        <w:contextualSpacing/>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37C215C">
      <w:pPr>
        <w:spacing w:line="360" w:lineRule="auto"/>
        <w:contextualSpacing/>
        <w:jc w:val="center"/>
        <w:rPr>
          <w:rFonts w:hint="eastAsia" w:ascii="宋体" w:hAnsi="宋体" w:cs="宋体"/>
          <w:b/>
          <w:color w:val="auto"/>
          <w:sz w:val="24"/>
          <w:highlight w:val="none"/>
        </w:rPr>
      </w:pPr>
    </w:p>
    <w:p w14:paraId="0B0D5CF3">
      <w:pPr>
        <w:spacing w:line="360" w:lineRule="auto"/>
        <w:contextualSpacing/>
        <w:jc w:val="left"/>
        <w:rPr>
          <w:rFonts w:hint="eastAsia" w:ascii="宋体" w:hAnsi="宋体" w:cs="宋体"/>
          <w:color w:val="auto"/>
          <w:sz w:val="24"/>
          <w:highlight w:val="none"/>
        </w:rPr>
      </w:pPr>
    </w:p>
    <w:p w14:paraId="2D0EBA49">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注：1.自然人竞标的无需提供，联合体竞标的只需牵头人出具。</w:t>
      </w:r>
    </w:p>
    <w:p w14:paraId="513E31B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宋体" w:hAnsi="宋体" w:cs="宋体"/>
          <w:b/>
          <w:color w:val="auto"/>
          <w:sz w:val="32"/>
          <w:szCs w:val="32"/>
          <w:highlight w:val="none"/>
        </w:r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5F95277">
      <w:pPr>
        <w:adjustRightInd w:val="0"/>
        <w:snapToGrid w:val="0"/>
        <w:spacing w:line="300" w:lineRule="auto"/>
        <w:jc w:val="left"/>
        <w:rPr>
          <w:rFonts w:hint="eastAsia" w:ascii="宋体" w:hAnsi="宋体" w:cs="宋体"/>
          <w:b/>
          <w:color w:val="auto"/>
          <w:szCs w:val="21"/>
          <w:highlight w:val="none"/>
        </w:rPr>
      </w:pPr>
    </w:p>
    <w:p w14:paraId="1BF5EFC2">
      <w:pPr>
        <w:spacing w:line="50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6EC34E62">
      <w:pPr>
        <w:spacing w:line="520" w:lineRule="exact"/>
        <w:jc w:val="center"/>
        <w:rPr>
          <w:rFonts w:hint="eastAsia" w:ascii="宋体" w:hAnsi="宋体" w:cs="宋体"/>
          <w:color w:val="auto"/>
          <w:sz w:val="44"/>
          <w:szCs w:val="44"/>
          <w:highlight w:val="none"/>
        </w:rPr>
      </w:pPr>
      <w:bookmarkStart w:id="99" w:name="_Hlk65853643"/>
      <w:r>
        <w:rPr>
          <w:rFonts w:hint="eastAsia" w:ascii="宋体" w:hAnsi="宋体" w:cs="宋体"/>
          <w:color w:val="auto"/>
          <w:sz w:val="44"/>
          <w:szCs w:val="44"/>
          <w:highlight w:val="none"/>
        </w:rPr>
        <w:t>授权委托书（格式）</w:t>
      </w:r>
    </w:p>
    <w:p w14:paraId="1ED37300">
      <w:pPr>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（如有委托时）</w:t>
      </w:r>
    </w:p>
    <w:p w14:paraId="0FA5E794">
      <w:pPr>
        <w:spacing w:line="520" w:lineRule="exact"/>
        <w:rPr>
          <w:rFonts w:hint="eastAsia" w:ascii="宋体" w:hAnsi="宋体" w:cs="宋体"/>
          <w:color w:val="auto"/>
          <w:sz w:val="32"/>
          <w:szCs w:val="32"/>
          <w:highlight w:val="none"/>
        </w:rPr>
      </w:pPr>
    </w:p>
    <w:p w14:paraId="052C052F">
      <w:pPr>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B66E63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2D734A13">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494895B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B2BFEA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558A234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3FF03035">
      <w:pPr>
        <w:spacing w:line="360" w:lineRule="auto"/>
        <w:rPr>
          <w:rFonts w:hint="eastAsia" w:ascii="宋体" w:hAnsi="宋体" w:cs="宋体"/>
          <w:color w:val="auto"/>
          <w:sz w:val="24"/>
          <w:highlight w:val="none"/>
        </w:rPr>
      </w:pPr>
    </w:p>
    <w:p w14:paraId="5F0A0D1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4A182F33">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08717D5B">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4DCC1A3">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供应商（盖公章）：                      </w:t>
      </w:r>
    </w:p>
    <w:p w14:paraId="1C6D93D1">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5BC741F8">
      <w:pPr>
        <w:spacing w:line="360" w:lineRule="auto"/>
        <w:rPr>
          <w:rFonts w:hint="eastAsia" w:ascii="宋体" w:hAnsi="宋体" w:cs="宋体"/>
          <w:color w:val="auto"/>
          <w:sz w:val="24"/>
          <w:highlight w:val="none"/>
        </w:rPr>
      </w:pPr>
    </w:p>
    <w:p w14:paraId="2C8AF2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注：1. 法定代表人必须在授权委托书上亲笔签字或盖章，委托代理人必须在授权委托书上亲笔签字，</w:t>
      </w:r>
      <w:r>
        <w:rPr>
          <w:rFonts w:hint="eastAsia" w:ascii="宋体" w:hAnsi="宋体" w:cs="宋体"/>
          <w:b/>
          <w:color w:val="auto"/>
          <w:szCs w:val="21"/>
          <w:highlight w:val="none"/>
        </w:rPr>
        <w:t>否则其响应文件按无效响应处理。</w:t>
      </w:r>
    </w:p>
    <w:p w14:paraId="4994D1B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86FB6B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 </w:t>
      </w:r>
      <w:bookmarkStart w:id="100" w:name="_Hlk65853109"/>
      <w:bookmarkStart w:id="101" w:name="_Hlk65853542"/>
      <w:r>
        <w:rPr>
          <w:rFonts w:hint="eastAsia" w:ascii="宋体" w:hAnsi="宋体" w:cs="宋体"/>
          <w:color w:val="auto"/>
          <w:szCs w:val="21"/>
          <w:highlight w:val="none"/>
        </w:rPr>
        <w:t>法人、其他组织竞标时“我方”是指“我单位”，自然人竞标时“我方”是指“本人”。</w:t>
      </w:r>
      <w:bookmarkEnd w:id="100"/>
    </w:p>
    <w:bookmarkEnd w:id="101"/>
    <w:p w14:paraId="40A1AFE8">
      <w:pPr>
        <w:spacing w:line="360" w:lineRule="auto"/>
        <w:ind w:firstLine="420" w:firstLineChars="200"/>
        <w:jc w:val="left"/>
        <w:rPr>
          <w:rFonts w:hint="eastAsia" w:ascii="宋体" w:hAnsi="宋体" w:cs="宋体"/>
          <w:color w:val="auto"/>
          <w:szCs w:val="21"/>
          <w:highlight w:val="none"/>
        </w:rPr>
      </w:pPr>
    </w:p>
    <w:p w14:paraId="452FA058">
      <w:pPr>
        <w:spacing w:line="360" w:lineRule="auto"/>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br w:type="page"/>
      </w:r>
      <w:bookmarkEnd w:id="99"/>
    </w:p>
    <w:p w14:paraId="6E4DF9B4">
      <w:pPr>
        <w:spacing w:line="360" w:lineRule="auto"/>
        <w:ind w:firstLine="880" w:firstLineChars="20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商务条款偏离表格式</w:t>
      </w:r>
    </w:p>
    <w:p w14:paraId="40168AE1">
      <w:pPr>
        <w:spacing w:line="500" w:lineRule="exact"/>
        <w:jc w:val="center"/>
        <w:rPr>
          <w:rFonts w:hint="eastAsia" w:ascii="宋体" w:hAnsi="宋体" w:cs="宋体"/>
          <w:b/>
          <w:color w:val="auto"/>
          <w:sz w:val="32"/>
          <w:szCs w:val="32"/>
          <w:highlight w:val="none"/>
        </w:rPr>
      </w:pPr>
      <w:r>
        <w:rPr>
          <w:rFonts w:hint="eastAsia" w:ascii="宋体" w:hAnsi="宋体" w:cs="宋体"/>
          <w:bCs/>
          <w:color w:val="auto"/>
          <w:sz w:val="24"/>
          <w:highlight w:val="none"/>
        </w:rPr>
        <w:t>(注：按采购需求具体条款修改)</w:t>
      </w:r>
    </w:p>
    <w:p w14:paraId="3B271A3F">
      <w:pPr>
        <w:spacing w:line="360" w:lineRule="auto"/>
        <w:contextualSpacing/>
        <w:jc w:val="left"/>
        <w:rPr>
          <w:rFonts w:hint="eastAsia" w:ascii="宋体" w:hAnsi="宋体" w:cs="宋体"/>
          <w:color w:val="auto"/>
          <w:sz w:val="24"/>
          <w:highlight w:val="none"/>
        </w:rPr>
      </w:pPr>
    </w:p>
    <w:p w14:paraId="211B5481">
      <w:pPr>
        <w:pStyle w:val="14"/>
        <w:spacing w:line="360" w:lineRule="auto"/>
        <w:contextualSpacing/>
        <w:rPr>
          <w:rFonts w:hint="eastAsia"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无       </w:t>
      </w:r>
    </w:p>
    <w:p w14:paraId="1738BC75">
      <w:pPr>
        <w:spacing w:line="360" w:lineRule="auto"/>
        <w:contextualSpacing/>
        <w:jc w:val="left"/>
        <w:rPr>
          <w:rFonts w:hint="eastAsia" w:ascii="宋体" w:hAnsi="宋体" w:cs="宋体"/>
          <w:color w:val="auto"/>
          <w:sz w:val="24"/>
          <w:highlight w:val="none"/>
          <w:u w:val="single"/>
        </w:rPr>
      </w:pPr>
    </w:p>
    <w:tbl>
      <w:tblPr>
        <w:tblStyle w:val="22"/>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502B6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51DFFE8">
            <w:pPr>
              <w:spacing w:line="360" w:lineRule="auto"/>
              <w:contextualSpacing/>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内容</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718EC4C">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14E4C4C">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7D0D41A">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2D63C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6889857">
            <w:pPr>
              <w:spacing w:line="360" w:lineRule="auto"/>
              <w:contextualSpacing/>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（一）服务期限和地点</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D359EDC">
            <w:pPr>
              <w:spacing w:line="360" w:lineRule="auto"/>
              <w:contextualSpacing/>
              <w:jc w:val="center"/>
              <w:rPr>
                <w:rFonts w:hint="eastAsia"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5F208AD">
            <w:pPr>
              <w:spacing w:line="360" w:lineRule="auto"/>
              <w:contextualSpacing/>
              <w:jc w:val="center"/>
              <w:rPr>
                <w:rFonts w:hint="eastAsia"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C5ACBF4">
            <w:pPr>
              <w:spacing w:line="360" w:lineRule="auto"/>
              <w:contextualSpacing/>
              <w:jc w:val="center"/>
              <w:rPr>
                <w:rFonts w:hint="eastAsia" w:ascii="宋体" w:hAnsi="宋体" w:cs="宋体"/>
                <w:color w:val="auto"/>
                <w:sz w:val="24"/>
                <w:highlight w:val="none"/>
              </w:rPr>
            </w:pPr>
          </w:p>
        </w:tc>
      </w:tr>
      <w:tr w14:paraId="3CC81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EA5F693">
            <w:pPr>
              <w:spacing w:line="360" w:lineRule="auto"/>
              <w:contextualSpacing/>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（二）付款条件</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1724B73">
            <w:pPr>
              <w:spacing w:line="360" w:lineRule="auto"/>
              <w:contextualSpacing/>
              <w:jc w:val="center"/>
              <w:rPr>
                <w:rFonts w:hint="eastAsia"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E52A3BB">
            <w:pPr>
              <w:spacing w:line="360" w:lineRule="auto"/>
              <w:ind w:left="43"/>
              <w:contextualSpacing/>
              <w:jc w:val="center"/>
              <w:rPr>
                <w:rFonts w:hint="eastAsia"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41B12DE">
            <w:pPr>
              <w:spacing w:line="360" w:lineRule="auto"/>
              <w:ind w:left="43"/>
              <w:contextualSpacing/>
              <w:jc w:val="center"/>
              <w:rPr>
                <w:rFonts w:hint="eastAsia" w:ascii="宋体" w:hAnsi="宋体" w:cs="宋体"/>
                <w:color w:val="auto"/>
                <w:sz w:val="24"/>
                <w:highlight w:val="none"/>
              </w:rPr>
            </w:pPr>
          </w:p>
        </w:tc>
      </w:tr>
      <w:tr w14:paraId="140CF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A162D94">
            <w:pPr>
              <w:spacing w:line="360" w:lineRule="auto"/>
              <w:contextualSpacing/>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（三）验收标准</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A1BD64F">
            <w:pPr>
              <w:spacing w:line="360" w:lineRule="auto"/>
              <w:contextualSpacing/>
              <w:jc w:val="center"/>
              <w:rPr>
                <w:rFonts w:hint="eastAsia"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145E070">
            <w:pPr>
              <w:spacing w:line="360" w:lineRule="auto"/>
              <w:contextualSpacing/>
              <w:jc w:val="center"/>
              <w:rPr>
                <w:rFonts w:hint="eastAsia"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987D1FB">
            <w:pPr>
              <w:spacing w:line="360" w:lineRule="auto"/>
              <w:contextualSpacing/>
              <w:jc w:val="center"/>
              <w:rPr>
                <w:rFonts w:hint="eastAsia" w:ascii="宋体" w:hAnsi="宋体" w:cs="宋体"/>
                <w:color w:val="auto"/>
                <w:sz w:val="24"/>
                <w:highlight w:val="none"/>
              </w:rPr>
            </w:pPr>
          </w:p>
        </w:tc>
      </w:tr>
      <w:tr w14:paraId="229CC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6778501">
            <w:pPr>
              <w:spacing w:line="360" w:lineRule="auto"/>
              <w:contextualSpacing/>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（四）售后服务</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D14EA90">
            <w:pPr>
              <w:spacing w:line="360" w:lineRule="auto"/>
              <w:contextualSpacing/>
              <w:jc w:val="center"/>
              <w:rPr>
                <w:rFonts w:hint="eastAsia"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D1F79D4">
            <w:pPr>
              <w:spacing w:line="360" w:lineRule="auto"/>
              <w:contextualSpacing/>
              <w:jc w:val="center"/>
              <w:rPr>
                <w:rFonts w:hint="eastAsia"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6DCFBDE3">
            <w:pPr>
              <w:spacing w:line="360" w:lineRule="auto"/>
              <w:contextualSpacing/>
              <w:jc w:val="center"/>
              <w:rPr>
                <w:rFonts w:hint="eastAsia" w:ascii="宋体" w:hAnsi="宋体" w:cs="宋体"/>
                <w:color w:val="auto"/>
                <w:sz w:val="24"/>
                <w:highlight w:val="none"/>
              </w:rPr>
            </w:pPr>
          </w:p>
        </w:tc>
      </w:tr>
      <w:tr w14:paraId="0EBDB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9AD4A5B">
            <w:pPr>
              <w:spacing w:line="360" w:lineRule="auto"/>
              <w:contextualSpacing/>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（五）其他要求</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B93E71C">
            <w:pPr>
              <w:spacing w:line="360" w:lineRule="auto"/>
              <w:contextualSpacing/>
              <w:jc w:val="center"/>
              <w:rPr>
                <w:rFonts w:hint="eastAsia"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24B7142">
            <w:pPr>
              <w:spacing w:line="360" w:lineRule="auto"/>
              <w:contextualSpacing/>
              <w:jc w:val="center"/>
              <w:rPr>
                <w:rFonts w:hint="eastAsia"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640F7AD2">
            <w:pPr>
              <w:spacing w:line="360" w:lineRule="auto"/>
              <w:contextualSpacing/>
              <w:jc w:val="center"/>
              <w:rPr>
                <w:rFonts w:hint="eastAsia" w:ascii="宋体" w:hAnsi="宋体" w:cs="宋体"/>
                <w:color w:val="auto"/>
                <w:sz w:val="24"/>
                <w:highlight w:val="none"/>
              </w:rPr>
            </w:pPr>
          </w:p>
        </w:tc>
      </w:tr>
      <w:tr w14:paraId="713BAC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09F5021">
            <w:pPr>
              <w:spacing w:line="360" w:lineRule="auto"/>
              <w:contextualSpacing/>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B90F646">
            <w:pPr>
              <w:spacing w:line="360" w:lineRule="auto"/>
              <w:contextualSpacing/>
              <w:jc w:val="center"/>
              <w:rPr>
                <w:rFonts w:hint="eastAsia"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FF8AEA4">
            <w:pPr>
              <w:spacing w:line="360" w:lineRule="auto"/>
              <w:contextualSpacing/>
              <w:jc w:val="center"/>
              <w:rPr>
                <w:rFonts w:hint="eastAsia"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4BDB2EC9">
            <w:pPr>
              <w:spacing w:line="360" w:lineRule="auto"/>
              <w:contextualSpacing/>
              <w:jc w:val="center"/>
              <w:rPr>
                <w:rFonts w:hint="eastAsia" w:ascii="宋体" w:hAnsi="宋体" w:cs="宋体"/>
                <w:color w:val="auto"/>
                <w:sz w:val="24"/>
                <w:highlight w:val="none"/>
              </w:rPr>
            </w:pPr>
          </w:p>
        </w:tc>
      </w:tr>
    </w:tbl>
    <w:p w14:paraId="11A1DC7B">
      <w:pPr>
        <w:pStyle w:val="9"/>
        <w:keepNext w:val="0"/>
        <w:keepLines w:val="0"/>
        <w:pageBreakBefore w:val="0"/>
        <w:widowControl w:val="0"/>
        <w:kinsoku/>
        <w:wordWrap/>
        <w:overflowPunct/>
        <w:topLinePunct w:val="0"/>
        <w:autoSpaceDE/>
        <w:autoSpaceDN/>
        <w:bidi w:val="0"/>
        <w:adjustRightInd/>
        <w:snapToGrid/>
        <w:spacing w:after="0" w:line="400" w:lineRule="exact"/>
        <w:contextualSpacing/>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21CF1B8B">
      <w:pPr>
        <w:pStyle w:val="9"/>
        <w:keepNext w:val="0"/>
        <w:keepLines w:val="0"/>
        <w:pageBreakBefore w:val="0"/>
        <w:widowControl w:val="0"/>
        <w:kinsoku/>
        <w:wordWrap/>
        <w:overflowPunct/>
        <w:topLinePunct w:val="0"/>
        <w:autoSpaceDE/>
        <w:autoSpaceDN/>
        <w:bidi w:val="0"/>
        <w:adjustRightInd/>
        <w:snapToGrid/>
        <w:spacing w:after="0" w:line="400" w:lineRule="exact"/>
        <w:contextualSpacing/>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1. 说明：应对照磋商文件“第三章 </w:t>
      </w:r>
      <w:r>
        <w:rPr>
          <w:rFonts w:hint="eastAsia" w:ascii="宋体" w:hAnsi="宋体" w:cs="宋体"/>
          <w:color w:val="auto"/>
          <w:kern w:val="0"/>
          <w:sz w:val="21"/>
          <w:szCs w:val="21"/>
          <w:highlight w:val="none"/>
          <w:lang w:val="en-US" w:eastAsia="zh-CN"/>
        </w:rPr>
        <w:t>项目</w:t>
      </w:r>
      <w:r>
        <w:rPr>
          <w:rFonts w:hint="eastAsia" w:ascii="宋体" w:hAnsi="宋体" w:cs="宋体"/>
          <w:color w:val="auto"/>
          <w:kern w:val="0"/>
          <w:sz w:val="21"/>
          <w:szCs w:val="21"/>
          <w:highlight w:val="none"/>
        </w:rPr>
        <w:t>采购需求”中的商务条款逐条作出明确响应，并作出偏离说明。</w:t>
      </w:r>
    </w:p>
    <w:p w14:paraId="18B29EAD">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Cs w:val="21"/>
          <w:highlight w:val="none"/>
          <w:u w:val="single"/>
        </w:rPr>
      </w:pPr>
      <w:r>
        <w:rPr>
          <w:rFonts w:hint="eastAsia" w:ascii="宋体" w:hAnsi="宋体" w:cs="宋体"/>
          <w:color w:val="auto"/>
          <w:kern w:val="0"/>
          <w:szCs w:val="21"/>
          <w:highlight w:val="none"/>
        </w:rPr>
        <w:t>2.供应商应根据自身的承诺，对照磋商文件要求在“偏离说明”中注明“正偏离”、“负偏离”或者“无偏离”。既不属于“正偏离”也不属于“负偏离”即为“无偏离”。</w:t>
      </w:r>
    </w:p>
    <w:p w14:paraId="63A39AB3">
      <w:pPr>
        <w:spacing w:line="360" w:lineRule="auto"/>
        <w:ind w:right="-817" w:rightChars="-389"/>
        <w:contextualSpacing/>
        <w:rPr>
          <w:rFonts w:hint="eastAsia" w:ascii="宋体" w:hAnsi="宋体" w:cs="宋体"/>
          <w:color w:val="auto"/>
          <w:sz w:val="24"/>
          <w:highlight w:val="none"/>
        </w:rPr>
      </w:pPr>
    </w:p>
    <w:p w14:paraId="52227029">
      <w:pPr>
        <w:spacing w:line="360" w:lineRule="auto"/>
        <w:ind w:right="-817" w:rightChars="-389" w:firstLine="960" w:firstLineChars="400"/>
        <w:contextualSpacing/>
        <w:rPr>
          <w:rFonts w:hint="eastAsia" w:ascii="宋体" w:hAnsi="宋体" w:cs="宋体"/>
          <w:color w:val="auto"/>
          <w:sz w:val="24"/>
          <w:highlight w:val="none"/>
        </w:rPr>
      </w:pPr>
      <w:r>
        <w:rPr>
          <w:rFonts w:hint="eastAsia" w:ascii="宋体" w:hAnsi="宋体" w:cs="宋体"/>
          <w:color w:val="auto"/>
          <w:sz w:val="24"/>
          <w:highlight w:val="none"/>
        </w:rPr>
        <w:t xml:space="preserve">法定代表人或者委托代理人（签字）：                    </w:t>
      </w:r>
    </w:p>
    <w:p w14:paraId="76F028F6">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供应商（盖公章）：      </w:t>
      </w:r>
    </w:p>
    <w:p w14:paraId="7E669483">
      <w:pPr>
        <w:spacing w:line="360" w:lineRule="auto"/>
        <w:ind w:right="-817" w:rightChars="-389" w:firstLine="4080" w:firstLineChars="1700"/>
        <w:contextualSpacing/>
        <w:rPr>
          <w:rFonts w:hint="eastAsia" w:ascii="宋体" w:hAnsi="宋体" w:cs="宋体"/>
          <w:b/>
          <w:color w:val="auto"/>
          <w:sz w:val="32"/>
          <w:szCs w:val="32"/>
          <w:highlight w:val="none"/>
        </w:rPr>
      </w:pPr>
      <w:r>
        <w:rPr>
          <w:rFonts w:hint="eastAsia" w:ascii="宋体" w:hAnsi="宋体" w:cs="宋体"/>
          <w:color w:val="auto"/>
          <w:sz w:val="24"/>
          <w:highlight w:val="none"/>
        </w:rPr>
        <w:t>日期：   年   月   日</w:t>
      </w:r>
    </w:p>
    <w:p w14:paraId="18F6C31D">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5D6CBFD2">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2F963D7E">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54977DC2">
      <w:pPr>
        <w:adjustRightInd w:val="0"/>
        <w:snapToGrid w:val="0"/>
        <w:spacing w:line="30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服务需求偏离表</w:t>
      </w:r>
    </w:p>
    <w:p w14:paraId="1E1F229B">
      <w:pPr>
        <w:spacing w:line="520" w:lineRule="exact"/>
        <w:rPr>
          <w:rFonts w:hint="eastAsia" w:ascii="宋体" w:hAnsi="宋体" w:cs="宋体"/>
          <w:color w:val="auto"/>
          <w:sz w:val="32"/>
          <w:szCs w:val="32"/>
          <w:highlight w:val="none"/>
        </w:rPr>
      </w:pPr>
    </w:p>
    <w:p w14:paraId="13BECC83">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3FED6658">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3C3B943F">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 w:val="24"/>
          <w:highlight w:val="none"/>
          <w:u w:val="single"/>
        </w:rPr>
        <w:t xml:space="preserve">   无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574F27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5F86F234">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02" w:name="_Toc383699906"/>
            <w:bookmarkStart w:id="103" w:name="_Toc297193185"/>
            <w:bookmarkStart w:id="104" w:name="_Toc373333689"/>
            <w:bookmarkStart w:id="105" w:name="_Toc295404981"/>
            <w:bookmarkStart w:id="106" w:name="_Toc173211900"/>
            <w:bookmarkStart w:id="107" w:name="_Toc254970588"/>
            <w:bookmarkStart w:id="108" w:name="_Toc173066401"/>
            <w:bookmarkStart w:id="109" w:name="_Toc254970729"/>
            <w:bookmarkStart w:id="110" w:name="_Toc301781611"/>
            <w:r>
              <w:rPr>
                <w:rFonts w:hint="eastAsia" w:ascii="宋体" w:hAnsi="宋体" w:eastAsia="宋体" w:cs="宋体"/>
                <w:color w:val="auto"/>
                <w:kern w:val="2"/>
                <w:sz w:val="24"/>
                <w:szCs w:val="24"/>
                <w:highlight w:val="none"/>
              </w:rPr>
              <w:t>序号</w:t>
            </w:r>
            <w:bookmarkEnd w:id="102"/>
            <w:bookmarkEnd w:id="103"/>
            <w:bookmarkEnd w:id="104"/>
            <w:bookmarkEnd w:id="105"/>
            <w:bookmarkEnd w:id="106"/>
            <w:bookmarkEnd w:id="107"/>
            <w:bookmarkEnd w:id="108"/>
            <w:bookmarkEnd w:id="109"/>
            <w:bookmarkEnd w:id="110"/>
          </w:p>
        </w:tc>
        <w:tc>
          <w:tcPr>
            <w:tcW w:w="900" w:type="dxa"/>
            <w:tcBorders>
              <w:right w:val="single" w:color="auto" w:sz="4" w:space="0"/>
            </w:tcBorders>
            <w:noWrap w:val="0"/>
            <w:vAlign w:val="center"/>
          </w:tcPr>
          <w:p w14:paraId="6222DCE9">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名称</w:t>
            </w:r>
          </w:p>
        </w:tc>
        <w:tc>
          <w:tcPr>
            <w:tcW w:w="2989" w:type="dxa"/>
            <w:tcBorders>
              <w:left w:val="single" w:color="auto" w:sz="4" w:space="0"/>
            </w:tcBorders>
            <w:noWrap w:val="0"/>
            <w:vAlign w:val="center"/>
          </w:tcPr>
          <w:p w14:paraId="307B41F7">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磋商文件服务需求</w:t>
            </w:r>
          </w:p>
        </w:tc>
        <w:tc>
          <w:tcPr>
            <w:tcW w:w="2690" w:type="dxa"/>
            <w:noWrap w:val="0"/>
            <w:vAlign w:val="center"/>
          </w:tcPr>
          <w:p w14:paraId="0A4885A9">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11" w:name="_Toc254970590"/>
            <w:bookmarkStart w:id="112" w:name="_Toc373333691"/>
            <w:bookmarkStart w:id="113" w:name="_Toc173211902"/>
            <w:bookmarkStart w:id="114" w:name="_Toc295404983"/>
            <w:bookmarkStart w:id="115" w:name="_Toc254970731"/>
            <w:bookmarkStart w:id="116" w:name="_Toc173066403"/>
            <w:bookmarkStart w:id="117" w:name="_Toc297193187"/>
            <w:bookmarkStart w:id="118" w:name="_Toc383699908"/>
            <w:bookmarkStart w:id="119" w:name="_Toc301781613"/>
            <w:r>
              <w:rPr>
                <w:rFonts w:hint="eastAsia" w:ascii="宋体" w:hAnsi="宋体" w:eastAsia="宋体" w:cs="宋体"/>
                <w:color w:val="auto"/>
                <w:kern w:val="2"/>
                <w:sz w:val="24"/>
                <w:szCs w:val="24"/>
                <w:highlight w:val="none"/>
              </w:rPr>
              <w:t>竞标响应</w:t>
            </w:r>
            <w:bookmarkEnd w:id="111"/>
            <w:bookmarkEnd w:id="112"/>
            <w:bookmarkEnd w:id="113"/>
            <w:bookmarkEnd w:id="114"/>
            <w:bookmarkEnd w:id="115"/>
            <w:bookmarkEnd w:id="116"/>
            <w:bookmarkEnd w:id="117"/>
            <w:bookmarkEnd w:id="118"/>
            <w:bookmarkEnd w:id="119"/>
          </w:p>
        </w:tc>
        <w:tc>
          <w:tcPr>
            <w:tcW w:w="1467" w:type="dxa"/>
            <w:noWrap w:val="0"/>
            <w:vAlign w:val="center"/>
          </w:tcPr>
          <w:p w14:paraId="0CD4C3E5">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20" w:name="_Toc254970732"/>
            <w:bookmarkStart w:id="121" w:name="_Toc295404984"/>
            <w:bookmarkStart w:id="122" w:name="_Toc383699909"/>
            <w:bookmarkStart w:id="123" w:name="_Toc301781614"/>
            <w:bookmarkStart w:id="124" w:name="_Toc297193188"/>
            <w:bookmarkStart w:id="125" w:name="_Toc373333692"/>
            <w:bookmarkStart w:id="126" w:name="_Toc173066404"/>
            <w:bookmarkStart w:id="127" w:name="_Toc254970591"/>
            <w:bookmarkStart w:id="128" w:name="_Toc173211903"/>
            <w:r>
              <w:rPr>
                <w:rFonts w:hint="eastAsia" w:ascii="宋体" w:hAnsi="宋体" w:eastAsia="宋体" w:cs="宋体"/>
                <w:color w:val="auto"/>
                <w:kern w:val="2"/>
                <w:sz w:val="24"/>
                <w:szCs w:val="24"/>
                <w:highlight w:val="none"/>
              </w:rPr>
              <w:t>偏离</w:t>
            </w:r>
            <w:bookmarkEnd w:id="120"/>
            <w:bookmarkEnd w:id="121"/>
            <w:bookmarkEnd w:id="122"/>
            <w:bookmarkEnd w:id="123"/>
            <w:bookmarkEnd w:id="124"/>
            <w:bookmarkEnd w:id="125"/>
            <w:bookmarkEnd w:id="126"/>
            <w:bookmarkEnd w:id="127"/>
            <w:bookmarkEnd w:id="128"/>
            <w:bookmarkStart w:id="129" w:name="_Toc373333693"/>
            <w:bookmarkStart w:id="130" w:name="_Toc173066405"/>
            <w:bookmarkStart w:id="131" w:name="_Toc254970592"/>
            <w:bookmarkStart w:id="132" w:name="_Toc383699910"/>
            <w:bookmarkStart w:id="133" w:name="_Toc297193189"/>
            <w:bookmarkStart w:id="134" w:name="_Toc301781615"/>
            <w:bookmarkStart w:id="135" w:name="_Toc295404985"/>
            <w:bookmarkStart w:id="136" w:name="_Toc254970733"/>
            <w:bookmarkStart w:id="137" w:name="_Toc173211904"/>
            <w:r>
              <w:rPr>
                <w:rFonts w:hint="eastAsia" w:ascii="宋体" w:hAnsi="宋体" w:eastAsia="宋体" w:cs="宋体"/>
                <w:color w:val="auto"/>
                <w:kern w:val="2"/>
                <w:sz w:val="24"/>
                <w:szCs w:val="24"/>
                <w:highlight w:val="none"/>
              </w:rPr>
              <w:t>说明</w:t>
            </w:r>
            <w:bookmarkEnd w:id="129"/>
            <w:bookmarkEnd w:id="130"/>
            <w:bookmarkEnd w:id="131"/>
            <w:bookmarkEnd w:id="132"/>
            <w:bookmarkEnd w:id="133"/>
            <w:bookmarkEnd w:id="134"/>
            <w:bookmarkEnd w:id="135"/>
            <w:bookmarkEnd w:id="136"/>
            <w:bookmarkEnd w:id="137"/>
          </w:p>
        </w:tc>
      </w:tr>
      <w:tr w14:paraId="5F7344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4CC4A2B8">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38" w:name="_Toc254970593"/>
            <w:bookmarkStart w:id="139" w:name="_Toc173211905"/>
            <w:bookmarkStart w:id="140" w:name="_Toc383699911"/>
            <w:bookmarkStart w:id="141" w:name="_Toc297193190"/>
            <w:bookmarkStart w:id="142" w:name="_Toc301781616"/>
            <w:bookmarkStart w:id="143" w:name="_Toc254970734"/>
            <w:bookmarkStart w:id="144" w:name="_Toc373333694"/>
            <w:bookmarkStart w:id="145" w:name="_Toc295404986"/>
            <w:bookmarkStart w:id="146" w:name="_Toc173066406"/>
            <w:r>
              <w:rPr>
                <w:rFonts w:hint="eastAsia" w:ascii="宋体" w:hAnsi="宋体" w:eastAsia="宋体" w:cs="宋体"/>
                <w:color w:val="auto"/>
                <w:kern w:val="2"/>
                <w:sz w:val="24"/>
                <w:szCs w:val="24"/>
                <w:highlight w:val="none"/>
              </w:rPr>
              <w:t>1</w:t>
            </w:r>
            <w:bookmarkEnd w:id="138"/>
            <w:bookmarkEnd w:id="139"/>
            <w:bookmarkEnd w:id="140"/>
            <w:bookmarkEnd w:id="141"/>
            <w:bookmarkEnd w:id="142"/>
            <w:bookmarkEnd w:id="143"/>
            <w:bookmarkEnd w:id="144"/>
            <w:bookmarkEnd w:id="145"/>
            <w:bookmarkEnd w:id="146"/>
          </w:p>
        </w:tc>
        <w:tc>
          <w:tcPr>
            <w:tcW w:w="900" w:type="dxa"/>
            <w:tcBorders>
              <w:right w:val="single" w:color="auto" w:sz="4" w:space="0"/>
            </w:tcBorders>
            <w:noWrap w:val="0"/>
            <w:vAlign w:val="center"/>
          </w:tcPr>
          <w:p w14:paraId="3A441363">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989" w:type="dxa"/>
            <w:tcBorders>
              <w:left w:val="single" w:color="auto" w:sz="4" w:space="0"/>
            </w:tcBorders>
            <w:noWrap w:val="0"/>
            <w:vAlign w:val="center"/>
          </w:tcPr>
          <w:p w14:paraId="0E495639">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690" w:type="dxa"/>
            <w:noWrap w:val="0"/>
            <w:vAlign w:val="center"/>
          </w:tcPr>
          <w:p w14:paraId="5E4F22AF">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67" w:type="dxa"/>
            <w:noWrap w:val="0"/>
            <w:vAlign w:val="center"/>
          </w:tcPr>
          <w:p w14:paraId="3583706C">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r>
      <w:tr w14:paraId="567F06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71B713B1">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47" w:name="_Toc254970594"/>
            <w:bookmarkStart w:id="148" w:name="_Toc295404987"/>
            <w:bookmarkStart w:id="149" w:name="_Toc297193191"/>
            <w:bookmarkStart w:id="150" w:name="_Toc173211906"/>
            <w:bookmarkStart w:id="151" w:name="_Toc383699912"/>
            <w:bookmarkStart w:id="152" w:name="_Toc301781617"/>
            <w:bookmarkStart w:id="153" w:name="_Toc254970735"/>
            <w:bookmarkStart w:id="154" w:name="_Toc373333695"/>
            <w:bookmarkStart w:id="155" w:name="_Toc173066407"/>
            <w:r>
              <w:rPr>
                <w:rFonts w:hint="eastAsia" w:ascii="宋体" w:hAnsi="宋体" w:eastAsia="宋体" w:cs="宋体"/>
                <w:color w:val="auto"/>
                <w:kern w:val="2"/>
                <w:sz w:val="24"/>
                <w:szCs w:val="24"/>
                <w:highlight w:val="none"/>
              </w:rPr>
              <w:t>2</w:t>
            </w:r>
            <w:bookmarkEnd w:id="147"/>
            <w:bookmarkEnd w:id="148"/>
            <w:bookmarkEnd w:id="149"/>
            <w:bookmarkEnd w:id="150"/>
            <w:bookmarkEnd w:id="151"/>
            <w:bookmarkEnd w:id="152"/>
            <w:bookmarkEnd w:id="153"/>
            <w:bookmarkEnd w:id="154"/>
            <w:bookmarkEnd w:id="155"/>
          </w:p>
        </w:tc>
        <w:tc>
          <w:tcPr>
            <w:tcW w:w="900" w:type="dxa"/>
            <w:tcBorders>
              <w:right w:val="single" w:color="auto" w:sz="4" w:space="0"/>
            </w:tcBorders>
            <w:noWrap w:val="0"/>
            <w:vAlign w:val="center"/>
          </w:tcPr>
          <w:p w14:paraId="07B53DBD">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989" w:type="dxa"/>
            <w:tcBorders>
              <w:left w:val="single" w:color="auto" w:sz="4" w:space="0"/>
            </w:tcBorders>
            <w:noWrap w:val="0"/>
            <w:vAlign w:val="center"/>
          </w:tcPr>
          <w:p w14:paraId="4EEE06B5">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690" w:type="dxa"/>
            <w:noWrap w:val="0"/>
            <w:vAlign w:val="center"/>
          </w:tcPr>
          <w:p w14:paraId="2E0A3CC7">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67" w:type="dxa"/>
            <w:noWrap w:val="0"/>
            <w:vAlign w:val="center"/>
          </w:tcPr>
          <w:p w14:paraId="0F41C64D">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r>
      <w:tr w14:paraId="48A0F7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71BF338C">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56" w:name="_Toc297193192"/>
            <w:bookmarkStart w:id="157" w:name="_Toc254970736"/>
            <w:bookmarkStart w:id="158" w:name="_Toc173066408"/>
            <w:bookmarkStart w:id="159" w:name="_Toc254970595"/>
            <w:bookmarkStart w:id="160" w:name="_Toc383699913"/>
            <w:bookmarkStart w:id="161" w:name="_Toc295404988"/>
            <w:bookmarkStart w:id="162" w:name="_Toc173211907"/>
            <w:bookmarkStart w:id="163" w:name="_Toc373333696"/>
            <w:bookmarkStart w:id="164" w:name="_Toc301781618"/>
            <w:r>
              <w:rPr>
                <w:rFonts w:hint="eastAsia" w:ascii="宋体" w:hAnsi="宋体" w:eastAsia="宋体" w:cs="宋体"/>
                <w:color w:val="auto"/>
                <w:kern w:val="2"/>
                <w:sz w:val="24"/>
                <w:szCs w:val="24"/>
                <w:highlight w:val="none"/>
              </w:rPr>
              <w:t>3</w:t>
            </w:r>
            <w:bookmarkEnd w:id="156"/>
            <w:bookmarkEnd w:id="157"/>
            <w:bookmarkEnd w:id="158"/>
            <w:bookmarkEnd w:id="159"/>
            <w:bookmarkEnd w:id="160"/>
            <w:bookmarkEnd w:id="161"/>
            <w:bookmarkEnd w:id="162"/>
            <w:bookmarkEnd w:id="163"/>
            <w:bookmarkEnd w:id="164"/>
          </w:p>
        </w:tc>
        <w:tc>
          <w:tcPr>
            <w:tcW w:w="900" w:type="dxa"/>
            <w:tcBorders>
              <w:right w:val="single" w:color="auto" w:sz="4" w:space="0"/>
            </w:tcBorders>
            <w:noWrap w:val="0"/>
            <w:vAlign w:val="center"/>
          </w:tcPr>
          <w:p w14:paraId="1F524327">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989" w:type="dxa"/>
            <w:tcBorders>
              <w:left w:val="single" w:color="auto" w:sz="4" w:space="0"/>
            </w:tcBorders>
            <w:noWrap w:val="0"/>
            <w:vAlign w:val="center"/>
          </w:tcPr>
          <w:p w14:paraId="4698CB6C">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690" w:type="dxa"/>
            <w:noWrap w:val="0"/>
            <w:vAlign w:val="center"/>
          </w:tcPr>
          <w:p w14:paraId="4C2CD37B">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67" w:type="dxa"/>
            <w:noWrap w:val="0"/>
            <w:vAlign w:val="center"/>
          </w:tcPr>
          <w:p w14:paraId="0EB51E91">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r>
      <w:tr w14:paraId="491F21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61416B52">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65" w:name="_Toc173066409"/>
            <w:bookmarkStart w:id="166" w:name="_Toc301781619"/>
            <w:bookmarkStart w:id="167" w:name="_Toc254970737"/>
            <w:bookmarkStart w:id="168" w:name="_Toc173211908"/>
            <w:bookmarkStart w:id="169" w:name="_Toc373333697"/>
            <w:bookmarkStart w:id="170" w:name="_Toc297193193"/>
            <w:bookmarkStart w:id="171" w:name="_Toc254970596"/>
            <w:bookmarkStart w:id="172" w:name="_Toc383699914"/>
            <w:bookmarkStart w:id="173" w:name="_Toc295404989"/>
            <w:r>
              <w:rPr>
                <w:rFonts w:hint="eastAsia" w:ascii="宋体" w:hAnsi="宋体" w:eastAsia="宋体" w:cs="宋体"/>
                <w:color w:val="auto"/>
                <w:kern w:val="2"/>
                <w:sz w:val="24"/>
                <w:szCs w:val="24"/>
                <w:highlight w:val="none"/>
              </w:rPr>
              <w:t>4</w:t>
            </w:r>
            <w:bookmarkEnd w:id="165"/>
            <w:bookmarkEnd w:id="166"/>
            <w:bookmarkEnd w:id="167"/>
            <w:bookmarkEnd w:id="168"/>
            <w:bookmarkEnd w:id="169"/>
            <w:bookmarkEnd w:id="170"/>
            <w:bookmarkEnd w:id="171"/>
            <w:bookmarkEnd w:id="172"/>
            <w:bookmarkEnd w:id="173"/>
          </w:p>
        </w:tc>
        <w:tc>
          <w:tcPr>
            <w:tcW w:w="900" w:type="dxa"/>
            <w:tcBorders>
              <w:right w:val="single" w:color="auto" w:sz="4" w:space="0"/>
            </w:tcBorders>
            <w:noWrap w:val="0"/>
            <w:vAlign w:val="center"/>
          </w:tcPr>
          <w:p w14:paraId="49C0BD72">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989" w:type="dxa"/>
            <w:tcBorders>
              <w:left w:val="single" w:color="auto" w:sz="4" w:space="0"/>
            </w:tcBorders>
            <w:noWrap w:val="0"/>
            <w:vAlign w:val="center"/>
          </w:tcPr>
          <w:p w14:paraId="75D075D8">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690" w:type="dxa"/>
            <w:noWrap w:val="0"/>
            <w:vAlign w:val="center"/>
          </w:tcPr>
          <w:p w14:paraId="66C4AD52">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67" w:type="dxa"/>
            <w:noWrap w:val="0"/>
            <w:vAlign w:val="center"/>
          </w:tcPr>
          <w:p w14:paraId="479035C4">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r>
      <w:tr w14:paraId="5244F1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3423CDB9">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74" w:name="_Toc383699915"/>
            <w:bookmarkStart w:id="175" w:name="_Toc373333698"/>
            <w:bookmarkStart w:id="176" w:name="_Toc254970597"/>
            <w:bookmarkStart w:id="177" w:name="_Toc297193194"/>
            <w:bookmarkStart w:id="178" w:name="_Toc173211909"/>
            <w:bookmarkStart w:id="179" w:name="_Toc301781620"/>
            <w:bookmarkStart w:id="180" w:name="_Toc254970738"/>
            <w:bookmarkStart w:id="181" w:name="_Toc295404990"/>
            <w:bookmarkStart w:id="182" w:name="_Toc173066410"/>
            <w:r>
              <w:rPr>
                <w:rFonts w:hint="eastAsia" w:ascii="宋体" w:hAnsi="宋体" w:eastAsia="宋体" w:cs="宋体"/>
                <w:color w:val="auto"/>
                <w:kern w:val="2"/>
                <w:sz w:val="24"/>
                <w:szCs w:val="24"/>
                <w:highlight w:val="none"/>
              </w:rPr>
              <w:t>5</w:t>
            </w:r>
            <w:bookmarkEnd w:id="174"/>
            <w:bookmarkEnd w:id="175"/>
            <w:bookmarkEnd w:id="176"/>
            <w:bookmarkEnd w:id="177"/>
            <w:bookmarkEnd w:id="178"/>
            <w:bookmarkEnd w:id="179"/>
            <w:bookmarkEnd w:id="180"/>
            <w:bookmarkEnd w:id="181"/>
            <w:bookmarkEnd w:id="182"/>
          </w:p>
        </w:tc>
        <w:tc>
          <w:tcPr>
            <w:tcW w:w="900" w:type="dxa"/>
            <w:tcBorders>
              <w:right w:val="single" w:color="auto" w:sz="4" w:space="0"/>
            </w:tcBorders>
            <w:noWrap w:val="0"/>
            <w:vAlign w:val="center"/>
          </w:tcPr>
          <w:p w14:paraId="0F308A67">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989" w:type="dxa"/>
            <w:tcBorders>
              <w:left w:val="single" w:color="auto" w:sz="4" w:space="0"/>
            </w:tcBorders>
            <w:noWrap w:val="0"/>
            <w:vAlign w:val="center"/>
          </w:tcPr>
          <w:p w14:paraId="30B70967">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690" w:type="dxa"/>
            <w:noWrap w:val="0"/>
            <w:vAlign w:val="center"/>
          </w:tcPr>
          <w:p w14:paraId="470C449A">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67" w:type="dxa"/>
            <w:noWrap w:val="0"/>
            <w:vAlign w:val="center"/>
          </w:tcPr>
          <w:p w14:paraId="753405EF">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r>
      <w:tr w14:paraId="0831CC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noWrap w:val="0"/>
            <w:vAlign w:val="center"/>
          </w:tcPr>
          <w:p w14:paraId="76017F94">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83" w:name="_Toc295404991"/>
            <w:bookmarkStart w:id="184" w:name="_Toc173066415"/>
            <w:bookmarkStart w:id="185" w:name="_Toc173211914"/>
            <w:bookmarkStart w:id="186" w:name="_Toc373333699"/>
            <w:bookmarkStart w:id="187" w:name="_Toc254970743"/>
            <w:bookmarkStart w:id="188" w:name="_Toc383699916"/>
            <w:bookmarkStart w:id="189" w:name="_Toc301781621"/>
            <w:bookmarkStart w:id="190" w:name="_Toc254970602"/>
            <w:bookmarkStart w:id="191" w:name="_Toc297193195"/>
            <w:r>
              <w:rPr>
                <w:rFonts w:hint="eastAsia" w:ascii="宋体" w:hAnsi="宋体" w:eastAsia="宋体" w:cs="宋体"/>
                <w:color w:val="auto"/>
                <w:kern w:val="2"/>
                <w:sz w:val="24"/>
                <w:szCs w:val="24"/>
                <w:highlight w:val="none"/>
              </w:rPr>
              <w:t>…</w:t>
            </w:r>
            <w:bookmarkEnd w:id="183"/>
            <w:bookmarkEnd w:id="184"/>
            <w:bookmarkEnd w:id="185"/>
            <w:bookmarkEnd w:id="186"/>
            <w:bookmarkEnd w:id="187"/>
            <w:bookmarkEnd w:id="188"/>
            <w:bookmarkEnd w:id="189"/>
            <w:bookmarkEnd w:id="190"/>
            <w:bookmarkEnd w:id="191"/>
          </w:p>
        </w:tc>
        <w:tc>
          <w:tcPr>
            <w:tcW w:w="900" w:type="dxa"/>
            <w:tcBorders>
              <w:right w:val="single" w:color="auto" w:sz="4" w:space="0"/>
            </w:tcBorders>
            <w:noWrap w:val="0"/>
            <w:vAlign w:val="center"/>
          </w:tcPr>
          <w:p w14:paraId="04A20021">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989" w:type="dxa"/>
            <w:tcBorders>
              <w:left w:val="single" w:color="auto" w:sz="4" w:space="0"/>
            </w:tcBorders>
            <w:noWrap w:val="0"/>
            <w:vAlign w:val="center"/>
          </w:tcPr>
          <w:p w14:paraId="0D7AE6ED">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690" w:type="dxa"/>
            <w:noWrap w:val="0"/>
            <w:vAlign w:val="center"/>
          </w:tcPr>
          <w:p w14:paraId="4696B98F">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67" w:type="dxa"/>
            <w:tcBorders>
              <w:right w:val="single" w:color="auto" w:sz="4" w:space="0"/>
            </w:tcBorders>
            <w:noWrap w:val="0"/>
            <w:vAlign w:val="center"/>
          </w:tcPr>
          <w:p w14:paraId="4F5AF348">
            <w:pPr>
              <w:pStyle w:val="11"/>
              <w:spacing w:line="360" w:lineRule="auto"/>
              <w:ind w:firstLine="0" w:firstLineChars="0"/>
              <w:contextualSpacing/>
              <w:jc w:val="center"/>
              <w:rPr>
                <w:rFonts w:hint="eastAsia" w:ascii="宋体" w:hAnsi="宋体" w:eastAsia="宋体" w:cs="宋体"/>
                <w:color w:val="auto"/>
                <w:kern w:val="2"/>
                <w:sz w:val="24"/>
                <w:szCs w:val="24"/>
                <w:highlight w:val="none"/>
              </w:rPr>
            </w:pPr>
          </w:p>
        </w:tc>
      </w:tr>
    </w:tbl>
    <w:p w14:paraId="6A49269C">
      <w:pPr>
        <w:adjustRightInd w:val="0"/>
        <w:spacing w:line="360" w:lineRule="auto"/>
        <w:contextualSpacing/>
        <w:rPr>
          <w:rFonts w:hint="eastAsia" w:ascii="宋体" w:hAnsi="宋体" w:cs="宋体"/>
          <w:color w:val="auto"/>
          <w:sz w:val="24"/>
          <w:highlight w:val="none"/>
        </w:rPr>
      </w:pPr>
    </w:p>
    <w:p w14:paraId="70FBC88B">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7E4F8B3">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说明：应对照磋商文件“第三章 </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采购需求”中的服务需求逐条作出明确响应，并作出偏离说明。</w:t>
      </w:r>
    </w:p>
    <w:p w14:paraId="1225D8DE">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w:t>
      </w:r>
    </w:p>
    <w:p w14:paraId="2A2F5667">
      <w:pPr>
        <w:pStyle w:val="14"/>
        <w:spacing w:line="360" w:lineRule="auto"/>
        <w:contextualSpacing/>
        <w:rPr>
          <w:rFonts w:hint="eastAsia" w:hAnsi="宋体" w:cs="宋体"/>
          <w:color w:val="auto"/>
          <w:sz w:val="24"/>
          <w:szCs w:val="24"/>
          <w:highlight w:val="none"/>
        </w:rPr>
      </w:pPr>
    </w:p>
    <w:p w14:paraId="1136D3E6">
      <w:pPr>
        <w:spacing w:line="360" w:lineRule="auto"/>
        <w:ind w:right="-817" w:rightChars="-389"/>
        <w:contextualSpacing/>
        <w:rPr>
          <w:rFonts w:hint="eastAsia" w:ascii="宋体" w:hAnsi="宋体" w:cs="宋体"/>
          <w:color w:val="auto"/>
          <w:sz w:val="24"/>
          <w:highlight w:val="none"/>
        </w:rPr>
      </w:pPr>
    </w:p>
    <w:p w14:paraId="66CD2D73">
      <w:pPr>
        <w:spacing w:line="360" w:lineRule="auto"/>
        <w:ind w:right="-817" w:rightChars="-389" w:firstLine="960" w:firstLineChars="400"/>
        <w:contextualSpacing/>
        <w:rPr>
          <w:rFonts w:hint="eastAsia" w:ascii="宋体" w:hAnsi="宋体" w:cs="宋体"/>
          <w:color w:val="auto"/>
          <w:sz w:val="24"/>
          <w:highlight w:val="none"/>
        </w:rPr>
      </w:pPr>
      <w:r>
        <w:rPr>
          <w:rFonts w:hint="eastAsia" w:ascii="宋体" w:hAnsi="宋体" w:cs="宋体"/>
          <w:color w:val="auto"/>
          <w:sz w:val="24"/>
          <w:highlight w:val="none"/>
        </w:rPr>
        <w:t xml:space="preserve">法定代表人或者委托代理人（签字）：                    </w:t>
      </w:r>
    </w:p>
    <w:p w14:paraId="1169AE4F">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供应商（盖公章）：      </w:t>
      </w:r>
    </w:p>
    <w:p w14:paraId="78CB363E">
      <w:pPr>
        <w:spacing w:line="360" w:lineRule="auto"/>
        <w:ind w:right="-817" w:rightChars="-389" w:firstLine="4080" w:firstLineChars="1700"/>
        <w:contextualSpacing/>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7ABE400A">
      <w:pPr>
        <w:snapToGrid w:val="0"/>
        <w:spacing w:before="156" w:beforeLines="50" w:after="50"/>
        <w:ind w:left="142"/>
        <w:jc w:val="left"/>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1BED2468">
      <w:pPr>
        <w:snapToGrid w:val="0"/>
        <w:spacing w:before="156" w:beforeLines="50" w:after="50"/>
        <w:ind w:left="142"/>
        <w:jc w:val="left"/>
        <w:rPr>
          <w:rFonts w:hint="eastAsia" w:ascii="宋体" w:hAnsi="宋体" w:cs="宋体"/>
          <w:b/>
          <w:color w:val="auto"/>
          <w:sz w:val="24"/>
          <w:highlight w:val="none"/>
        </w:rPr>
      </w:pPr>
    </w:p>
    <w:p w14:paraId="57C1A02C">
      <w:pPr>
        <w:adjustRightInd w:val="0"/>
        <w:snapToGrid w:val="0"/>
        <w:spacing w:line="30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项目实施人员一览表</w:t>
      </w:r>
    </w:p>
    <w:p w14:paraId="512CCF7F">
      <w:pPr>
        <w:pStyle w:val="14"/>
        <w:spacing w:line="360" w:lineRule="auto"/>
        <w:contextualSpacing/>
        <w:rPr>
          <w:rFonts w:hint="eastAsia"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无  </w:t>
      </w:r>
      <w:r>
        <w:rPr>
          <w:rFonts w:hint="eastAsia" w:hAnsi="宋体" w:cs="宋体"/>
          <w:color w:val="auto"/>
          <w:sz w:val="24"/>
          <w:szCs w:val="24"/>
          <w:highlight w:val="none"/>
        </w:rPr>
        <w:t>分标</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2836"/>
      </w:tblGrid>
      <w:tr w14:paraId="453B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DF37328">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noWrap w:val="0"/>
            <w:vAlign w:val="center"/>
          </w:tcPr>
          <w:p w14:paraId="4C2B8BD4">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noWrap w:val="0"/>
            <w:vAlign w:val="center"/>
          </w:tcPr>
          <w:p w14:paraId="2879EEB8">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专业技术资格（职称）或者</w:t>
            </w:r>
            <w:r>
              <w:rPr>
                <w:rFonts w:hint="eastAsia" w:ascii="宋体" w:hAnsi="宋体" w:cs="宋体"/>
                <w:color w:val="auto"/>
                <w:sz w:val="24"/>
                <w:szCs w:val="20"/>
                <w:highlight w:val="none"/>
                <w:lang w:val="en-US" w:eastAsia="zh-CN"/>
              </w:rPr>
              <w:t>毕业证</w:t>
            </w:r>
            <w:r>
              <w:rPr>
                <w:rFonts w:hint="eastAsia" w:ascii="宋体" w:hAnsi="宋体" w:cs="宋体"/>
                <w:color w:val="auto"/>
                <w:sz w:val="24"/>
                <w:szCs w:val="20"/>
                <w:highlight w:val="none"/>
              </w:rPr>
              <w:t>或者其他证书</w:t>
            </w:r>
          </w:p>
        </w:tc>
        <w:tc>
          <w:tcPr>
            <w:tcW w:w="1420" w:type="dxa"/>
            <w:noWrap w:val="0"/>
            <w:vAlign w:val="center"/>
          </w:tcPr>
          <w:p w14:paraId="1D84A0CD">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noWrap w:val="0"/>
            <w:vAlign w:val="center"/>
          </w:tcPr>
          <w:p w14:paraId="497693A2">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参加本单位</w:t>
            </w:r>
          </w:p>
          <w:p w14:paraId="1013252D">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2836" w:type="dxa"/>
            <w:noWrap w:val="0"/>
            <w:vAlign w:val="center"/>
          </w:tcPr>
          <w:p w14:paraId="61F3E5A9">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633C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6E64502">
            <w:pPr>
              <w:spacing w:line="360" w:lineRule="auto"/>
              <w:contextualSpacing/>
              <w:jc w:val="center"/>
              <w:rPr>
                <w:rFonts w:hint="eastAsia" w:ascii="宋体" w:hAnsi="宋体" w:cs="宋体"/>
                <w:color w:val="auto"/>
                <w:sz w:val="24"/>
                <w:szCs w:val="20"/>
                <w:highlight w:val="none"/>
              </w:rPr>
            </w:pPr>
          </w:p>
        </w:tc>
        <w:tc>
          <w:tcPr>
            <w:tcW w:w="709" w:type="dxa"/>
            <w:noWrap w:val="0"/>
            <w:vAlign w:val="center"/>
          </w:tcPr>
          <w:p w14:paraId="7ABF1935">
            <w:pPr>
              <w:spacing w:line="360" w:lineRule="auto"/>
              <w:contextualSpacing/>
              <w:jc w:val="center"/>
              <w:rPr>
                <w:rFonts w:hint="eastAsia" w:ascii="宋体" w:hAnsi="宋体" w:cs="宋体"/>
                <w:color w:val="auto"/>
                <w:sz w:val="24"/>
                <w:szCs w:val="20"/>
                <w:highlight w:val="none"/>
              </w:rPr>
            </w:pPr>
          </w:p>
        </w:tc>
        <w:tc>
          <w:tcPr>
            <w:tcW w:w="1701" w:type="dxa"/>
            <w:noWrap w:val="0"/>
            <w:vAlign w:val="center"/>
          </w:tcPr>
          <w:p w14:paraId="2EB24851">
            <w:pPr>
              <w:spacing w:line="360" w:lineRule="auto"/>
              <w:contextualSpacing/>
              <w:jc w:val="center"/>
              <w:rPr>
                <w:rFonts w:hint="eastAsia" w:ascii="宋体" w:hAnsi="宋体" w:cs="宋体"/>
                <w:color w:val="auto"/>
                <w:sz w:val="24"/>
                <w:szCs w:val="20"/>
                <w:highlight w:val="none"/>
              </w:rPr>
            </w:pPr>
          </w:p>
        </w:tc>
        <w:tc>
          <w:tcPr>
            <w:tcW w:w="1420" w:type="dxa"/>
            <w:noWrap w:val="0"/>
            <w:vAlign w:val="center"/>
          </w:tcPr>
          <w:p w14:paraId="65AC0B6B">
            <w:pPr>
              <w:spacing w:line="360" w:lineRule="auto"/>
              <w:contextualSpacing/>
              <w:jc w:val="center"/>
              <w:rPr>
                <w:rFonts w:hint="eastAsia" w:ascii="宋体" w:hAnsi="宋体" w:cs="宋体"/>
                <w:color w:val="auto"/>
                <w:sz w:val="24"/>
                <w:szCs w:val="20"/>
                <w:highlight w:val="none"/>
              </w:rPr>
            </w:pPr>
          </w:p>
        </w:tc>
        <w:tc>
          <w:tcPr>
            <w:tcW w:w="1698" w:type="dxa"/>
            <w:noWrap w:val="0"/>
            <w:vAlign w:val="center"/>
          </w:tcPr>
          <w:p w14:paraId="30F994C9">
            <w:pPr>
              <w:spacing w:line="360" w:lineRule="auto"/>
              <w:contextualSpacing/>
              <w:jc w:val="center"/>
              <w:rPr>
                <w:rFonts w:hint="eastAsia" w:ascii="宋体" w:hAnsi="宋体" w:cs="宋体"/>
                <w:color w:val="auto"/>
                <w:sz w:val="24"/>
                <w:szCs w:val="20"/>
                <w:highlight w:val="none"/>
              </w:rPr>
            </w:pPr>
          </w:p>
        </w:tc>
        <w:tc>
          <w:tcPr>
            <w:tcW w:w="2836" w:type="dxa"/>
            <w:noWrap w:val="0"/>
            <w:vAlign w:val="center"/>
          </w:tcPr>
          <w:p w14:paraId="3519F063">
            <w:pPr>
              <w:spacing w:line="360" w:lineRule="auto"/>
              <w:contextualSpacing/>
              <w:jc w:val="center"/>
              <w:rPr>
                <w:rFonts w:hint="eastAsia" w:ascii="宋体" w:hAnsi="宋体" w:cs="宋体"/>
                <w:color w:val="auto"/>
                <w:sz w:val="24"/>
                <w:szCs w:val="20"/>
                <w:highlight w:val="none"/>
              </w:rPr>
            </w:pPr>
          </w:p>
        </w:tc>
      </w:tr>
      <w:tr w14:paraId="15D8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FC8C641">
            <w:pPr>
              <w:spacing w:line="360" w:lineRule="auto"/>
              <w:contextualSpacing/>
              <w:jc w:val="center"/>
              <w:rPr>
                <w:rFonts w:hint="eastAsia" w:ascii="宋体" w:hAnsi="宋体" w:cs="宋体"/>
                <w:color w:val="auto"/>
                <w:sz w:val="24"/>
                <w:szCs w:val="20"/>
                <w:highlight w:val="none"/>
              </w:rPr>
            </w:pPr>
          </w:p>
        </w:tc>
        <w:tc>
          <w:tcPr>
            <w:tcW w:w="709" w:type="dxa"/>
            <w:noWrap w:val="0"/>
            <w:vAlign w:val="center"/>
          </w:tcPr>
          <w:p w14:paraId="2CA1F89E">
            <w:pPr>
              <w:spacing w:line="360" w:lineRule="auto"/>
              <w:contextualSpacing/>
              <w:jc w:val="center"/>
              <w:rPr>
                <w:rFonts w:hint="eastAsia" w:ascii="宋体" w:hAnsi="宋体" w:cs="宋体"/>
                <w:color w:val="auto"/>
                <w:sz w:val="24"/>
                <w:szCs w:val="20"/>
                <w:highlight w:val="none"/>
              </w:rPr>
            </w:pPr>
          </w:p>
        </w:tc>
        <w:tc>
          <w:tcPr>
            <w:tcW w:w="1701" w:type="dxa"/>
            <w:noWrap w:val="0"/>
            <w:vAlign w:val="center"/>
          </w:tcPr>
          <w:p w14:paraId="02DD7F69">
            <w:pPr>
              <w:spacing w:line="360" w:lineRule="auto"/>
              <w:contextualSpacing/>
              <w:jc w:val="center"/>
              <w:rPr>
                <w:rFonts w:hint="eastAsia" w:ascii="宋体" w:hAnsi="宋体" w:cs="宋体"/>
                <w:color w:val="auto"/>
                <w:sz w:val="24"/>
                <w:szCs w:val="20"/>
                <w:highlight w:val="none"/>
              </w:rPr>
            </w:pPr>
          </w:p>
        </w:tc>
        <w:tc>
          <w:tcPr>
            <w:tcW w:w="1420" w:type="dxa"/>
            <w:noWrap w:val="0"/>
            <w:vAlign w:val="center"/>
          </w:tcPr>
          <w:p w14:paraId="233CA1F3">
            <w:pPr>
              <w:spacing w:line="360" w:lineRule="auto"/>
              <w:contextualSpacing/>
              <w:jc w:val="center"/>
              <w:rPr>
                <w:rFonts w:hint="eastAsia" w:ascii="宋体" w:hAnsi="宋体" w:cs="宋体"/>
                <w:color w:val="auto"/>
                <w:sz w:val="24"/>
                <w:szCs w:val="20"/>
                <w:highlight w:val="none"/>
              </w:rPr>
            </w:pPr>
          </w:p>
        </w:tc>
        <w:tc>
          <w:tcPr>
            <w:tcW w:w="1698" w:type="dxa"/>
            <w:noWrap w:val="0"/>
            <w:vAlign w:val="center"/>
          </w:tcPr>
          <w:p w14:paraId="2E8C7772">
            <w:pPr>
              <w:spacing w:line="360" w:lineRule="auto"/>
              <w:contextualSpacing/>
              <w:jc w:val="center"/>
              <w:rPr>
                <w:rFonts w:hint="eastAsia" w:ascii="宋体" w:hAnsi="宋体" w:cs="宋体"/>
                <w:color w:val="auto"/>
                <w:sz w:val="24"/>
                <w:szCs w:val="20"/>
                <w:highlight w:val="none"/>
              </w:rPr>
            </w:pPr>
          </w:p>
        </w:tc>
        <w:tc>
          <w:tcPr>
            <w:tcW w:w="2836" w:type="dxa"/>
            <w:noWrap w:val="0"/>
            <w:vAlign w:val="center"/>
          </w:tcPr>
          <w:p w14:paraId="71FB7EF0">
            <w:pPr>
              <w:spacing w:line="360" w:lineRule="auto"/>
              <w:contextualSpacing/>
              <w:jc w:val="center"/>
              <w:rPr>
                <w:rFonts w:hint="eastAsia" w:ascii="宋体" w:hAnsi="宋体" w:cs="宋体"/>
                <w:color w:val="auto"/>
                <w:sz w:val="24"/>
                <w:szCs w:val="20"/>
                <w:highlight w:val="none"/>
              </w:rPr>
            </w:pPr>
          </w:p>
        </w:tc>
      </w:tr>
      <w:tr w14:paraId="066D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700216E">
            <w:pPr>
              <w:spacing w:line="360" w:lineRule="auto"/>
              <w:contextualSpacing/>
              <w:jc w:val="center"/>
              <w:rPr>
                <w:rFonts w:hint="eastAsia" w:ascii="宋体" w:hAnsi="宋体" w:cs="宋体"/>
                <w:color w:val="auto"/>
                <w:sz w:val="24"/>
                <w:szCs w:val="20"/>
                <w:highlight w:val="none"/>
              </w:rPr>
            </w:pPr>
          </w:p>
        </w:tc>
        <w:tc>
          <w:tcPr>
            <w:tcW w:w="709" w:type="dxa"/>
            <w:noWrap w:val="0"/>
            <w:vAlign w:val="center"/>
          </w:tcPr>
          <w:p w14:paraId="1F2B7BA5">
            <w:pPr>
              <w:spacing w:line="360" w:lineRule="auto"/>
              <w:contextualSpacing/>
              <w:jc w:val="center"/>
              <w:rPr>
                <w:rFonts w:hint="eastAsia" w:ascii="宋体" w:hAnsi="宋体" w:cs="宋体"/>
                <w:color w:val="auto"/>
                <w:sz w:val="24"/>
                <w:szCs w:val="20"/>
                <w:highlight w:val="none"/>
              </w:rPr>
            </w:pPr>
          </w:p>
        </w:tc>
        <w:tc>
          <w:tcPr>
            <w:tcW w:w="1701" w:type="dxa"/>
            <w:noWrap w:val="0"/>
            <w:vAlign w:val="center"/>
          </w:tcPr>
          <w:p w14:paraId="4EA8812A">
            <w:pPr>
              <w:spacing w:line="360" w:lineRule="auto"/>
              <w:contextualSpacing/>
              <w:jc w:val="center"/>
              <w:rPr>
                <w:rFonts w:hint="eastAsia" w:ascii="宋体" w:hAnsi="宋体" w:cs="宋体"/>
                <w:color w:val="auto"/>
                <w:sz w:val="24"/>
                <w:szCs w:val="20"/>
                <w:highlight w:val="none"/>
              </w:rPr>
            </w:pPr>
          </w:p>
        </w:tc>
        <w:tc>
          <w:tcPr>
            <w:tcW w:w="1420" w:type="dxa"/>
            <w:noWrap w:val="0"/>
            <w:vAlign w:val="center"/>
          </w:tcPr>
          <w:p w14:paraId="4849CCD9">
            <w:pPr>
              <w:spacing w:line="360" w:lineRule="auto"/>
              <w:contextualSpacing/>
              <w:jc w:val="center"/>
              <w:rPr>
                <w:rFonts w:hint="eastAsia" w:ascii="宋体" w:hAnsi="宋体" w:cs="宋体"/>
                <w:color w:val="auto"/>
                <w:sz w:val="24"/>
                <w:szCs w:val="20"/>
                <w:highlight w:val="none"/>
              </w:rPr>
            </w:pPr>
          </w:p>
        </w:tc>
        <w:tc>
          <w:tcPr>
            <w:tcW w:w="1698" w:type="dxa"/>
            <w:noWrap w:val="0"/>
            <w:vAlign w:val="center"/>
          </w:tcPr>
          <w:p w14:paraId="5C5735A0">
            <w:pPr>
              <w:spacing w:line="360" w:lineRule="auto"/>
              <w:contextualSpacing/>
              <w:jc w:val="center"/>
              <w:rPr>
                <w:rFonts w:hint="eastAsia" w:ascii="宋体" w:hAnsi="宋体" w:cs="宋体"/>
                <w:color w:val="auto"/>
                <w:sz w:val="24"/>
                <w:szCs w:val="20"/>
                <w:highlight w:val="none"/>
              </w:rPr>
            </w:pPr>
          </w:p>
        </w:tc>
        <w:tc>
          <w:tcPr>
            <w:tcW w:w="2836" w:type="dxa"/>
            <w:noWrap w:val="0"/>
            <w:vAlign w:val="center"/>
          </w:tcPr>
          <w:p w14:paraId="0766798A">
            <w:pPr>
              <w:spacing w:line="360" w:lineRule="auto"/>
              <w:contextualSpacing/>
              <w:jc w:val="center"/>
              <w:rPr>
                <w:rFonts w:hint="eastAsia" w:ascii="宋体" w:hAnsi="宋体" w:cs="宋体"/>
                <w:color w:val="auto"/>
                <w:sz w:val="24"/>
                <w:szCs w:val="20"/>
                <w:highlight w:val="none"/>
              </w:rPr>
            </w:pPr>
          </w:p>
        </w:tc>
      </w:tr>
    </w:tbl>
    <w:p w14:paraId="15BC8827">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注：在填写时，如本表格不适合供应商的实际情况，可根据本表格式自行制表填写。</w:t>
      </w:r>
    </w:p>
    <w:p w14:paraId="4A5C8D3C">
      <w:pPr>
        <w:spacing w:line="360" w:lineRule="auto"/>
        <w:contextualSpacing/>
        <w:rPr>
          <w:rFonts w:hint="eastAsia" w:ascii="宋体" w:hAnsi="宋体" w:cs="宋体"/>
          <w:color w:val="auto"/>
          <w:sz w:val="24"/>
          <w:highlight w:val="none"/>
        </w:rPr>
      </w:pPr>
    </w:p>
    <w:p w14:paraId="581F53FC">
      <w:pPr>
        <w:spacing w:line="360" w:lineRule="auto"/>
        <w:contextualSpacing/>
        <w:rPr>
          <w:rFonts w:hint="eastAsia"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pacing w:val="20"/>
          <w:sz w:val="24"/>
          <w:highlight w:val="none"/>
          <w:u w:val="single"/>
        </w:rPr>
        <w:t xml:space="preserve">        </w:t>
      </w:r>
    </w:p>
    <w:p w14:paraId="219470F1">
      <w:pPr>
        <w:spacing w:line="360" w:lineRule="auto"/>
        <w:contextualSpacing/>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供应商（盖公章）：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6A5BB8BD">
      <w:pPr>
        <w:spacing w:line="360" w:lineRule="auto"/>
        <w:contextualSpacing/>
        <w:jc w:val="left"/>
        <w:rPr>
          <w:rFonts w:hint="eastAsia" w:ascii="宋体" w:hAnsi="宋体" w:cs="宋体"/>
          <w:color w:val="auto"/>
          <w:sz w:val="24"/>
          <w:szCs w:val="20"/>
          <w:highlight w:val="none"/>
        </w:rPr>
      </w:pPr>
      <w:r>
        <w:rPr>
          <w:rFonts w:hint="eastAsia" w:ascii="宋体" w:hAnsi="宋体" w:cs="宋体"/>
          <w:color w:val="auto"/>
          <w:spacing w:val="20"/>
          <w:sz w:val="24"/>
          <w:highlight w:val="none"/>
        </w:rPr>
        <w:t>日 期：</w:t>
      </w:r>
      <w:r>
        <w:rPr>
          <w:rFonts w:hint="eastAsia" w:ascii="宋体" w:hAnsi="宋体" w:cs="宋体"/>
          <w:color w:val="auto"/>
          <w:spacing w:val="20"/>
          <w:sz w:val="24"/>
          <w:highlight w:val="none"/>
          <w:u w:val="single"/>
        </w:rPr>
        <w:t xml:space="preserve">         </w:t>
      </w:r>
    </w:p>
    <w:p w14:paraId="38E64CA1">
      <w:pPr>
        <w:snapToGrid w:val="0"/>
        <w:spacing w:before="50" w:after="156" w:afterLines="50"/>
        <w:jc w:val="left"/>
        <w:rPr>
          <w:rFonts w:hint="eastAsia" w:ascii="宋体" w:hAnsi="宋体" w:cs="宋体"/>
          <w:color w:val="auto"/>
          <w:sz w:val="24"/>
          <w:szCs w:val="20"/>
          <w:highlight w:val="none"/>
        </w:rPr>
      </w:pPr>
    </w:p>
    <w:p w14:paraId="13ADF152">
      <w:pPr>
        <w:snapToGrid w:val="0"/>
        <w:spacing w:before="50" w:after="50" w:line="360" w:lineRule="auto"/>
        <w:ind w:right="-817" w:rightChars="-389" w:firstLine="5461" w:firstLineChars="1700"/>
        <w:rPr>
          <w:rFonts w:hint="eastAsia" w:ascii="宋体" w:hAnsi="宋体" w:cs="宋体"/>
          <w:b/>
          <w:color w:val="auto"/>
          <w:sz w:val="32"/>
          <w:szCs w:val="32"/>
          <w:highlight w:val="none"/>
        </w:rPr>
      </w:pPr>
    </w:p>
    <w:p w14:paraId="7A767E07">
      <w:pPr>
        <w:spacing w:line="520" w:lineRule="exact"/>
        <w:jc w:val="left"/>
        <w:rPr>
          <w:rFonts w:hint="eastAsia" w:ascii="宋体" w:hAnsi="宋体" w:cs="宋体"/>
          <w:color w:val="auto"/>
          <w:szCs w:val="21"/>
          <w:highlight w:val="none"/>
        </w:rPr>
      </w:pPr>
    </w:p>
    <w:p w14:paraId="2170C6F5">
      <w:pPr>
        <w:spacing w:line="300" w:lineRule="auto"/>
        <w:rPr>
          <w:rFonts w:hint="eastAsia" w:ascii="宋体" w:hAnsi="宋体" w:cs="宋体"/>
          <w:color w:val="auto"/>
          <w:szCs w:val="21"/>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其他文书、文件格式</w:t>
      </w:r>
    </w:p>
    <w:p w14:paraId="59758D4F">
      <w:pPr>
        <w:pStyle w:val="3"/>
        <w:spacing w:before="146" w:line="500" w:lineRule="exact"/>
        <w:ind w:right="142"/>
        <w:jc w:val="center"/>
        <w:rPr>
          <w:rFonts w:hint="eastAsia" w:ascii="宋体" w:hAnsi="宋体" w:cs="宋体"/>
          <w:b w:val="0"/>
          <w:bCs w:val="0"/>
          <w:color w:val="auto"/>
          <w:highlight w:val="none"/>
        </w:rPr>
      </w:pPr>
      <w:bookmarkStart w:id="192" w:name="_Toc11852"/>
      <w:r>
        <w:rPr>
          <w:rFonts w:hint="eastAsia" w:ascii="宋体" w:hAnsi="宋体" w:cs="宋体"/>
          <w:color w:val="auto"/>
          <w:highlight w:val="none"/>
        </w:rPr>
        <w:t>中小企业声明函（服务）</w:t>
      </w:r>
      <w:bookmarkEnd w:id="192"/>
    </w:p>
    <w:p w14:paraId="785830EA">
      <w:pPr>
        <w:spacing w:before="2" w:line="500" w:lineRule="exact"/>
        <w:ind w:firstLine="708" w:firstLineChars="294"/>
        <w:rPr>
          <w:rFonts w:hint="eastAsia" w:ascii="宋体" w:hAnsi="宋体" w:cs="宋体"/>
          <w:b/>
          <w:bCs/>
          <w:color w:val="auto"/>
          <w:sz w:val="24"/>
          <w:highlight w:val="none"/>
        </w:rPr>
      </w:pPr>
    </w:p>
    <w:p w14:paraId="24599A1E">
      <w:pPr>
        <w:pStyle w:val="10"/>
        <w:spacing w:line="500" w:lineRule="exact"/>
        <w:ind w:right="142" w:firstLine="705" w:firstLineChars="294"/>
        <w:rPr>
          <w:rFonts w:hint="eastAsia" w:ascii="宋体" w:hAnsi="宋体" w:cs="宋体"/>
          <w:color w:val="auto"/>
          <w:sz w:val="24"/>
          <w:highlight w:val="none"/>
        </w:rPr>
      </w:pPr>
      <w:r>
        <w:rPr>
          <w:rFonts w:hint="eastAsia" w:ascii="宋体" w:hAnsi="宋体" w:cs="宋体"/>
          <w:color w:val="auto"/>
          <w:sz w:val="24"/>
          <w:highlight w:val="none"/>
        </w:rPr>
        <w:t>本公司（联合体）郑重声明，依照《政府采购促进中小企业发展管理办法》（财库﹝2020﹞46号）的规定，本公司（联合体）参加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6A77B879">
      <w:pPr>
        <w:tabs>
          <w:tab w:val="left" w:pos="1384"/>
          <w:tab w:val="left" w:pos="4562"/>
          <w:tab w:val="left" w:pos="6803"/>
        </w:tabs>
        <w:spacing w:before="13" w:line="500" w:lineRule="exact"/>
        <w:ind w:right="142" w:firstLine="772" w:firstLineChars="322"/>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17773A54">
      <w:pPr>
        <w:tabs>
          <w:tab w:val="left" w:pos="1065"/>
          <w:tab w:val="left" w:pos="4262"/>
          <w:tab w:val="left" w:pos="6477"/>
        </w:tabs>
        <w:spacing w:before="20" w:line="500" w:lineRule="exact"/>
        <w:ind w:right="84" w:firstLine="772" w:firstLineChars="322"/>
        <w:rPr>
          <w:rFonts w:hint="eastAsia"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51BE0ED4">
      <w:pPr>
        <w:pStyle w:val="10"/>
        <w:spacing w:before="34" w:line="500" w:lineRule="exact"/>
        <w:ind w:right="142" w:firstLine="705" w:firstLineChars="294"/>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E0BAED2">
      <w:pPr>
        <w:pStyle w:val="10"/>
        <w:spacing w:before="34" w:line="500" w:lineRule="exact"/>
        <w:ind w:right="142" w:firstLine="705" w:firstLineChars="294"/>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6C23EC50">
      <w:pPr>
        <w:pStyle w:val="10"/>
        <w:spacing w:before="25" w:line="500" w:lineRule="exact"/>
        <w:ind w:right="142" w:firstLine="705" w:firstLineChars="294"/>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70A119C7">
      <w:pPr>
        <w:pStyle w:val="10"/>
        <w:spacing w:before="56" w:line="500" w:lineRule="exact"/>
        <w:ind w:right="1808" w:firstLine="705" w:firstLineChars="294"/>
        <w:rPr>
          <w:rFonts w:hint="eastAsia" w:ascii="宋体" w:hAnsi="宋体" w:cs="宋体"/>
          <w:color w:val="auto"/>
          <w:sz w:val="24"/>
          <w:highlight w:val="none"/>
        </w:rPr>
      </w:pPr>
    </w:p>
    <w:p w14:paraId="2602E89E">
      <w:pPr>
        <w:pStyle w:val="10"/>
        <w:spacing w:before="56" w:line="500" w:lineRule="exact"/>
        <w:ind w:right="650" w:firstLine="5625" w:firstLineChars="2344"/>
        <w:rPr>
          <w:rFonts w:hint="eastAsia" w:ascii="宋体" w:hAnsi="宋体" w:cs="宋体"/>
          <w:color w:val="auto"/>
          <w:sz w:val="24"/>
          <w:highlight w:val="none"/>
        </w:rPr>
      </w:pPr>
      <w:r>
        <w:rPr>
          <w:rFonts w:hint="eastAsia" w:ascii="宋体" w:hAnsi="宋体" w:cs="宋体"/>
          <w:color w:val="auto"/>
          <w:sz w:val="24"/>
          <w:highlight w:val="none"/>
        </w:rPr>
        <w:t xml:space="preserve">企业名称（章）： </w:t>
      </w:r>
    </w:p>
    <w:p w14:paraId="6685050C">
      <w:pPr>
        <w:pStyle w:val="10"/>
        <w:spacing w:before="56" w:line="500" w:lineRule="exact"/>
        <w:ind w:right="1808" w:firstLine="5625" w:firstLineChars="2344"/>
        <w:rPr>
          <w:rFonts w:hint="eastAsia" w:ascii="宋体" w:hAnsi="宋体" w:cs="宋体"/>
          <w:color w:val="auto"/>
          <w:sz w:val="24"/>
          <w:highlight w:val="none"/>
        </w:rPr>
      </w:pPr>
      <w:r>
        <w:rPr>
          <w:rFonts w:hint="eastAsia" w:ascii="宋体" w:hAnsi="宋体" w:cs="宋体"/>
          <w:color w:val="auto"/>
          <w:sz w:val="24"/>
          <w:highlight w:val="none"/>
        </w:rPr>
        <w:t>日 期：</w:t>
      </w:r>
    </w:p>
    <w:p w14:paraId="41647523">
      <w:pPr>
        <w:spacing w:line="520" w:lineRule="exact"/>
        <w:jc w:val="left"/>
        <w:rPr>
          <w:rFonts w:hint="eastAsia" w:ascii="宋体" w:hAnsi="宋体" w:cs="宋体"/>
          <w:color w:val="auto"/>
          <w:szCs w:val="21"/>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FCE3E00">
      <w:pPr>
        <w:pStyle w:val="3"/>
        <w:spacing w:before="146" w:line="500" w:lineRule="exact"/>
        <w:ind w:right="142"/>
        <w:jc w:val="center"/>
        <w:rPr>
          <w:rFonts w:hint="eastAsia" w:ascii="宋体" w:hAnsi="宋体" w:cs="宋体"/>
          <w:color w:val="auto"/>
          <w:sz w:val="32"/>
          <w:szCs w:val="32"/>
          <w:highlight w:val="none"/>
        </w:rPr>
      </w:pPr>
      <w:r>
        <w:rPr>
          <w:rFonts w:hint="eastAsia" w:ascii="宋体" w:hAnsi="宋体" w:cs="宋体"/>
          <w:color w:val="auto"/>
          <w:sz w:val="24"/>
          <w:highlight w:val="none"/>
        </w:rPr>
        <w:br w:type="page"/>
      </w:r>
      <w:bookmarkStart w:id="193" w:name="_Toc718"/>
      <w:r>
        <w:rPr>
          <w:rFonts w:hint="eastAsia" w:ascii="宋体" w:hAnsi="宋体" w:eastAsia="宋体" w:cs="宋体"/>
          <w:color w:val="auto"/>
          <w:highlight w:val="none"/>
        </w:rPr>
        <w:t>残疾人福利性单位声明函</w:t>
      </w:r>
      <w:bookmarkEnd w:id="193"/>
    </w:p>
    <w:p w14:paraId="151537B5">
      <w:pPr>
        <w:spacing w:line="360" w:lineRule="auto"/>
        <w:contextualSpacing/>
        <w:rPr>
          <w:rFonts w:hint="eastAsia" w:ascii="宋体" w:hAnsi="宋体" w:cs="宋体"/>
          <w:color w:val="auto"/>
          <w:sz w:val="32"/>
          <w:szCs w:val="32"/>
          <w:highlight w:val="none"/>
        </w:rPr>
      </w:pPr>
    </w:p>
    <w:p w14:paraId="0C63313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本单位郑重声明，依照《财政部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B61E04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B00BCD4">
      <w:pPr>
        <w:spacing w:line="360" w:lineRule="auto"/>
        <w:contextualSpacing/>
        <w:rPr>
          <w:rFonts w:hint="eastAsia" w:ascii="宋体" w:hAnsi="宋体" w:cs="宋体"/>
          <w:color w:val="auto"/>
          <w:sz w:val="24"/>
          <w:highlight w:val="none"/>
        </w:rPr>
      </w:pPr>
    </w:p>
    <w:p w14:paraId="068063ED">
      <w:pPr>
        <w:spacing w:line="360" w:lineRule="auto"/>
        <w:contextualSpacing/>
        <w:rPr>
          <w:rFonts w:hint="eastAsia" w:ascii="宋体" w:hAnsi="宋体" w:cs="宋体"/>
          <w:color w:val="auto"/>
          <w:sz w:val="24"/>
          <w:highlight w:val="none"/>
        </w:rPr>
      </w:pPr>
    </w:p>
    <w:p w14:paraId="071790DC">
      <w:pPr>
        <w:spacing w:line="360" w:lineRule="auto"/>
        <w:contextualSpacing/>
        <w:rPr>
          <w:rFonts w:hint="eastAsia" w:ascii="宋体" w:hAnsi="宋体" w:cs="宋体"/>
          <w:color w:val="auto"/>
          <w:sz w:val="24"/>
          <w:highlight w:val="none"/>
        </w:rPr>
      </w:pPr>
    </w:p>
    <w:p w14:paraId="75FC4868">
      <w:pPr>
        <w:spacing w:line="360" w:lineRule="auto"/>
        <w:ind w:firstLine="2400" w:firstLineChars="1000"/>
        <w:contextualSpacing/>
        <w:rPr>
          <w:rFonts w:hint="eastAsia" w:ascii="宋体" w:hAnsi="宋体" w:cs="宋体"/>
          <w:color w:val="auto"/>
          <w:sz w:val="24"/>
          <w:highlight w:val="none"/>
        </w:rPr>
      </w:pPr>
      <w:r>
        <w:rPr>
          <w:rFonts w:hint="eastAsia" w:ascii="宋体" w:hAnsi="宋体" w:cs="宋体"/>
          <w:color w:val="auto"/>
          <w:sz w:val="24"/>
          <w:highlight w:val="none"/>
        </w:rPr>
        <w:t>单位名称（盖章）：</w:t>
      </w:r>
    </w:p>
    <w:p w14:paraId="544B9577">
      <w:pPr>
        <w:spacing w:line="360" w:lineRule="auto"/>
        <w:ind w:firstLine="3600" w:firstLineChars="1500"/>
        <w:contextualSpacing/>
        <w:rPr>
          <w:rFonts w:hint="eastAsia" w:ascii="宋体" w:hAnsi="宋体" w:cs="宋体"/>
          <w:color w:val="auto"/>
          <w:sz w:val="24"/>
          <w:highlight w:val="none"/>
        </w:rPr>
      </w:pPr>
      <w:r>
        <w:rPr>
          <w:rFonts w:hint="eastAsia" w:ascii="宋体" w:hAnsi="宋体" w:cs="宋体"/>
          <w:color w:val="auto"/>
          <w:sz w:val="24"/>
          <w:highlight w:val="none"/>
        </w:rPr>
        <w:t>日  期：</w:t>
      </w:r>
    </w:p>
    <w:p w14:paraId="728F78D4">
      <w:pPr>
        <w:spacing w:line="360" w:lineRule="auto"/>
        <w:contextualSpacing/>
        <w:rPr>
          <w:rFonts w:hint="eastAsia" w:ascii="宋体" w:hAnsi="宋体" w:cs="宋体"/>
          <w:color w:val="auto"/>
          <w:sz w:val="24"/>
          <w:highlight w:val="none"/>
        </w:rPr>
      </w:pPr>
    </w:p>
    <w:p w14:paraId="21E52BE2">
      <w:pPr>
        <w:spacing w:line="360" w:lineRule="auto"/>
        <w:contextualSpacing/>
        <w:rPr>
          <w:rFonts w:hint="eastAsia" w:ascii="宋体" w:hAnsi="宋体" w:cs="宋体"/>
          <w:color w:val="auto"/>
          <w:sz w:val="24"/>
          <w:highlight w:val="none"/>
        </w:rPr>
      </w:pPr>
    </w:p>
    <w:p w14:paraId="4982E4C5">
      <w:pPr>
        <w:spacing w:line="360" w:lineRule="auto"/>
        <w:contextualSpacing/>
        <w:rPr>
          <w:rFonts w:hint="eastAsia" w:ascii="宋体" w:hAnsi="宋体" w:cs="宋体"/>
          <w:color w:val="auto"/>
          <w:sz w:val="24"/>
          <w:highlight w:val="none"/>
        </w:rPr>
      </w:pPr>
    </w:p>
    <w:p w14:paraId="6D4663CF">
      <w:pPr>
        <w:spacing w:line="360" w:lineRule="auto"/>
        <w:jc w:val="center"/>
        <w:rPr>
          <w:rFonts w:hint="eastAsia" w:ascii="宋体" w:hAnsi="宋体" w:cs="宋体"/>
          <w:b/>
          <w:bCs/>
          <w:color w:val="auto"/>
          <w:sz w:val="32"/>
          <w:szCs w:val="32"/>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r>
        <w:rPr>
          <w:rFonts w:hint="eastAsia" w:ascii="宋体" w:hAnsi="宋体" w:cs="宋体"/>
          <w:color w:val="auto"/>
          <w:sz w:val="24"/>
          <w:highlight w:val="none"/>
        </w:rPr>
        <w:br w:type="page"/>
      </w:r>
      <w:r>
        <w:rPr>
          <w:rFonts w:hint="eastAsia" w:ascii="宋体" w:hAnsi="宋体" w:cs="宋体"/>
          <w:b/>
          <w:bCs/>
          <w:color w:val="auto"/>
          <w:sz w:val="32"/>
          <w:szCs w:val="32"/>
          <w:highlight w:val="none"/>
        </w:rPr>
        <w:t>质疑函（格式）</w:t>
      </w:r>
    </w:p>
    <w:p w14:paraId="38F279C5">
      <w:pPr>
        <w:pStyle w:val="14"/>
        <w:spacing w:line="360" w:lineRule="auto"/>
        <w:ind w:firstLine="482" w:firstLineChars="200"/>
        <w:contextualSpacing/>
        <w:rPr>
          <w:rFonts w:hint="eastAsia"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40F8D773">
      <w:pPr>
        <w:pStyle w:val="14"/>
        <w:spacing w:line="360" w:lineRule="auto"/>
        <w:ind w:firstLine="480" w:firstLineChars="200"/>
        <w:contextualSpacing/>
        <w:rPr>
          <w:rFonts w:hint="eastAsia"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6F8D7DE">
      <w:pPr>
        <w:pStyle w:val="14"/>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C72A186">
      <w:pPr>
        <w:pStyle w:val="14"/>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B6215E3">
      <w:pPr>
        <w:pStyle w:val="14"/>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0515C77">
      <w:pPr>
        <w:pStyle w:val="14"/>
        <w:spacing w:line="360" w:lineRule="auto"/>
        <w:ind w:firstLine="480" w:firstLineChars="200"/>
        <w:contextualSpacing/>
        <w:rPr>
          <w:rFonts w:hint="eastAsia"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BD02511">
      <w:pPr>
        <w:pStyle w:val="14"/>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02FB383">
      <w:pPr>
        <w:pStyle w:val="14"/>
        <w:spacing w:line="360" w:lineRule="auto"/>
        <w:ind w:firstLine="482" w:firstLineChars="200"/>
        <w:contextualSpacing/>
        <w:rPr>
          <w:rFonts w:hint="eastAsia" w:hAnsi="宋体" w:cs="宋体"/>
          <w:b/>
          <w:bCs/>
          <w:color w:val="auto"/>
          <w:sz w:val="24"/>
          <w:szCs w:val="24"/>
          <w:highlight w:val="none"/>
        </w:rPr>
      </w:pPr>
      <w:r>
        <w:rPr>
          <w:rFonts w:hint="eastAsia" w:hAnsi="宋体" w:cs="宋体"/>
          <w:b/>
          <w:bCs/>
          <w:color w:val="auto"/>
          <w:sz w:val="24"/>
          <w:szCs w:val="24"/>
          <w:highlight w:val="none"/>
        </w:rPr>
        <w:t>二、质疑项目基本情况：</w:t>
      </w:r>
    </w:p>
    <w:p w14:paraId="07A8D1A6">
      <w:pPr>
        <w:pStyle w:val="14"/>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479CFE7F">
      <w:pPr>
        <w:pStyle w:val="14"/>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5AABC130">
      <w:pPr>
        <w:pStyle w:val="14"/>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53A0AA9D">
      <w:pPr>
        <w:pStyle w:val="14"/>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w:t>
      </w:r>
    </w:p>
    <w:p w14:paraId="3D508CD1">
      <w:pPr>
        <w:pStyle w:val="14"/>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28F5FA46">
      <w:pPr>
        <w:pStyle w:val="14"/>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 xml:space="preserve">□采购过程   </w:t>
      </w:r>
    </w:p>
    <w:p w14:paraId="3FD6C765">
      <w:pPr>
        <w:pStyle w:val="14"/>
        <w:spacing w:line="360" w:lineRule="auto"/>
        <w:ind w:left="25" w:leftChars="12" w:firstLine="352" w:firstLineChars="147"/>
        <w:contextualSpacing/>
        <w:rPr>
          <w:rFonts w:hint="eastAsia"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599C196B">
      <w:pPr>
        <w:pStyle w:val="14"/>
        <w:spacing w:line="360" w:lineRule="auto"/>
        <w:ind w:left="25" w:leftChars="12" w:firstLine="472" w:firstLineChars="196"/>
        <w:contextualSpacing/>
        <w:rPr>
          <w:rFonts w:hint="eastAsia" w:hAnsi="宋体" w:cs="宋体"/>
          <w:b/>
          <w:color w:val="auto"/>
          <w:sz w:val="24"/>
          <w:szCs w:val="24"/>
          <w:highlight w:val="none"/>
        </w:rPr>
      </w:pPr>
      <w:r>
        <w:rPr>
          <w:rFonts w:hint="eastAsia" w:hAnsi="宋体" w:cs="宋体"/>
          <w:b/>
          <w:color w:val="auto"/>
          <w:sz w:val="24"/>
          <w:szCs w:val="24"/>
          <w:highlight w:val="none"/>
        </w:rPr>
        <w:t>三、质疑事项具体内容</w:t>
      </w:r>
    </w:p>
    <w:p w14:paraId="70C2037C">
      <w:pPr>
        <w:pStyle w:val="14"/>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7B237103">
      <w:pPr>
        <w:pStyle w:val="14"/>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485D8EDF">
      <w:pPr>
        <w:pStyle w:val="14"/>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4E8AF33E">
      <w:pPr>
        <w:pStyle w:val="14"/>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质疑事项2</w:t>
      </w:r>
    </w:p>
    <w:p w14:paraId="7AFCB3FC">
      <w:pPr>
        <w:pStyle w:val="14"/>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w:t>
      </w:r>
    </w:p>
    <w:p w14:paraId="27E06711">
      <w:pPr>
        <w:pStyle w:val="14"/>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四、与质疑事项相关的质疑请求：</w:t>
      </w:r>
    </w:p>
    <w:p w14:paraId="2683CC8E">
      <w:pPr>
        <w:pStyle w:val="14"/>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49E48096">
      <w:pPr>
        <w:pStyle w:val="14"/>
        <w:spacing w:line="360" w:lineRule="auto"/>
        <w:ind w:left="25" w:leftChars="12" w:firstLine="352" w:firstLineChars="147"/>
        <w:contextualSpacing/>
        <w:rPr>
          <w:rFonts w:hint="eastAsia" w:hAnsi="宋体" w:cs="宋体"/>
          <w:color w:val="auto"/>
          <w:sz w:val="24"/>
          <w:szCs w:val="24"/>
          <w:highlight w:val="none"/>
        </w:rPr>
      </w:pPr>
    </w:p>
    <w:p w14:paraId="49031E92">
      <w:pPr>
        <w:pStyle w:val="14"/>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5A6DFDAA">
      <w:pPr>
        <w:pStyle w:val="14"/>
        <w:spacing w:line="360" w:lineRule="auto"/>
        <w:ind w:left="25" w:leftChars="12" w:firstLine="352" w:firstLineChars="147"/>
        <w:contextualSpacing/>
        <w:rPr>
          <w:rFonts w:hint="eastAsia" w:hAnsi="宋体" w:cs="宋体"/>
          <w:color w:val="auto"/>
          <w:sz w:val="24"/>
          <w:szCs w:val="24"/>
          <w:highlight w:val="none"/>
        </w:rPr>
      </w:pPr>
    </w:p>
    <w:p w14:paraId="7CD91A98">
      <w:pPr>
        <w:pStyle w:val="14"/>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日期：</w:t>
      </w:r>
    </w:p>
    <w:p w14:paraId="2A6E0C02">
      <w:pPr>
        <w:pStyle w:val="14"/>
        <w:spacing w:line="360" w:lineRule="auto"/>
        <w:contextualSpacing/>
        <w:rPr>
          <w:rFonts w:hint="eastAsia" w:hAnsi="宋体" w:cs="宋体"/>
          <w:b/>
          <w:color w:val="auto"/>
          <w:sz w:val="24"/>
          <w:szCs w:val="24"/>
          <w:highlight w:val="none"/>
        </w:rPr>
      </w:pPr>
    </w:p>
    <w:p w14:paraId="617CE6B5">
      <w:pPr>
        <w:pStyle w:val="14"/>
        <w:spacing w:line="360" w:lineRule="auto"/>
        <w:contextualSpacing/>
        <w:rPr>
          <w:rFonts w:hint="eastAsia" w:hAnsi="宋体" w:cs="宋体"/>
          <w:b/>
          <w:color w:val="auto"/>
          <w:sz w:val="24"/>
          <w:szCs w:val="24"/>
          <w:highlight w:val="none"/>
        </w:rPr>
      </w:pPr>
    </w:p>
    <w:p w14:paraId="20476FAE">
      <w:pPr>
        <w:pStyle w:val="14"/>
        <w:spacing w:line="360" w:lineRule="auto"/>
        <w:contextualSpacing/>
        <w:rPr>
          <w:rFonts w:hint="eastAsia" w:hAnsi="宋体" w:cs="宋体"/>
          <w:b/>
          <w:color w:val="auto"/>
          <w:sz w:val="21"/>
          <w:highlight w:val="none"/>
        </w:rPr>
      </w:pPr>
      <w:r>
        <w:rPr>
          <w:rFonts w:hint="eastAsia" w:hAnsi="宋体" w:cs="宋体"/>
          <w:b/>
          <w:color w:val="auto"/>
          <w:sz w:val="21"/>
          <w:highlight w:val="none"/>
        </w:rPr>
        <w:t>说明：</w:t>
      </w:r>
    </w:p>
    <w:p w14:paraId="6F7F8007">
      <w:pPr>
        <w:pStyle w:val="14"/>
        <w:spacing w:line="360" w:lineRule="auto"/>
        <w:ind w:left="25" w:leftChars="12" w:firstLine="310" w:firstLineChars="147"/>
        <w:contextualSpacing/>
        <w:rPr>
          <w:rFonts w:hint="eastAsia" w:hAnsi="宋体" w:cs="宋体"/>
          <w:b/>
          <w:bCs/>
          <w:color w:val="auto"/>
          <w:sz w:val="21"/>
          <w:highlight w:val="none"/>
        </w:rPr>
      </w:pPr>
      <w:r>
        <w:rPr>
          <w:rFonts w:hint="eastAsia" w:hAnsi="宋体" w:cs="宋体"/>
          <w:b/>
          <w:color w:val="auto"/>
          <w:sz w:val="21"/>
          <w:highlight w:val="none"/>
        </w:rPr>
        <w:t>1.供应商提出质疑时，应提交质疑函和必要的证明材料</w:t>
      </w:r>
      <w:r>
        <w:rPr>
          <w:rFonts w:hint="eastAsia" w:hAnsi="宋体" w:cs="宋体"/>
          <w:b/>
          <w:bCs/>
          <w:color w:val="auto"/>
          <w:sz w:val="21"/>
          <w:highlight w:val="none"/>
        </w:rPr>
        <w:t>。</w:t>
      </w:r>
    </w:p>
    <w:p w14:paraId="50387175">
      <w:pPr>
        <w:pStyle w:val="14"/>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C6B7720">
      <w:pPr>
        <w:pStyle w:val="14"/>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4B4B3F4F">
      <w:pPr>
        <w:pStyle w:val="14"/>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4.质疑函的质疑请求应与质疑事项相关。</w:t>
      </w:r>
    </w:p>
    <w:p w14:paraId="26C9E650">
      <w:pPr>
        <w:pStyle w:val="14"/>
        <w:spacing w:line="360" w:lineRule="auto"/>
        <w:ind w:left="25" w:leftChars="12" w:firstLine="310" w:firstLineChars="147"/>
        <w:contextualSpacing/>
        <w:rPr>
          <w:rFonts w:hint="eastAsia" w:hAnsi="宋体" w:cs="宋体"/>
          <w:b/>
          <w:color w:val="auto"/>
          <w:highlight w:val="none"/>
        </w:rPr>
      </w:pPr>
      <w:r>
        <w:rPr>
          <w:rFonts w:hint="eastAsia" w:hAnsi="宋体" w:cs="宋体"/>
          <w:b/>
          <w:color w:val="auto"/>
          <w:sz w:val="21"/>
          <w:highlight w:val="none"/>
        </w:rPr>
        <w:t>5.质疑供应商为法人或者其他组织的，质疑函应由法定代表人、主要负责人，或者其授权代表签字或者盖章，并加盖公章。</w:t>
      </w:r>
    </w:p>
    <w:p w14:paraId="256DEA53">
      <w:pPr>
        <w:pStyle w:val="14"/>
        <w:snapToGrid w:val="0"/>
        <w:rPr>
          <w:rFonts w:hint="eastAsia" w:hAnsi="宋体" w:cs="宋体"/>
          <w:b/>
          <w:color w:val="auto"/>
          <w:sz w:val="24"/>
          <w:szCs w:val="24"/>
          <w:highlight w:val="none"/>
        </w:rPr>
      </w:pPr>
    </w:p>
    <w:p w14:paraId="2C16F17B">
      <w:pPr>
        <w:spacing w:line="460" w:lineRule="exact"/>
        <w:jc w:val="center"/>
        <w:rPr>
          <w:rFonts w:hint="eastAsia" w:ascii="宋体" w:hAnsi="宋体" w:cs="宋体"/>
          <w:color w:val="auto"/>
          <w:sz w:val="44"/>
          <w:highlight w:val="none"/>
        </w:rPr>
      </w:pPr>
      <w:r>
        <w:rPr>
          <w:rFonts w:hint="eastAsia" w:ascii="宋体" w:hAnsi="宋体" w:cs="宋体"/>
          <w:color w:val="auto"/>
          <w:sz w:val="44"/>
          <w:highlight w:val="none"/>
        </w:rPr>
        <w:br w:type="page"/>
      </w:r>
    </w:p>
    <w:p w14:paraId="74CFB5A2">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59BDA65B">
      <w:pPr>
        <w:pStyle w:val="14"/>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6F7756AB">
      <w:pPr>
        <w:pStyle w:val="14"/>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563B1BE">
      <w:pPr>
        <w:pStyle w:val="1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D1A78BD">
      <w:pPr>
        <w:pStyle w:val="14"/>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0EE7835D">
      <w:pPr>
        <w:pStyle w:val="1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6F78E4A">
      <w:pPr>
        <w:pStyle w:val="14"/>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9283FBE">
      <w:pPr>
        <w:pStyle w:val="14"/>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6F00709F">
      <w:pPr>
        <w:pStyle w:val="1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E80F9B9">
      <w:pPr>
        <w:pStyle w:val="1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被投诉人1：</w:t>
      </w:r>
    </w:p>
    <w:p w14:paraId="00F11C97">
      <w:pPr>
        <w:pStyle w:val="14"/>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72A73222">
      <w:pPr>
        <w:pStyle w:val="1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2697A16">
      <w:pPr>
        <w:pStyle w:val="14"/>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D325C78">
      <w:pPr>
        <w:pStyle w:val="1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被投诉人2：</w:t>
      </w:r>
    </w:p>
    <w:p w14:paraId="58DCDA2F">
      <w:pPr>
        <w:pStyle w:val="1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w:t>
      </w:r>
    </w:p>
    <w:p w14:paraId="65F825AE">
      <w:pPr>
        <w:pStyle w:val="14"/>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74F9E01D">
      <w:pPr>
        <w:pStyle w:val="14"/>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0C905EBC">
      <w:pPr>
        <w:pStyle w:val="1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2FD53C7">
      <w:pPr>
        <w:pStyle w:val="14"/>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二、投诉项目基本情况：</w:t>
      </w:r>
    </w:p>
    <w:p w14:paraId="2F9F983A">
      <w:pPr>
        <w:pStyle w:val="14"/>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24A6C301">
      <w:pPr>
        <w:pStyle w:val="14"/>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1351983D">
      <w:pPr>
        <w:pStyle w:val="14"/>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50BBDD94">
      <w:pPr>
        <w:pStyle w:val="14"/>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5F81D207">
      <w:pPr>
        <w:pStyle w:val="14"/>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3611E825">
      <w:pPr>
        <w:pStyle w:val="14"/>
        <w:spacing w:line="360" w:lineRule="auto"/>
        <w:ind w:left="25" w:leftChars="12" w:firstLine="472" w:firstLineChars="197"/>
        <w:rPr>
          <w:rFonts w:hint="eastAsia"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F14DAB8">
      <w:pPr>
        <w:pStyle w:val="14"/>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三、质疑基本情况</w:t>
      </w:r>
    </w:p>
    <w:p w14:paraId="07CF5118">
      <w:pPr>
        <w:pStyle w:val="14"/>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0D593B9A">
      <w:pPr>
        <w:pStyle w:val="14"/>
        <w:spacing w:line="360" w:lineRule="auto"/>
        <w:ind w:firstLine="241"/>
        <w:rPr>
          <w:rFonts w:hint="eastAsia"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97BDF6C">
      <w:pPr>
        <w:pStyle w:val="14"/>
        <w:spacing w:line="360" w:lineRule="auto"/>
        <w:ind w:firstLine="241"/>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1D0D2337">
      <w:pPr>
        <w:pStyle w:val="14"/>
        <w:spacing w:line="360" w:lineRule="auto"/>
        <w:ind w:firstLine="480" w:firstLineChars="200"/>
        <w:rPr>
          <w:rFonts w:hint="eastAsia"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7D100446">
      <w:pPr>
        <w:pStyle w:val="14"/>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四、投诉事项具体内容</w:t>
      </w:r>
    </w:p>
    <w:p w14:paraId="48C6C8D3">
      <w:pPr>
        <w:pStyle w:val="14"/>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5529D083">
      <w:pPr>
        <w:pStyle w:val="14"/>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9A2D89A">
      <w:pPr>
        <w:pStyle w:val="14"/>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u w:val="single"/>
        </w:rPr>
        <w:t xml:space="preserve">                                                                                        </w:t>
      </w:r>
    </w:p>
    <w:p w14:paraId="77B61021">
      <w:pPr>
        <w:pStyle w:val="14"/>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3357C6B8">
      <w:pPr>
        <w:pStyle w:val="14"/>
        <w:spacing w:line="360" w:lineRule="auto"/>
        <w:ind w:left="25" w:leftChars="12" w:firstLine="352" w:firstLineChars="147"/>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004E5F71">
      <w:pPr>
        <w:pStyle w:val="14"/>
        <w:spacing w:line="360" w:lineRule="auto"/>
        <w:ind w:left="25" w:leftChars="12" w:firstLine="472" w:firstLineChars="197"/>
        <w:rPr>
          <w:rFonts w:hint="eastAsia"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18C95A25">
      <w:pPr>
        <w:pStyle w:val="14"/>
        <w:spacing w:line="360" w:lineRule="auto"/>
        <w:ind w:left="25" w:leftChars="12" w:firstLine="472" w:firstLineChars="197"/>
        <w:rPr>
          <w:rFonts w:hint="eastAsia" w:hAnsi="宋体" w:cs="宋体"/>
          <w:bCs/>
          <w:color w:val="auto"/>
          <w:sz w:val="24"/>
          <w:szCs w:val="24"/>
          <w:highlight w:val="none"/>
        </w:rPr>
      </w:pPr>
      <w:r>
        <w:rPr>
          <w:rFonts w:hint="eastAsia" w:hAnsi="宋体" w:cs="宋体"/>
          <w:bCs/>
          <w:color w:val="auto"/>
          <w:sz w:val="24"/>
          <w:szCs w:val="24"/>
          <w:highlight w:val="none"/>
        </w:rPr>
        <w:t>……</w:t>
      </w:r>
    </w:p>
    <w:p w14:paraId="552C1CE9">
      <w:pPr>
        <w:pStyle w:val="14"/>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4776C0B1">
      <w:pPr>
        <w:pStyle w:val="14"/>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7B358FD0">
      <w:pPr>
        <w:pStyle w:val="14"/>
        <w:spacing w:line="360" w:lineRule="auto"/>
        <w:ind w:left="25" w:leftChars="12" w:firstLine="352" w:firstLineChars="147"/>
        <w:rPr>
          <w:rFonts w:hint="eastAsia" w:hAnsi="宋体" w:cs="宋体"/>
          <w:color w:val="auto"/>
          <w:sz w:val="24"/>
          <w:szCs w:val="24"/>
          <w:highlight w:val="none"/>
        </w:rPr>
      </w:pPr>
    </w:p>
    <w:p w14:paraId="51144E2E">
      <w:pPr>
        <w:pStyle w:val="14"/>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0DA2BE96">
      <w:pPr>
        <w:pStyle w:val="14"/>
        <w:spacing w:line="360" w:lineRule="auto"/>
        <w:ind w:left="25" w:leftChars="12" w:firstLine="352" w:firstLineChars="147"/>
        <w:rPr>
          <w:rFonts w:hint="eastAsia" w:hAnsi="宋体" w:cs="宋体"/>
          <w:color w:val="auto"/>
          <w:sz w:val="24"/>
          <w:szCs w:val="24"/>
          <w:highlight w:val="none"/>
        </w:rPr>
      </w:pPr>
    </w:p>
    <w:p w14:paraId="5CEFC322">
      <w:pPr>
        <w:pStyle w:val="14"/>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日期：</w:t>
      </w:r>
    </w:p>
    <w:p w14:paraId="022C05BF">
      <w:pPr>
        <w:pStyle w:val="14"/>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 xml:space="preserve">                                                                               </w:t>
      </w:r>
    </w:p>
    <w:p w14:paraId="7E5D5C9D">
      <w:pPr>
        <w:pStyle w:val="14"/>
        <w:snapToGrid w:val="0"/>
        <w:spacing w:line="360" w:lineRule="auto"/>
        <w:rPr>
          <w:rFonts w:hint="eastAsia" w:hAnsi="宋体" w:cs="宋体"/>
          <w:b/>
          <w:color w:val="auto"/>
          <w:sz w:val="21"/>
          <w:highlight w:val="none"/>
        </w:rPr>
      </w:pPr>
      <w:r>
        <w:rPr>
          <w:rFonts w:hint="eastAsia" w:hAnsi="宋体" w:cs="宋体"/>
          <w:b/>
          <w:color w:val="auto"/>
          <w:sz w:val="21"/>
          <w:highlight w:val="none"/>
        </w:rPr>
        <w:t>说明：</w:t>
      </w:r>
    </w:p>
    <w:p w14:paraId="451C3EF1">
      <w:pPr>
        <w:pStyle w:val="14"/>
        <w:spacing w:line="360" w:lineRule="auto"/>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1.投诉人提起投诉时，应当提交投诉书和必要的证明材料，并按照被投诉人和与投诉事项有关的供应商数量提供投诉书副本</w:t>
      </w:r>
      <w:r>
        <w:rPr>
          <w:rFonts w:hint="eastAsia" w:hAnsi="宋体" w:cs="宋体"/>
          <w:b/>
          <w:bCs/>
          <w:color w:val="auto"/>
          <w:sz w:val="21"/>
          <w:highlight w:val="none"/>
        </w:rPr>
        <w:t>。</w:t>
      </w:r>
    </w:p>
    <w:p w14:paraId="5DAC00F9">
      <w:pPr>
        <w:pStyle w:val="14"/>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802FAEB">
      <w:pPr>
        <w:pStyle w:val="14"/>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3.投诉书应简要列明质疑事项，质疑函、质疑答复等作为附件材料提供。</w:t>
      </w:r>
    </w:p>
    <w:p w14:paraId="41BEEA06">
      <w:pPr>
        <w:pStyle w:val="14"/>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3E7252B4">
      <w:pPr>
        <w:pStyle w:val="14"/>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5.投诉书的投诉请求应与投诉事项相关。</w:t>
      </w:r>
    </w:p>
    <w:p w14:paraId="3EF384D8">
      <w:pPr>
        <w:pStyle w:val="14"/>
        <w:spacing w:line="360" w:lineRule="auto"/>
        <w:ind w:left="25" w:leftChars="12" w:firstLine="310" w:firstLineChars="147"/>
        <w:rPr>
          <w:rFonts w:hint="eastAsia" w:hAnsi="宋体" w:cs="宋体"/>
          <w:b/>
          <w:color w:val="auto"/>
          <w:highlight w:val="none"/>
        </w:rPr>
      </w:pPr>
      <w:r>
        <w:rPr>
          <w:rFonts w:hint="eastAsia" w:hAnsi="宋体" w:cs="宋体"/>
          <w:b/>
          <w:color w:val="auto"/>
          <w:sz w:val="21"/>
          <w:highlight w:val="none"/>
        </w:rPr>
        <w:t>6.投诉人为法人或者其他组织的，投诉书应由法定代表人、主要负责人，或者其授权代表签字或者盖章，并加盖公章。</w:t>
      </w:r>
    </w:p>
    <w:p w14:paraId="7F6D129E">
      <w:pPr>
        <w:pStyle w:val="3"/>
        <w:pageBreakBefore w:val="0"/>
        <w:kinsoku/>
        <w:wordWrap/>
        <w:overflowPunct/>
        <w:topLinePunct w:val="0"/>
        <w:bidi w:val="0"/>
        <w:spacing w:before="0" w:after="0" w:line="400" w:lineRule="exact"/>
        <w:jc w:val="center"/>
        <w:textAlignment w:val="auto"/>
        <w:rPr>
          <w:rFonts w:ascii="宋体" w:hAnsi="宋体" w:cs="宋体"/>
          <w:color w:val="auto"/>
          <w:sz w:val="21"/>
          <w:szCs w:val="21"/>
          <w:highlight w:val="none"/>
        </w:rPr>
      </w:pPr>
      <w:r>
        <w:rPr>
          <w:rFonts w:hint="eastAsia" w:ascii="宋体" w:hAnsi="宋体" w:cs="宋体"/>
          <w:color w:val="auto"/>
          <w:highlight w:val="none"/>
        </w:rPr>
        <w:br w:type="page"/>
      </w:r>
      <w:bookmarkStart w:id="194" w:name="_Toc7743"/>
      <w:bookmarkStart w:id="195" w:name="_Toc16939"/>
      <w:r>
        <w:rPr>
          <w:rFonts w:hint="eastAsia" w:ascii="方正小标宋_GBK" w:hAnsi="方正小标宋_GBK" w:eastAsia="方正小标宋_GBK" w:cs="方正小标宋_GBK"/>
          <w:b w:val="0"/>
          <w:bCs w:val="0"/>
          <w:color w:val="auto"/>
          <w:kern w:val="2"/>
          <w:sz w:val="21"/>
          <w:szCs w:val="21"/>
          <w:highlight w:val="none"/>
          <w:lang w:val="en-US" w:eastAsia="zh-CN" w:bidi="ar-SA"/>
        </w:rPr>
        <w:t>第五章  合同条款及格式</w:t>
      </w:r>
      <w:bookmarkEnd w:id="90"/>
      <w:bookmarkEnd w:id="91"/>
      <w:bookmarkEnd w:id="194"/>
      <w:bookmarkEnd w:id="195"/>
    </w:p>
    <w:p w14:paraId="2E725B21">
      <w:pPr>
        <w:pageBreakBefore w:val="0"/>
        <w:kinsoku/>
        <w:wordWrap/>
        <w:overflowPunct/>
        <w:topLinePunct w:val="0"/>
        <w:bidi w:val="0"/>
        <w:spacing w:line="400" w:lineRule="exact"/>
        <w:ind w:firstLine="0" w:firstLineChars="0"/>
        <w:textAlignment w:val="auto"/>
        <w:rPr>
          <w:rFonts w:hint="eastAsia" w:ascii="宋体" w:hAnsi="宋体" w:eastAsia="宋体" w:cs="宋体"/>
          <w:b w:val="0"/>
          <w:bCs w:val="0"/>
          <w:color w:val="auto"/>
          <w:sz w:val="21"/>
          <w:szCs w:val="21"/>
          <w:highlight w:val="none"/>
        </w:rPr>
      </w:pPr>
    </w:p>
    <w:p w14:paraId="355F1591">
      <w:pPr>
        <w:pageBreakBefore w:val="0"/>
        <w:kinsoku/>
        <w:wordWrap/>
        <w:overflowPunct/>
        <w:topLinePunct w:val="0"/>
        <w:bidi w:val="0"/>
        <w:spacing w:line="400" w:lineRule="exact"/>
        <w:ind w:firstLine="0" w:firstLineChars="0"/>
        <w:textAlignment w:val="auto"/>
        <w:rPr>
          <w:rFonts w:hint="eastAsia" w:ascii="宋体" w:hAnsi="宋体" w:eastAsia="宋体" w:cs="宋体"/>
          <w:b w:val="0"/>
          <w:bCs w:val="0"/>
          <w:color w:val="auto"/>
          <w:sz w:val="21"/>
          <w:szCs w:val="21"/>
          <w:highlight w:val="none"/>
        </w:rPr>
      </w:pPr>
    </w:p>
    <w:p w14:paraId="44C60824">
      <w:pPr>
        <w:pageBreakBefore w:val="0"/>
        <w:kinsoku/>
        <w:wordWrap/>
        <w:overflowPunct/>
        <w:topLinePunct w:val="0"/>
        <w:bidi w:val="0"/>
        <w:spacing w:line="400" w:lineRule="exact"/>
        <w:ind w:firstLine="0" w:firstLineChars="0"/>
        <w:textAlignment w:val="auto"/>
        <w:rPr>
          <w:rFonts w:hint="default" w:ascii="Times New Roman" w:hAnsi="Times New Roman" w:cs="Times New Roman"/>
          <w:color w:val="auto"/>
          <w:sz w:val="21"/>
          <w:szCs w:val="21"/>
          <w:highlight w:val="none"/>
        </w:rPr>
      </w:pPr>
      <w:r>
        <w:rPr>
          <w:rFonts w:hint="eastAsia" w:ascii="宋体" w:hAnsi="宋体" w:eastAsia="宋体" w:cs="宋体"/>
          <w:b w:val="0"/>
          <w:bCs w:val="0"/>
          <w:color w:val="auto"/>
          <w:sz w:val="21"/>
          <w:szCs w:val="21"/>
          <w:highlight w:val="none"/>
        </w:rPr>
        <w:t>合同编号：</w:t>
      </w:r>
      <w:r>
        <w:rPr>
          <w:rFonts w:hint="eastAsia" w:ascii="宋体" w:hAnsi="宋体" w:eastAsia="宋体" w:cs="宋体"/>
          <w:b w:val="0"/>
          <w:bCs w:val="0"/>
          <w:color w:val="auto"/>
          <w:sz w:val="21"/>
          <w:szCs w:val="21"/>
          <w:highlight w:val="none"/>
          <w:u w:val="single"/>
          <w:lang w:val="en-US" w:eastAsia="zh-CN"/>
        </w:rPr>
        <w:t xml:space="preserve">          </w:t>
      </w:r>
    </w:p>
    <w:p w14:paraId="561A0F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color w:val="auto"/>
          <w:kern w:val="0"/>
          <w:sz w:val="21"/>
          <w:szCs w:val="21"/>
          <w:highlight w:val="none"/>
        </w:rPr>
      </w:pPr>
    </w:p>
    <w:p w14:paraId="448B5F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color w:val="auto"/>
          <w:kern w:val="0"/>
          <w:sz w:val="21"/>
          <w:szCs w:val="21"/>
          <w:highlight w:val="none"/>
        </w:rPr>
      </w:pPr>
    </w:p>
    <w:p w14:paraId="426659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方正小标宋_GBK" w:cs="Times New Roman"/>
          <w:color w:val="auto"/>
          <w:kern w:val="0"/>
          <w:sz w:val="21"/>
          <w:szCs w:val="21"/>
          <w:highlight w:val="none"/>
        </w:rPr>
        <w:t>采购技术服务合同</w:t>
      </w:r>
    </w:p>
    <w:p w14:paraId="1DA72931">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b w:val="0"/>
          <w:bCs w:val="0"/>
          <w:color w:val="auto"/>
          <w:kern w:val="0"/>
          <w:sz w:val="24"/>
          <w:szCs w:val="24"/>
          <w:highlight w:val="none"/>
        </w:rPr>
      </w:pPr>
    </w:p>
    <w:p w14:paraId="1D42D8B6">
      <w:pPr>
        <w:pageBreakBefore w:val="0"/>
        <w:widowControl w:val="0"/>
        <w:kinsoku/>
        <w:overflowPunct/>
        <w:autoSpaceDE/>
        <w:autoSpaceDN/>
        <w:bidi w:val="0"/>
        <w:adjustRightInd/>
        <w:spacing w:line="400" w:lineRule="exact"/>
        <w:ind w:left="420" w:leftChars="200" w:firstLine="210" w:firstLineChars="100"/>
        <w:jc w:val="both"/>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b w:val="0"/>
          <w:bCs w:val="0"/>
          <w:color w:val="auto"/>
          <w:kern w:val="0"/>
          <w:sz w:val="21"/>
          <w:szCs w:val="21"/>
          <w:highlight w:val="none"/>
        </w:rPr>
        <w:t>甲方（采购人）：</w:t>
      </w:r>
      <w:r>
        <w:rPr>
          <w:rFonts w:hint="eastAsia" w:ascii="宋体" w:hAnsi="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lang w:val="en-US" w:eastAsia="zh-CN"/>
        </w:rPr>
        <w:t xml:space="preserve">  </w:t>
      </w:r>
    </w:p>
    <w:p w14:paraId="3F717262">
      <w:pPr>
        <w:keepNext w:val="0"/>
        <w:keepLines w:val="0"/>
        <w:pageBreakBefore w:val="0"/>
        <w:widowControl w:val="0"/>
        <w:kinsoku/>
        <w:wordWrap/>
        <w:overflowPunct/>
        <w:topLinePunct w:val="0"/>
        <w:autoSpaceDE/>
        <w:autoSpaceDN/>
        <w:bidi w:val="0"/>
        <w:adjustRightInd/>
        <w:snapToGrid/>
        <w:spacing w:line="400" w:lineRule="exact"/>
        <w:ind w:leftChars="3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住</w:t>
      </w:r>
      <w:r>
        <w:rPr>
          <w:rFonts w:hint="eastAsia" w:ascii="宋体" w:hAnsi="宋体" w:eastAsia="宋体" w:cs="宋体"/>
          <w:b w:val="0"/>
          <w:bCs w:val="0"/>
          <w:color w:val="auto"/>
          <w:kern w:val="0"/>
          <w:sz w:val="21"/>
          <w:szCs w:val="21"/>
          <w:highlight w:val="none"/>
          <w:lang w:val="en"/>
        </w:rPr>
        <w:t xml:space="preserve"> </w:t>
      </w:r>
      <w:r>
        <w:rPr>
          <w:rFonts w:hint="eastAsia" w:ascii="宋体" w:hAnsi="宋体" w:eastAsia="宋体" w:cs="宋体"/>
          <w:b w:val="0"/>
          <w:bCs w:val="0"/>
          <w:color w:val="auto"/>
          <w:kern w:val="0"/>
          <w:sz w:val="21"/>
          <w:szCs w:val="21"/>
          <w:highlight w:val="none"/>
        </w:rPr>
        <w:t>所</w:t>
      </w:r>
      <w:r>
        <w:rPr>
          <w:rFonts w:hint="eastAsia" w:ascii="宋体" w:hAnsi="宋体" w:eastAsia="宋体" w:cs="宋体"/>
          <w:b w:val="0"/>
          <w:bCs w:val="0"/>
          <w:color w:val="auto"/>
          <w:kern w:val="0"/>
          <w:sz w:val="21"/>
          <w:szCs w:val="21"/>
          <w:highlight w:val="none"/>
          <w:lang w:val="en"/>
        </w:rPr>
        <w:t xml:space="preserve"> </w:t>
      </w:r>
      <w:r>
        <w:rPr>
          <w:rFonts w:hint="eastAsia" w:ascii="宋体" w:hAnsi="宋体" w:eastAsia="宋体" w:cs="宋体"/>
          <w:b w:val="0"/>
          <w:bCs w:val="0"/>
          <w:color w:val="auto"/>
          <w:kern w:val="0"/>
          <w:sz w:val="21"/>
          <w:szCs w:val="21"/>
          <w:highlight w:val="none"/>
        </w:rPr>
        <w:t>地：</w:t>
      </w:r>
      <w:r>
        <w:rPr>
          <w:rFonts w:hint="eastAsia" w:ascii="宋体" w:hAnsi="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lang w:val="en-US" w:eastAsia="zh-CN"/>
        </w:rPr>
        <w:t xml:space="preserve">  </w:t>
      </w:r>
    </w:p>
    <w:p w14:paraId="354E32E8">
      <w:pPr>
        <w:keepNext w:val="0"/>
        <w:keepLines w:val="0"/>
        <w:pageBreakBefore w:val="0"/>
        <w:widowControl w:val="0"/>
        <w:kinsoku/>
        <w:wordWrap/>
        <w:overflowPunct/>
        <w:topLinePunct w:val="0"/>
        <w:autoSpaceDE/>
        <w:autoSpaceDN/>
        <w:bidi w:val="0"/>
        <w:adjustRightInd/>
        <w:snapToGrid/>
        <w:spacing w:line="400" w:lineRule="exact"/>
        <w:ind w:leftChars="3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法 定 代 表 人：</w:t>
      </w:r>
      <w:r>
        <w:rPr>
          <w:rFonts w:hint="eastAsia" w:ascii="宋体" w:hAnsi="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lang w:val="en-US" w:eastAsia="zh-CN"/>
        </w:rPr>
        <w:t xml:space="preserve">  </w:t>
      </w:r>
    </w:p>
    <w:p w14:paraId="21D15E1C">
      <w:pPr>
        <w:keepNext w:val="0"/>
        <w:keepLines w:val="0"/>
        <w:pageBreakBefore w:val="0"/>
        <w:widowControl w:val="0"/>
        <w:kinsoku/>
        <w:wordWrap/>
        <w:overflowPunct/>
        <w:topLinePunct w:val="0"/>
        <w:autoSpaceDE/>
        <w:autoSpaceDN/>
        <w:bidi w:val="0"/>
        <w:adjustRightInd/>
        <w:snapToGrid/>
        <w:spacing w:line="400" w:lineRule="exact"/>
        <w:ind w:leftChars="3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pacing w:val="21"/>
          <w:sz w:val="21"/>
          <w:szCs w:val="21"/>
          <w:highlight w:val="none"/>
        </w:rPr>
        <w:t>通</w:t>
      </w:r>
      <w:r>
        <w:rPr>
          <w:rFonts w:hint="eastAsia" w:ascii="宋体" w:hAnsi="宋体" w:eastAsia="宋体" w:cs="宋体"/>
          <w:b w:val="0"/>
          <w:bCs w:val="0"/>
          <w:color w:val="auto"/>
          <w:spacing w:val="21"/>
          <w:sz w:val="21"/>
          <w:szCs w:val="21"/>
          <w:highlight w:val="none"/>
          <w:lang w:val="en"/>
        </w:rPr>
        <w:t xml:space="preserve"> </w:t>
      </w:r>
      <w:r>
        <w:rPr>
          <w:rFonts w:hint="eastAsia" w:ascii="宋体" w:hAnsi="宋体" w:eastAsia="宋体" w:cs="宋体"/>
          <w:b w:val="0"/>
          <w:bCs w:val="0"/>
          <w:color w:val="auto"/>
          <w:spacing w:val="21"/>
          <w:sz w:val="21"/>
          <w:szCs w:val="21"/>
          <w:highlight w:val="none"/>
        </w:rPr>
        <w:t>讯</w:t>
      </w:r>
      <w:r>
        <w:rPr>
          <w:rFonts w:hint="eastAsia" w:ascii="宋体" w:hAnsi="宋体" w:eastAsia="宋体" w:cs="宋体"/>
          <w:b w:val="0"/>
          <w:bCs w:val="0"/>
          <w:color w:val="auto"/>
          <w:spacing w:val="21"/>
          <w:sz w:val="21"/>
          <w:szCs w:val="21"/>
          <w:highlight w:val="none"/>
          <w:lang w:val="en"/>
        </w:rPr>
        <w:t xml:space="preserve"> </w:t>
      </w:r>
      <w:r>
        <w:rPr>
          <w:rFonts w:hint="eastAsia" w:ascii="宋体" w:hAnsi="宋体" w:eastAsia="宋体" w:cs="宋体"/>
          <w:b w:val="0"/>
          <w:bCs w:val="0"/>
          <w:color w:val="auto"/>
          <w:spacing w:val="21"/>
          <w:sz w:val="21"/>
          <w:szCs w:val="21"/>
          <w:highlight w:val="none"/>
        </w:rPr>
        <w:t>地</w:t>
      </w:r>
      <w:r>
        <w:rPr>
          <w:rFonts w:hint="eastAsia" w:ascii="宋体" w:hAnsi="宋体" w:eastAsia="宋体" w:cs="宋体"/>
          <w:b w:val="0"/>
          <w:bCs w:val="0"/>
          <w:color w:val="auto"/>
          <w:spacing w:val="21"/>
          <w:sz w:val="21"/>
          <w:szCs w:val="21"/>
          <w:highlight w:val="none"/>
          <w:lang w:val="en"/>
        </w:rPr>
        <w:t xml:space="preserve"> </w:t>
      </w:r>
      <w:r>
        <w:rPr>
          <w:rFonts w:hint="eastAsia" w:ascii="宋体" w:hAnsi="宋体" w:eastAsia="宋体" w:cs="宋体"/>
          <w:b w:val="0"/>
          <w:bCs w:val="0"/>
          <w:color w:val="auto"/>
          <w:spacing w:val="21"/>
          <w:sz w:val="21"/>
          <w:szCs w:val="21"/>
          <w:highlight w:val="none"/>
        </w:rPr>
        <w:t>址</w:t>
      </w:r>
      <w:r>
        <w:rPr>
          <w:rFonts w:hint="eastAsia" w:ascii="宋体" w:hAnsi="宋体" w:eastAsia="宋体" w:cs="宋体"/>
          <w:b w:val="0"/>
          <w:bCs w:val="0"/>
          <w:color w:val="auto"/>
          <w:spacing w:val="21"/>
          <w:sz w:val="21"/>
          <w:szCs w:val="21"/>
          <w:highlight w:val="none"/>
          <w:lang w:eastAsia="zh-CN"/>
        </w:rPr>
        <w:t>：</w:t>
      </w:r>
      <w:r>
        <w:rPr>
          <w:rFonts w:hint="eastAsia" w:ascii="宋体" w:hAnsi="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lang w:val="en-US" w:eastAsia="zh-CN"/>
        </w:rPr>
        <w:t xml:space="preserve">  </w:t>
      </w:r>
    </w:p>
    <w:p w14:paraId="69887FDE">
      <w:pPr>
        <w:keepNext w:val="0"/>
        <w:keepLines w:val="0"/>
        <w:pageBreakBefore w:val="0"/>
        <w:widowControl w:val="0"/>
        <w:kinsoku/>
        <w:wordWrap/>
        <w:overflowPunct/>
        <w:topLinePunct w:val="0"/>
        <w:autoSpaceDE/>
        <w:autoSpaceDN/>
        <w:bidi w:val="0"/>
        <w:adjustRightInd/>
        <w:snapToGrid/>
        <w:spacing w:line="400" w:lineRule="exact"/>
        <w:ind w:leftChars="300"/>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pacing w:val="21"/>
          <w:sz w:val="21"/>
          <w:szCs w:val="21"/>
          <w:highlight w:val="none"/>
        </w:rPr>
        <w:t>电</w:t>
      </w:r>
      <w:r>
        <w:rPr>
          <w:rFonts w:hint="eastAsia" w:ascii="宋体" w:hAnsi="宋体" w:eastAsia="宋体" w:cs="宋体"/>
          <w:b w:val="0"/>
          <w:bCs w:val="0"/>
          <w:color w:val="auto"/>
          <w:spacing w:val="21"/>
          <w:sz w:val="21"/>
          <w:szCs w:val="21"/>
          <w:highlight w:val="none"/>
          <w:lang w:val="en" w:eastAsia="zh-CN"/>
        </w:rPr>
        <w:t xml:space="preserve"> </w:t>
      </w:r>
      <w:r>
        <w:rPr>
          <w:rFonts w:hint="eastAsia" w:ascii="宋体" w:hAnsi="宋体" w:eastAsia="宋体" w:cs="宋体"/>
          <w:b w:val="0"/>
          <w:bCs w:val="0"/>
          <w:color w:val="auto"/>
          <w:spacing w:val="21"/>
          <w:sz w:val="21"/>
          <w:szCs w:val="21"/>
          <w:highlight w:val="none"/>
        </w:rPr>
        <w:t>话：</w:t>
      </w:r>
      <w:r>
        <w:rPr>
          <w:rFonts w:hint="eastAsia" w:ascii="宋体" w:hAnsi="宋体" w:eastAsia="宋体" w:cs="宋体"/>
          <w:b w:val="0"/>
          <w:bCs w:val="0"/>
          <w:color w:val="auto"/>
          <w:spacing w:val="0"/>
          <w:kern w:val="0"/>
          <w:sz w:val="21"/>
          <w:szCs w:val="21"/>
          <w:highlight w:val="none"/>
          <w:u w:val="single"/>
          <w:lang w:val="en-US" w:eastAsia="zh-CN"/>
        </w:rPr>
        <w:t xml:space="preserve">   </w:t>
      </w:r>
      <w:r>
        <w:rPr>
          <w:rFonts w:hint="eastAsia" w:ascii="宋体" w:hAnsi="宋体" w:eastAsia="宋体" w:cs="宋体"/>
          <w:b w:val="0"/>
          <w:bCs w:val="0"/>
          <w:color w:val="auto"/>
          <w:spacing w:val="0"/>
          <w:kern w:val="0"/>
          <w:sz w:val="21"/>
          <w:szCs w:val="21"/>
          <w:highlight w:val="none"/>
          <w:u w:val="single"/>
          <w:lang w:val="en" w:eastAsia="zh-CN"/>
        </w:rPr>
        <w:t xml:space="preserve">  </w:t>
      </w:r>
      <w:r>
        <w:rPr>
          <w:rFonts w:hint="eastAsia" w:ascii="宋体" w:hAnsi="宋体" w:eastAsia="宋体" w:cs="宋体"/>
          <w:b w:val="0"/>
          <w:bCs w:val="0"/>
          <w:color w:val="auto"/>
          <w:spacing w:val="0"/>
          <w:kern w:val="0"/>
          <w:sz w:val="21"/>
          <w:szCs w:val="21"/>
          <w:highlight w:val="none"/>
          <w:u w:val="single"/>
          <w:lang w:val="en-US" w:eastAsia="zh-CN"/>
        </w:rPr>
        <w:t xml:space="preserve">                  </w:t>
      </w:r>
      <w:r>
        <w:rPr>
          <w:rFonts w:hint="eastAsia" w:ascii="宋体" w:hAnsi="宋体" w:eastAsia="宋体" w:cs="宋体"/>
          <w:b w:val="0"/>
          <w:bCs w:val="0"/>
          <w:color w:val="auto"/>
          <w:spacing w:val="0"/>
          <w:kern w:val="0"/>
          <w:sz w:val="21"/>
          <w:szCs w:val="21"/>
          <w:highlight w:val="none"/>
          <w:u w:val="single"/>
          <w:lang w:val="en" w:eastAsia="zh-CN"/>
        </w:rPr>
        <w:t xml:space="preserve">   </w:t>
      </w:r>
      <w:r>
        <w:rPr>
          <w:rFonts w:hint="eastAsia" w:ascii="宋体" w:hAnsi="宋体" w:eastAsia="宋体" w:cs="宋体"/>
          <w:b w:val="0"/>
          <w:bCs w:val="0"/>
          <w:color w:val="auto"/>
          <w:spacing w:val="0"/>
          <w:kern w:val="0"/>
          <w:sz w:val="21"/>
          <w:szCs w:val="21"/>
          <w:highlight w:val="none"/>
          <w:u w:val="single"/>
          <w:lang w:val="en-US" w:eastAsia="zh-CN"/>
        </w:rPr>
        <w:t xml:space="preserve"> </w:t>
      </w:r>
      <w:r>
        <w:rPr>
          <w:rFonts w:hint="eastAsia" w:ascii="宋体" w:hAnsi="宋体" w:eastAsia="宋体" w:cs="宋体"/>
          <w:b w:val="0"/>
          <w:bCs w:val="0"/>
          <w:color w:val="auto"/>
          <w:spacing w:val="0"/>
          <w:kern w:val="0"/>
          <w:sz w:val="21"/>
          <w:szCs w:val="21"/>
          <w:highlight w:val="none"/>
          <w:u w:val="single"/>
          <w:lang w:val="en" w:eastAsia="zh-CN"/>
        </w:rPr>
        <w:t xml:space="preserve">  </w:t>
      </w:r>
      <w:r>
        <w:rPr>
          <w:rFonts w:hint="eastAsia" w:ascii="宋体" w:hAnsi="宋体" w:eastAsia="宋体" w:cs="宋体"/>
          <w:b w:val="0"/>
          <w:bCs w:val="0"/>
          <w:color w:val="auto"/>
          <w:spacing w:val="0"/>
          <w:kern w:val="0"/>
          <w:sz w:val="21"/>
          <w:szCs w:val="21"/>
          <w:highlight w:val="none"/>
          <w:u w:val="single"/>
          <w:lang w:val="en-US" w:eastAsia="zh-CN"/>
        </w:rPr>
        <w:t xml:space="preserve">  </w:t>
      </w:r>
      <w:r>
        <w:rPr>
          <w:rFonts w:hint="eastAsia" w:ascii="宋体" w:hAnsi="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lang w:val="en-US" w:eastAsia="zh-CN"/>
        </w:rPr>
        <w:t xml:space="preserve">  </w:t>
      </w:r>
    </w:p>
    <w:p w14:paraId="34DA671F">
      <w:pPr>
        <w:keepNext w:val="0"/>
        <w:keepLines w:val="0"/>
        <w:pageBreakBefore w:val="0"/>
        <w:widowControl w:val="0"/>
        <w:kinsoku/>
        <w:wordWrap/>
        <w:overflowPunct/>
        <w:topLinePunct w:val="0"/>
        <w:autoSpaceDE/>
        <w:autoSpaceDN/>
        <w:bidi w:val="0"/>
        <w:adjustRightInd/>
        <w:snapToGrid/>
        <w:spacing w:line="400" w:lineRule="exact"/>
        <w:ind w:leftChars="3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pacing w:val="21"/>
          <w:sz w:val="21"/>
          <w:szCs w:val="21"/>
          <w:highlight w:val="none"/>
        </w:rPr>
        <w:t>电</w:t>
      </w:r>
      <w:r>
        <w:rPr>
          <w:rFonts w:hint="eastAsia" w:ascii="宋体" w:hAnsi="宋体" w:eastAsia="宋体" w:cs="宋体"/>
          <w:b w:val="0"/>
          <w:bCs w:val="0"/>
          <w:color w:val="auto"/>
          <w:spacing w:val="21"/>
          <w:sz w:val="21"/>
          <w:szCs w:val="21"/>
          <w:highlight w:val="none"/>
          <w:lang w:val="en" w:eastAsia="zh-CN"/>
        </w:rPr>
        <w:t xml:space="preserve"> </w:t>
      </w:r>
      <w:r>
        <w:rPr>
          <w:rFonts w:hint="eastAsia" w:ascii="宋体" w:hAnsi="宋体" w:eastAsia="宋体" w:cs="宋体"/>
          <w:b w:val="0"/>
          <w:bCs w:val="0"/>
          <w:color w:val="auto"/>
          <w:spacing w:val="21"/>
          <w:sz w:val="21"/>
          <w:szCs w:val="21"/>
          <w:highlight w:val="none"/>
        </w:rPr>
        <w:t>子</w:t>
      </w:r>
      <w:r>
        <w:rPr>
          <w:rFonts w:hint="eastAsia" w:ascii="宋体" w:hAnsi="宋体" w:eastAsia="宋体" w:cs="宋体"/>
          <w:b w:val="0"/>
          <w:bCs w:val="0"/>
          <w:color w:val="auto"/>
          <w:spacing w:val="21"/>
          <w:sz w:val="21"/>
          <w:szCs w:val="21"/>
          <w:highlight w:val="none"/>
          <w:lang w:val="en" w:eastAsia="zh-CN"/>
        </w:rPr>
        <w:t xml:space="preserve"> </w:t>
      </w:r>
      <w:r>
        <w:rPr>
          <w:rFonts w:hint="eastAsia" w:ascii="宋体" w:hAnsi="宋体" w:eastAsia="宋体" w:cs="宋体"/>
          <w:b w:val="0"/>
          <w:bCs w:val="0"/>
          <w:color w:val="auto"/>
          <w:spacing w:val="21"/>
          <w:sz w:val="21"/>
          <w:szCs w:val="21"/>
          <w:highlight w:val="none"/>
        </w:rPr>
        <w:t>邮</w:t>
      </w:r>
      <w:r>
        <w:rPr>
          <w:rFonts w:hint="eastAsia" w:ascii="宋体" w:hAnsi="宋体" w:eastAsia="宋体" w:cs="宋体"/>
          <w:b w:val="0"/>
          <w:bCs w:val="0"/>
          <w:color w:val="auto"/>
          <w:spacing w:val="21"/>
          <w:sz w:val="21"/>
          <w:szCs w:val="21"/>
          <w:highlight w:val="none"/>
          <w:lang w:val="en" w:eastAsia="zh-CN"/>
        </w:rPr>
        <w:t xml:space="preserve"> </w:t>
      </w:r>
      <w:r>
        <w:rPr>
          <w:rFonts w:hint="eastAsia" w:ascii="宋体" w:hAnsi="宋体" w:eastAsia="宋体" w:cs="宋体"/>
          <w:b w:val="0"/>
          <w:bCs w:val="0"/>
          <w:color w:val="auto"/>
          <w:spacing w:val="21"/>
          <w:sz w:val="21"/>
          <w:szCs w:val="21"/>
          <w:highlight w:val="none"/>
        </w:rPr>
        <w:t>箱：</w:t>
      </w:r>
      <w:r>
        <w:rPr>
          <w:rFonts w:hint="eastAsia" w:ascii="宋体" w:hAnsi="宋体" w:eastAsia="宋体" w:cs="宋体"/>
          <w:b w:val="0"/>
          <w:bCs w:val="0"/>
          <w:color w:val="auto"/>
          <w:spacing w:val="0"/>
          <w:kern w:val="0"/>
          <w:sz w:val="21"/>
          <w:szCs w:val="21"/>
          <w:highlight w:val="none"/>
          <w:u w:val="single"/>
          <w:lang w:eastAsia="zh-CN"/>
        </w:rPr>
        <w:t xml:space="preserve"> </w:t>
      </w:r>
      <w:r>
        <w:rPr>
          <w:rFonts w:hint="eastAsia" w:ascii="宋体" w:hAnsi="宋体" w:eastAsia="宋体" w:cs="宋体"/>
          <w:b w:val="0"/>
          <w:bCs w:val="0"/>
          <w:color w:val="auto"/>
          <w:kern w:val="0"/>
          <w:sz w:val="21"/>
          <w:szCs w:val="21"/>
          <w:highlight w:val="none"/>
          <w:u w:val="single"/>
        </w:rPr>
        <w:t xml:space="preserve">  </w:t>
      </w:r>
      <w:r>
        <w:rPr>
          <w:rFonts w:hint="eastAsia" w:ascii="宋体" w:hAnsi="宋体" w:eastAsia="宋体" w:cs="宋体"/>
          <w:b w:val="0"/>
          <w:bCs w:val="0"/>
          <w:color w:val="auto"/>
          <w:kern w:val="0"/>
          <w:sz w:val="21"/>
          <w:szCs w:val="21"/>
          <w:highlight w:val="none"/>
          <w:u w:val="single"/>
          <w:lang w:val="en"/>
        </w:rPr>
        <w:t xml:space="preserve"> </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lang w:val="en"/>
        </w:rPr>
        <w:t xml:space="preserve">    </w:t>
      </w:r>
      <w:r>
        <w:rPr>
          <w:rFonts w:hint="eastAsia" w:ascii="宋体" w:hAnsi="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lang w:val="en-US" w:eastAsia="zh-CN"/>
        </w:rPr>
        <w:t xml:space="preserve">  </w:t>
      </w:r>
    </w:p>
    <w:p w14:paraId="64E1302B">
      <w:pPr>
        <w:keepNext w:val="0"/>
        <w:keepLines w:val="0"/>
        <w:pageBreakBefore w:val="0"/>
        <w:kinsoku/>
        <w:wordWrap/>
        <w:overflowPunct/>
        <w:topLinePunct w:val="0"/>
        <w:bidi w:val="0"/>
        <w:snapToGrid/>
        <w:spacing w:line="400" w:lineRule="exact"/>
        <w:ind w:leftChars="300"/>
        <w:textAlignment w:val="auto"/>
        <w:rPr>
          <w:rFonts w:hint="eastAsia"/>
          <w:color w:val="auto"/>
          <w:sz w:val="21"/>
          <w:szCs w:val="21"/>
          <w:highlight w:val="none"/>
          <w:lang w:val="en-US" w:eastAsia="zh-CN"/>
        </w:rPr>
      </w:pPr>
    </w:p>
    <w:p w14:paraId="49A8CAA7">
      <w:pPr>
        <w:keepNext w:val="0"/>
        <w:keepLines w:val="0"/>
        <w:pageBreakBefore w:val="0"/>
        <w:kinsoku/>
        <w:wordWrap/>
        <w:overflowPunct/>
        <w:topLinePunct w:val="0"/>
        <w:bidi w:val="0"/>
        <w:snapToGrid/>
        <w:spacing w:line="400" w:lineRule="exact"/>
        <w:ind w:leftChars="300"/>
        <w:textAlignment w:val="auto"/>
        <w:rPr>
          <w:rFonts w:hint="eastAsia"/>
          <w:color w:val="auto"/>
          <w:sz w:val="21"/>
          <w:szCs w:val="21"/>
          <w:highlight w:val="none"/>
          <w:lang w:val="en-US" w:eastAsia="zh-CN"/>
        </w:rPr>
      </w:pPr>
    </w:p>
    <w:p w14:paraId="6DDF5EAC">
      <w:pPr>
        <w:keepNext w:val="0"/>
        <w:keepLines w:val="0"/>
        <w:pageBreakBefore w:val="0"/>
        <w:widowControl/>
        <w:kinsoku/>
        <w:wordWrap/>
        <w:overflowPunct/>
        <w:topLinePunct w:val="0"/>
        <w:autoSpaceDE w:val="0"/>
        <w:autoSpaceDN w:val="0"/>
        <w:bidi w:val="0"/>
        <w:adjustRightInd w:val="0"/>
        <w:snapToGrid/>
        <w:spacing w:line="400" w:lineRule="exact"/>
        <w:ind w:leftChars="3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乙方（供应商）：</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lang w:val="en-US" w:eastAsia="zh-CN"/>
        </w:rPr>
        <w:t xml:space="preserve">  </w:t>
      </w:r>
    </w:p>
    <w:p w14:paraId="1341CFBC">
      <w:pPr>
        <w:keepNext w:val="0"/>
        <w:keepLines w:val="0"/>
        <w:pageBreakBefore w:val="0"/>
        <w:widowControl w:val="0"/>
        <w:kinsoku/>
        <w:wordWrap/>
        <w:overflowPunct/>
        <w:topLinePunct w:val="0"/>
        <w:autoSpaceDE/>
        <w:autoSpaceDN/>
        <w:bidi w:val="0"/>
        <w:adjustRightInd/>
        <w:snapToGrid/>
        <w:spacing w:line="400" w:lineRule="exact"/>
        <w:ind w:leftChars="3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住</w:t>
      </w:r>
      <w:r>
        <w:rPr>
          <w:rFonts w:hint="eastAsia" w:ascii="宋体" w:hAnsi="宋体" w:eastAsia="宋体" w:cs="宋体"/>
          <w:b w:val="0"/>
          <w:bCs w:val="0"/>
          <w:color w:val="auto"/>
          <w:kern w:val="0"/>
          <w:sz w:val="21"/>
          <w:szCs w:val="21"/>
          <w:highlight w:val="none"/>
          <w:lang w:val="en" w:eastAsia="zh-CN"/>
        </w:rPr>
        <w:t xml:space="preserve"> </w:t>
      </w:r>
      <w:r>
        <w:rPr>
          <w:rFonts w:hint="eastAsia" w:ascii="宋体" w:hAnsi="宋体" w:eastAsia="宋体" w:cs="宋体"/>
          <w:b w:val="0"/>
          <w:bCs w:val="0"/>
          <w:color w:val="auto"/>
          <w:kern w:val="0"/>
          <w:sz w:val="21"/>
          <w:szCs w:val="21"/>
          <w:highlight w:val="none"/>
        </w:rPr>
        <w:t>所</w:t>
      </w:r>
      <w:r>
        <w:rPr>
          <w:rFonts w:hint="eastAsia" w:ascii="宋体" w:hAnsi="宋体" w:eastAsia="宋体" w:cs="宋体"/>
          <w:b w:val="0"/>
          <w:bCs w:val="0"/>
          <w:color w:val="auto"/>
          <w:kern w:val="0"/>
          <w:sz w:val="21"/>
          <w:szCs w:val="21"/>
          <w:highlight w:val="none"/>
          <w:lang w:val="en" w:eastAsia="zh-CN"/>
        </w:rPr>
        <w:t xml:space="preserve"> </w:t>
      </w:r>
      <w:r>
        <w:rPr>
          <w:rFonts w:hint="eastAsia" w:ascii="宋体" w:hAnsi="宋体" w:eastAsia="宋体" w:cs="宋体"/>
          <w:b w:val="0"/>
          <w:bCs w:val="0"/>
          <w:color w:val="auto"/>
          <w:kern w:val="0"/>
          <w:sz w:val="21"/>
          <w:szCs w:val="21"/>
          <w:highlight w:val="none"/>
        </w:rPr>
        <w:t>地：</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rPr>
        <w:t xml:space="preserve">        </w:t>
      </w:r>
      <w:r>
        <w:rPr>
          <w:rFonts w:hint="eastAsia" w:ascii="宋体" w:hAnsi="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lang w:val="en-US" w:eastAsia="zh-CN"/>
        </w:rPr>
        <w:t xml:space="preserve">  </w:t>
      </w:r>
    </w:p>
    <w:p w14:paraId="5C0286CC">
      <w:pPr>
        <w:keepNext w:val="0"/>
        <w:keepLines w:val="0"/>
        <w:pageBreakBefore w:val="0"/>
        <w:widowControl w:val="0"/>
        <w:kinsoku/>
        <w:wordWrap/>
        <w:overflowPunct/>
        <w:topLinePunct w:val="0"/>
        <w:autoSpaceDE/>
        <w:autoSpaceDN/>
        <w:bidi w:val="0"/>
        <w:adjustRightInd/>
        <w:snapToGrid/>
        <w:spacing w:line="400" w:lineRule="exact"/>
        <w:ind w:leftChars="300"/>
        <w:textAlignment w:val="auto"/>
        <w:rPr>
          <w:rFonts w:hint="eastAsia" w:ascii="宋体" w:hAnsi="宋体" w:eastAsia="宋体" w:cs="宋体"/>
          <w:b w:val="0"/>
          <w:bCs w:val="0"/>
          <w:color w:val="auto"/>
          <w:kern w:val="0"/>
          <w:sz w:val="21"/>
          <w:szCs w:val="21"/>
          <w:highlight w:val="none"/>
          <w:u w:val="single"/>
          <w:lang w:val="en"/>
        </w:rPr>
      </w:pPr>
      <w:r>
        <w:rPr>
          <w:rFonts w:hint="eastAsia" w:ascii="宋体" w:hAnsi="宋体" w:eastAsia="宋体" w:cs="宋体"/>
          <w:b w:val="0"/>
          <w:bCs w:val="0"/>
          <w:color w:val="auto"/>
          <w:kern w:val="0"/>
          <w:sz w:val="21"/>
          <w:szCs w:val="21"/>
          <w:highlight w:val="none"/>
        </w:rPr>
        <w:t>法 定 代 表 人：</w:t>
      </w:r>
      <w:r>
        <w:rPr>
          <w:rFonts w:hint="eastAsia" w:ascii="宋体" w:hAnsi="宋体" w:eastAsia="宋体" w:cs="宋体"/>
          <w:b w:val="0"/>
          <w:bCs w:val="0"/>
          <w:color w:val="auto"/>
          <w:kern w:val="0"/>
          <w:sz w:val="21"/>
          <w:szCs w:val="21"/>
          <w:highlight w:val="none"/>
          <w:u w:val="single"/>
        </w:rPr>
        <w:t xml:space="preserve">   </w:t>
      </w:r>
      <w:r>
        <w:rPr>
          <w:rFonts w:hint="eastAsia" w:ascii="宋体" w:hAnsi="宋体" w:eastAsia="宋体" w:cs="宋体"/>
          <w:b w:val="0"/>
          <w:bCs w:val="0"/>
          <w:color w:val="auto"/>
          <w:kern w:val="0"/>
          <w:sz w:val="21"/>
          <w:szCs w:val="21"/>
          <w:highlight w:val="none"/>
          <w:u w:val="single"/>
          <w:lang w:val="en"/>
        </w:rPr>
        <w:t xml:space="preserve">      </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lang w:val="en"/>
        </w:rPr>
        <w:t xml:space="preserve">       </w:t>
      </w:r>
      <w:r>
        <w:rPr>
          <w:rFonts w:hint="eastAsia" w:ascii="宋体" w:hAnsi="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lang w:val="en-US" w:eastAsia="zh-CN"/>
        </w:rPr>
        <w:t xml:space="preserve">  </w:t>
      </w:r>
    </w:p>
    <w:p w14:paraId="048F4694">
      <w:pPr>
        <w:keepNext w:val="0"/>
        <w:keepLines w:val="0"/>
        <w:pageBreakBefore w:val="0"/>
        <w:widowControl w:val="0"/>
        <w:kinsoku/>
        <w:wordWrap/>
        <w:overflowPunct/>
        <w:topLinePunct w:val="0"/>
        <w:autoSpaceDE/>
        <w:autoSpaceDN/>
        <w:bidi w:val="0"/>
        <w:adjustRightInd/>
        <w:snapToGrid/>
        <w:spacing w:line="400" w:lineRule="exact"/>
        <w:ind w:leftChars="300"/>
        <w:textAlignment w:val="auto"/>
        <w:rPr>
          <w:rFonts w:hint="default" w:ascii="宋体" w:hAnsi="宋体" w:eastAsia="宋体" w:cs="宋体"/>
          <w:b w:val="0"/>
          <w:bCs w:val="0"/>
          <w:color w:val="auto"/>
          <w:kern w:val="0"/>
          <w:sz w:val="21"/>
          <w:szCs w:val="21"/>
          <w:highlight w:val="none"/>
          <w:u w:val="single"/>
          <w:lang w:val="en-US"/>
        </w:rPr>
      </w:pPr>
      <w:r>
        <w:rPr>
          <w:rFonts w:hint="eastAsia" w:ascii="宋体" w:hAnsi="宋体" w:eastAsia="宋体" w:cs="宋体"/>
          <w:b w:val="0"/>
          <w:bCs w:val="0"/>
          <w:color w:val="auto"/>
          <w:spacing w:val="21"/>
          <w:sz w:val="21"/>
          <w:szCs w:val="21"/>
          <w:highlight w:val="none"/>
        </w:rPr>
        <w:t>通</w:t>
      </w:r>
      <w:r>
        <w:rPr>
          <w:rFonts w:hint="eastAsia" w:ascii="宋体" w:hAnsi="宋体" w:eastAsia="宋体" w:cs="宋体"/>
          <w:b w:val="0"/>
          <w:bCs w:val="0"/>
          <w:color w:val="auto"/>
          <w:spacing w:val="21"/>
          <w:sz w:val="21"/>
          <w:szCs w:val="21"/>
          <w:highlight w:val="none"/>
          <w:lang w:val="en" w:eastAsia="zh-CN"/>
        </w:rPr>
        <w:t xml:space="preserve"> </w:t>
      </w:r>
      <w:r>
        <w:rPr>
          <w:rFonts w:hint="eastAsia" w:ascii="宋体" w:hAnsi="宋体" w:eastAsia="宋体" w:cs="宋体"/>
          <w:b w:val="0"/>
          <w:bCs w:val="0"/>
          <w:color w:val="auto"/>
          <w:spacing w:val="21"/>
          <w:sz w:val="21"/>
          <w:szCs w:val="21"/>
          <w:highlight w:val="none"/>
        </w:rPr>
        <w:t>讯</w:t>
      </w:r>
      <w:r>
        <w:rPr>
          <w:rFonts w:hint="eastAsia" w:ascii="宋体" w:hAnsi="宋体" w:eastAsia="宋体" w:cs="宋体"/>
          <w:b w:val="0"/>
          <w:bCs w:val="0"/>
          <w:color w:val="auto"/>
          <w:spacing w:val="21"/>
          <w:sz w:val="21"/>
          <w:szCs w:val="21"/>
          <w:highlight w:val="none"/>
          <w:lang w:val="en" w:eastAsia="zh-CN"/>
        </w:rPr>
        <w:t xml:space="preserve"> </w:t>
      </w:r>
      <w:r>
        <w:rPr>
          <w:rFonts w:hint="eastAsia" w:ascii="宋体" w:hAnsi="宋体" w:eastAsia="宋体" w:cs="宋体"/>
          <w:b w:val="0"/>
          <w:bCs w:val="0"/>
          <w:color w:val="auto"/>
          <w:spacing w:val="21"/>
          <w:sz w:val="21"/>
          <w:szCs w:val="21"/>
          <w:highlight w:val="none"/>
        </w:rPr>
        <w:t>地</w:t>
      </w:r>
      <w:r>
        <w:rPr>
          <w:rFonts w:hint="eastAsia" w:ascii="宋体" w:hAnsi="宋体" w:eastAsia="宋体" w:cs="宋体"/>
          <w:b w:val="0"/>
          <w:bCs w:val="0"/>
          <w:color w:val="auto"/>
          <w:spacing w:val="21"/>
          <w:sz w:val="21"/>
          <w:szCs w:val="21"/>
          <w:highlight w:val="none"/>
          <w:lang w:val="en" w:eastAsia="zh-CN"/>
        </w:rPr>
        <w:t xml:space="preserve"> </w:t>
      </w:r>
      <w:r>
        <w:rPr>
          <w:rFonts w:hint="eastAsia" w:ascii="宋体" w:hAnsi="宋体" w:eastAsia="宋体" w:cs="宋体"/>
          <w:b w:val="0"/>
          <w:bCs w:val="0"/>
          <w:color w:val="auto"/>
          <w:spacing w:val="21"/>
          <w:sz w:val="21"/>
          <w:szCs w:val="21"/>
          <w:highlight w:val="none"/>
        </w:rPr>
        <w:t>址：</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lang w:val="en-US" w:eastAsia="zh-CN"/>
        </w:rPr>
        <w:t xml:space="preserve">  </w:t>
      </w:r>
    </w:p>
    <w:p w14:paraId="10FB63FF">
      <w:pPr>
        <w:keepNext w:val="0"/>
        <w:keepLines w:val="0"/>
        <w:pageBreakBefore w:val="0"/>
        <w:widowControl w:val="0"/>
        <w:kinsoku/>
        <w:wordWrap/>
        <w:overflowPunct/>
        <w:topLinePunct w:val="0"/>
        <w:autoSpaceDE/>
        <w:autoSpaceDN/>
        <w:bidi w:val="0"/>
        <w:adjustRightInd/>
        <w:snapToGrid/>
        <w:spacing w:line="400" w:lineRule="exact"/>
        <w:ind w:leftChars="3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1"/>
          <w:sz w:val="21"/>
          <w:szCs w:val="21"/>
          <w:highlight w:val="none"/>
        </w:rPr>
        <w:t>电 话：</w:t>
      </w:r>
      <w:r>
        <w:rPr>
          <w:rFonts w:hint="eastAsia" w:ascii="宋体" w:hAnsi="宋体" w:eastAsia="宋体" w:cs="宋体"/>
          <w:b w:val="0"/>
          <w:bCs w:val="0"/>
          <w:color w:val="auto"/>
          <w:kern w:val="0"/>
          <w:sz w:val="21"/>
          <w:szCs w:val="21"/>
          <w:highlight w:val="none"/>
          <w:u w:val="single"/>
        </w:rPr>
        <w:t xml:space="preserve"> </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lang w:val="en"/>
        </w:rPr>
        <w:t xml:space="preserve">          </w:t>
      </w:r>
      <w:r>
        <w:rPr>
          <w:rFonts w:hint="eastAsia" w:ascii="宋体" w:hAnsi="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lang w:val="en-US" w:eastAsia="zh-CN"/>
        </w:rPr>
        <w:t xml:space="preserve">  </w:t>
      </w:r>
    </w:p>
    <w:p w14:paraId="122D46FC">
      <w:pPr>
        <w:keepNext w:val="0"/>
        <w:keepLines w:val="0"/>
        <w:pageBreakBefore w:val="0"/>
        <w:kinsoku/>
        <w:wordWrap/>
        <w:overflowPunct/>
        <w:topLinePunct w:val="0"/>
        <w:bidi w:val="0"/>
        <w:snapToGrid/>
        <w:spacing w:line="400" w:lineRule="exact"/>
        <w:ind w:leftChars="3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21"/>
          <w:sz w:val="21"/>
          <w:szCs w:val="21"/>
          <w:highlight w:val="none"/>
        </w:rPr>
        <w:t>电</w:t>
      </w:r>
      <w:r>
        <w:rPr>
          <w:rFonts w:hint="eastAsia" w:ascii="宋体" w:hAnsi="宋体" w:eastAsia="宋体" w:cs="宋体"/>
          <w:b w:val="0"/>
          <w:bCs w:val="0"/>
          <w:color w:val="auto"/>
          <w:spacing w:val="21"/>
          <w:sz w:val="21"/>
          <w:szCs w:val="21"/>
          <w:highlight w:val="none"/>
          <w:lang w:val="en"/>
        </w:rPr>
        <w:t xml:space="preserve"> </w:t>
      </w:r>
      <w:r>
        <w:rPr>
          <w:rFonts w:hint="eastAsia" w:ascii="宋体" w:hAnsi="宋体" w:eastAsia="宋体" w:cs="宋体"/>
          <w:b w:val="0"/>
          <w:bCs w:val="0"/>
          <w:color w:val="auto"/>
          <w:spacing w:val="21"/>
          <w:sz w:val="21"/>
          <w:szCs w:val="21"/>
          <w:highlight w:val="none"/>
        </w:rPr>
        <w:t>子</w:t>
      </w:r>
      <w:r>
        <w:rPr>
          <w:rFonts w:hint="eastAsia" w:ascii="宋体" w:hAnsi="宋体" w:eastAsia="宋体" w:cs="宋体"/>
          <w:b w:val="0"/>
          <w:bCs w:val="0"/>
          <w:color w:val="auto"/>
          <w:spacing w:val="21"/>
          <w:sz w:val="21"/>
          <w:szCs w:val="21"/>
          <w:highlight w:val="none"/>
          <w:lang w:val="en"/>
        </w:rPr>
        <w:t xml:space="preserve"> </w:t>
      </w:r>
      <w:r>
        <w:rPr>
          <w:rFonts w:hint="eastAsia" w:ascii="宋体" w:hAnsi="宋体" w:eastAsia="宋体" w:cs="宋体"/>
          <w:b w:val="0"/>
          <w:bCs w:val="0"/>
          <w:color w:val="auto"/>
          <w:spacing w:val="21"/>
          <w:sz w:val="21"/>
          <w:szCs w:val="21"/>
          <w:highlight w:val="none"/>
        </w:rPr>
        <w:t>邮</w:t>
      </w:r>
      <w:r>
        <w:rPr>
          <w:rFonts w:hint="eastAsia" w:ascii="宋体" w:hAnsi="宋体" w:eastAsia="宋体" w:cs="宋体"/>
          <w:b w:val="0"/>
          <w:bCs w:val="0"/>
          <w:color w:val="auto"/>
          <w:spacing w:val="21"/>
          <w:sz w:val="21"/>
          <w:szCs w:val="21"/>
          <w:highlight w:val="none"/>
          <w:lang w:val="en"/>
        </w:rPr>
        <w:t xml:space="preserve"> </w:t>
      </w:r>
      <w:r>
        <w:rPr>
          <w:rFonts w:hint="eastAsia" w:ascii="宋体" w:hAnsi="宋体" w:eastAsia="宋体" w:cs="宋体"/>
          <w:b w:val="0"/>
          <w:bCs w:val="0"/>
          <w:color w:val="auto"/>
          <w:spacing w:val="21"/>
          <w:sz w:val="21"/>
          <w:szCs w:val="21"/>
          <w:highlight w:val="none"/>
        </w:rPr>
        <w:t>箱：</w:t>
      </w:r>
      <w:r>
        <w:rPr>
          <w:rFonts w:hint="eastAsia" w:ascii="宋体" w:hAnsi="宋体" w:eastAsia="宋体" w:cs="宋体"/>
          <w:b w:val="0"/>
          <w:bCs w:val="0"/>
          <w:color w:val="auto"/>
          <w:spacing w:val="21"/>
          <w:sz w:val="21"/>
          <w:szCs w:val="21"/>
          <w:highlight w:val="none"/>
          <w:lang w:val="en"/>
        </w:rPr>
        <w:t xml:space="preserve"> </w:t>
      </w:r>
      <w:r>
        <w:rPr>
          <w:rFonts w:hint="eastAsia" w:ascii="宋体" w:hAnsi="宋体" w:eastAsia="宋体" w:cs="宋体"/>
          <w:b w:val="0"/>
          <w:bCs w:val="0"/>
          <w:color w:val="auto"/>
          <w:spacing w:val="21"/>
          <w:sz w:val="21"/>
          <w:szCs w:val="21"/>
          <w:highlight w:val="none"/>
          <w:u w:val="single"/>
          <w:lang w:val="en"/>
        </w:rPr>
        <w:t xml:space="preserve"> </w:t>
      </w:r>
      <w:r>
        <w:rPr>
          <w:rFonts w:hint="eastAsia" w:ascii="宋体" w:hAnsi="宋体" w:eastAsia="宋体" w:cs="宋体"/>
          <w:b w:val="0"/>
          <w:bCs w:val="0"/>
          <w:color w:val="auto"/>
          <w:spacing w:val="21"/>
          <w:sz w:val="21"/>
          <w:szCs w:val="21"/>
          <w:highlight w:val="none"/>
          <w:u w:val="single"/>
          <w:lang w:val="en-US" w:eastAsia="zh-CN"/>
        </w:rPr>
        <w:t xml:space="preserve">             </w:t>
      </w:r>
      <w:r>
        <w:rPr>
          <w:rFonts w:hint="eastAsia" w:ascii="宋体" w:hAnsi="宋体" w:eastAsia="宋体" w:cs="宋体"/>
          <w:b w:val="0"/>
          <w:bCs w:val="0"/>
          <w:color w:val="auto"/>
          <w:spacing w:val="21"/>
          <w:sz w:val="21"/>
          <w:szCs w:val="21"/>
          <w:highlight w:val="none"/>
          <w:u w:val="single"/>
          <w:lang w:val="en"/>
        </w:rPr>
        <w:t xml:space="preserve">   </w:t>
      </w:r>
      <w:r>
        <w:rPr>
          <w:rFonts w:hint="eastAsia" w:ascii="宋体" w:hAnsi="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lang w:val="en-US" w:eastAsia="zh-CN"/>
        </w:rPr>
        <w:t xml:space="preserve">  </w:t>
      </w:r>
    </w:p>
    <w:p w14:paraId="1EA30199">
      <w:pPr>
        <w:pStyle w:val="14"/>
        <w:pageBreakBefore w:val="0"/>
        <w:kinsoku/>
        <w:wordWrap/>
        <w:overflowPunct/>
        <w:topLinePunct w:val="0"/>
        <w:bidi w:val="0"/>
        <w:spacing w:line="400" w:lineRule="exact"/>
        <w:ind w:leftChars="300"/>
        <w:textAlignment w:val="auto"/>
        <w:rPr>
          <w:rFonts w:hint="eastAsia" w:ascii="宋体" w:hAnsi="宋体" w:eastAsia="宋体" w:cs="宋体"/>
          <w:color w:val="auto"/>
          <w:sz w:val="21"/>
          <w:szCs w:val="21"/>
          <w:highlight w:val="none"/>
        </w:rPr>
      </w:pPr>
    </w:p>
    <w:p w14:paraId="3839F04E">
      <w:pPr>
        <w:pStyle w:val="14"/>
        <w:spacing w:line="720" w:lineRule="auto"/>
        <w:ind w:right="420"/>
        <w:jc w:val="center"/>
        <w:rPr>
          <w:rFonts w:hint="eastAsia" w:ascii="宋体" w:hAnsi="宋体" w:cs="宋体"/>
          <w:color w:val="auto"/>
          <w:kern w:val="0"/>
          <w:sz w:val="24"/>
          <w:szCs w:val="24"/>
          <w:highlight w:val="none"/>
          <w:lang w:eastAsia="zh-CN"/>
        </w:rPr>
      </w:pPr>
      <w:r>
        <w:rPr>
          <w:rFonts w:hint="eastAsia" w:hAnsi="宋体" w:cs="宋体"/>
          <w:b/>
          <w:bCs/>
          <w:color w:val="auto"/>
          <w:sz w:val="32"/>
          <w:szCs w:val="32"/>
          <w:highlight w:val="none"/>
          <w:lang w:eastAsia="zh-CN"/>
        </w:rPr>
        <w:br w:type="page"/>
      </w:r>
      <w:r>
        <w:rPr>
          <w:rFonts w:hint="eastAsia" w:hAnsi="宋体" w:cs="宋体"/>
          <w:b/>
          <w:bCs/>
          <w:color w:val="auto"/>
          <w:sz w:val="32"/>
          <w:szCs w:val="32"/>
          <w:highlight w:val="none"/>
        </w:rPr>
        <w:t>采购</w:t>
      </w:r>
      <w:r>
        <w:rPr>
          <w:rFonts w:hint="eastAsia" w:hAnsi="宋体" w:cs="宋体"/>
          <w:b/>
          <w:bCs/>
          <w:color w:val="auto"/>
          <w:sz w:val="32"/>
          <w:szCs w:val="32"/>
          <w:highlight w:val="none"/>
          <w:lang w:eastAsia="zh-CN"/>
        </w:rPr>
        <w:t>技术服务</w:t>
      </w:r>
      <w:r>
        <w:rPr>
          <w:rFonts w:hint="eastAsia" w:hAnsi="宋体" w:cs="宋体"/>
          <w:b/>
          <w:bCs/>
          <w:color w:val="auto"/>
          <w:sz w:val="32"/>
          <w:szCs w:val="32"/>
          <w:highlight w:val="none"/>
        </w:rPr>
        <w:t>合同</w:t>
      </w:r>
    </w:p>
    <w:p w14:paraId="364AA34E">
      <w:pPr>
        <w:widowControl w:val="0"/>
        <w:spacing w:line="360" w:lineRule="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合同编号：</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lang w:val="en-US" w:eastAsia="zh-CN"/>
        </w:rPr>
        <w:t xml:space="preserve">    </w:t>
      </w:r>
    </w:p>
    <w:p w14:paraId="31E49789">
      <w:pPr>
        <w:widowControl w:val="0"/>
        <w:spacing w:line="360" w:lineRule="auto"/>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甲方（采购人）：</w:t>
      </w:r>
      <w:r>
        <w:rPr>
          <w:rFonts w:hint="eastAsia" w:ascii="宋体" w:hAnsi="宋体" w:cs="宋体"/>
          <w:color w:val="auto"/>
          <w:kern w:val="0"/>
          <w:sz w:val="24"/>
          <w:szCs w:val="24"/>
          <w:highlight w:val="none"/>
          <w:u w:val="single"/>
          <w:lang w:val="en-US" w:eastAsia="zh-CN"/>
        </w:rPr>
        <w:t xml:space="preserve">           </w:t>
      </w:r>
    </w:p>
    <w:p w14:paraId="41C0AAD9">
      <w:pPr>
        <w:widowControl w:val="0"/>
        <w:spacing w:line="360" w:lineRule="auto"/>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乙方（供应商）：</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 </w:t>
      </w:r>
    </w:p>
    <w:p w14:paraId="111BD7A2">
      <w:pPr>
        <w:widowControl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u w:val="single"/>
          <w:lang w:val="en-US" w:eastAsia="zh-CN"/>
        </w:rPr>
        <w:t xml:space="preserve">                 </w:t>
      </w:r>
    </w:p>
    <w:p w14:paraId="3D44ABB3">
      <w:pPr>
        <w:widowControl w:val="0"/>
        <w:spacing w:line="360" w:lineRule="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     </w:t>
      </w:r>
    </w:p>
    <w:p w14:paraId="07681C86">
      <w:pPr>
        <w:widowControl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签订地点：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70C7B213">
      <w:pPr>
        <w:widowControl w:val="0"/>
        <w:spacing w:line="360" w:lineRule="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签订时间：</w:t>
      </w:r>
      <w:r>
        <w:rPr>
          <w:rFonts w:hint="eastAsia" w:ascii="宋体" w:hAnsi="宋体" w:eastAsia="宋体" w:cs="宋体"/>
          <w:color w:val="auto"/>
          <w:kern w:val="0"/>
          <w:sz w:val="24"/>
          <w:szCs w:val="24"/>
          <w:highlight w:val="none"/>
          <w:u w:val="single"/>
          <w:lang w:val="en-US" w:eastAsia="zh-CN"/>
        </w:rPr>
        <w:t xml:space="preserve">                 </w:t>
      </w:r>
    </w:p>
    <w:p w14:paraId="25FD4E64">
      <w:pPr>
        <w:keepNext w:val="0"/>
        <w:keepLines w:val="0"/>
        <w:pageBreakBefore w:val="0"/>
        <w:widowControl w:val="0"/>
        <w:wordWrap/>
        <w:overflowPunct/>
        <w:topLinePunct w:val="0"/>
        <w:bidi w:val="0"/>
        <w:spacing w:line="400" w:lineRule="exact"/>
        <w:ind w:firstLine="420" w:firstLineChars="200"/>
        <w:rPr>
          <w:rFonts w:hint="eastAsia" w:ascii="宋体" w:hAnsi="宋体" w:eastAsia="宋体" w:cs="宋体"/>
          <w:color w:val="auto"/>
          <w:sz w:val="21"/>
          <w:szCs w:val="21"/>
          <w:highlight w:val="none"/>
          <w:lang w:val="en-US" w:eastAsia="zh-CN"/>
        </w:rPr>
      </w:pPr>
    </w:p>
    <w:p w14:paraId="68DC1C28">
      <w:pPr>
        <w:keepNext w:val="0"/>
        <w:keepLines w:val="0"/>
        <w:pageBreakBefore w:val="0"/>
        <w:widowControl w:val="0"/>
        <w:wordWrap/>
        <w:overflowPunct/>
        <w:topLinePunct w:val="0"/>
        <w:bidi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根据《中华人民共和国政府采购法》《中华人民共和国民法典》等法律、法规规定，按照招标文件（采购文件）规定条款和投标文件及承诺，采购人（甲方）与中标人（乙方）双方签订本合同。</w:t>
      </w:r>
    </w:p>
    <w:p w14:paraId="4DDBB97C">
      <w:pPr>
        <w:keepNext w:val="0"/>
        <w:keepLines w:val="0"/>
        <w:pageBreakBefore w:val="0"/>
        <w:widowControl w:val="0"/>
        <w:wordWrap/>
        <w:overflowPunct/>
        <w:topLinePunct w:val="0"/>
        <w:bidi w:val="0"/>
        <w:spacing w:line="4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合同标的</w:t>
      </w:r>
    </w:p>
    <w:p w14:paraId="3DD4FE8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1.服务一览表</w:t>
      </w:r>
    </w:p>
    <w:tbl>
      <w:tblPr>
        <w:tblStyle w:val="23"/>
        <w:tblW w:w="822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200"/>
        <w:gridCol w:w="1500"/>
        <w:gridCol w:w="618"/>
        <w:gridCol w:w="618"/>
        <w:gridCol w:w="1699"/>
        <w:gridCol w:w="1700"/>
      </w:tblGrid>
      <w:tr w14:paraId="4F59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10F023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序号</w:t>
            </w:r>
          </w:p>
        </w:tc>
        <w:tc>
          <w:tcPr>
            <w:tcW w:w="1200" w:type="dxa"/>
            <w:noWrap w:val="0"/>
            <w:vAlign w:val="center"/>
          </w:tcPr>
          <w:p w14:paraId="13F114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名称</w:t>
            </w:r>
          </w:p>
        </w:tc>
        <w:tc>
          <w:tcPr>
            <w:tcW w:w="1500" w:type="dxa"/>
            <w:noWrap w:val="0"/>
            <w:vAlign w:val="center"/>
          </w:tcPr>
          <w:p w14:paraId="733321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服务内容</w:t>
            </w:r>
          </w:p>
        </w:tc>
        <w:tc>
          <w:tcPr>
            <w:tcW w:w="618" w:type="dxa"/>
            <w:noWrap w:val="0"/>
            <w:vAlign w:val="center"/>
          </w:tcPr>
          <w:p w14:paraId="03772F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数量</w:t>
            </w:r>
          </w:p>
        </w:tc>
        <w:tc>
          <w:tcPr>
            <w:tcW w:w="618" w:type="dxa"/>
            <w:noWrap w:val="0"/>
            <w:vAlign w:val="center"/>
          </w:tcPr>
          <w:p w14:paraId="340B11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单位</w:t>
            </w:r>
          </w:p>
        </w:tc>
        <w:tc>
          <w:tcPr>
            <w:tcW w:w="1699" w:type="dxa"/>
            <w:noWrap w:val="0"/>
            <w:vAlign w:val="center"/>
          </w:tcPr>
          <w:p w14:paraId="5DEBD1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单价（元）</w:t>
            </w:r>
          </w:p>
        </w:tc>
        <w:tc>
          <w:tcPr>
            <w:tcW w:w="1700" w:type="dxa"/>
            <w:noWrap w:val="0"/>
            <w:vAlign w:val="center"/>
          </w:tcPr>
          <w:p w14:paraId="05AAF0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总价（元）</w:t>
            </w:r>
          </w:p>
        </w:tc>
      </w:tr>
      <w:tr w14:paraId="5F42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top"/>
          </w:tcPr>
          <w:p w14:paraId="184F04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w:t>
            </w:r>
          </w:p>
        </w:tc>
        <w:tc>
          <w:tcPr>
            <w:tcW w:w="1200" w:type="dxa"/>
            <w:noWrap w:val="0"/>
            <w:vAlign w:val="top"/>
          </w:tcPr>
          <w:p w14:paraId="03DD57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p>
        </w:tc>
        <w:tc>
          <w:tcPr>
            <w:tcW w:w="1500" w:type="dxa"/>
            <w:noWrap w:val="0"/>
            <w:vAlign w:val="top"/>
          </w:tcPr>
          <w:p w14:paraId="60E910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p>
        </w:tc>
        <w:tc>
          <w:tcPr>
            <w:tcW w:w="618" w:type="dxa"/>
            <w:noWrap w:val="0"/>
            <w:vAlign w:val="top"/>
          </w:tcPr>
          <w:p w14:paraId="6B7392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p>
        </w:tc>
        <w:tc>
          <w:tcPr>
            <w:tcW w:w="618" w:type="dxa"/>
            <w:noWrap w:val="0"/>
            <w:vAlign w:val="top"/>
          </w:tcPr>
          <w:p w14:paraId="73CDC3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p>
        </w:tc>
        <w:tc>
          <w:tcPr>
            <w:tcW w:w="1699" w:type="dxa"/>
            <w:noWrap w:val="0"/>
            <w:vAlign w:val="top"/>
          </w:tcPr>
          <w:p w14:paraId="6DB3D5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p>
        </w:tc>
        <w:tc>
          <w:tcPr>
            <w:tcW w:w="1700" w:type="dxa"/>
            <w:noWrap w:val="0"/>
            <w:vAlign w:val="top"/>
          </w:tcPr>
          <w:p w14:paraId="29BE3B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p>
        </w:tc>
      </w:tr>
      <w:tr w14:paraId="465B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top"/>
          </w:tcPr>
          <w:p w14:paraId="0BEBA7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w:t>
            </w:r>
          </w:p>
        </w:tc>
        <w:tc>
          <w:tcPr>
            <w:tcW w:w="1200" w:type="dxa"/>
            <w:noWrap w:val="0"/>
            <w:vAlign w:val="top"/>
          </w:tcPr>
          <w:p w14:paraId="647E71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p>
        </w:tc>
        <w:tc>
          <w:tcPr>
            <w:tcW w:w="1500" w:type="dxa"/>
            <w:noWrap w:val="0"/>
            <w:vAlign w:val="top"/>
          </w:tcPr>
          <w:p w14:paraId="0B2B1A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p>
        </w:tc>
        <w:tc>
          <w:tcPr>
            <w:tcW w:w="618" w:type="dxa"/>
            <w:noWrap w:val="0"/>
            <w:vAlign w:val="top"/>
          </w:tcPr>
          <w:p w14:paraId="600434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p>
        </w:tc>
        <w:tc>
          <w:tcPr>
            <w:tcW w:w="618" w:type="dxa"/>
            <w:noWrap w:val="0"/>
            <w:vAlign w:val="top"/>
          </w:tcPr>
          <w:p w14:paraId="532BE6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p>
        </w:tc>
        <w:tc>
          <w:tcPr>
            <w:tcW w:w="1699" w:type="dxa"/>
            <w:noWrap w:val="0"/>
            <w:vAlign w:val="top"/>
          </w:tcPr>
          <w:p w14:paraId="5056CA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p>
        </w:tc>
        <w:tc>
          <w:tcPr>
            <w:tcW w:w="1700" w:type="dxa"/>
            <w:noWrap w:val="0"/>
            <w:vAlign w:val="top"/>
          </w:tcPr>
          <w:p w14:paraId="50B906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u w:val="none"/>
                <w:lang w:val="en-US" w:eastAsia="zh-CN"/>
              </w:rPr>
            </w:pPr>
          </w:p>
        </w:tc>
      </w:tr>
      <w:tr w14:paraId="2B07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0" w:type="dxa"/>
            <w:gridSpan w:val="7"/>
            <w:noWrap w:val="0"/>
            <w:vAlign w:val="top"/>
          </w:tcPr>
          <w:p w14:paraId="23D083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合同合计金额（人民币，大写）：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元整（￥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tc>
      </w:tr>
    </w:tbl>
    <w:p w14:paraId="7C2F030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合同合计金额包括但不限于满足本次招标全部采购需求所应提供的服务，以及伴随的货物和工程（如有）的价格，包括但不限于服务、货物、工程的成本、运输（含保险）、安装（如有）、调试、检验、技术服务、培训、税费、版权使用费（如有）等所有费用。</w:t>
      </w:r>
    </w:p>
    <w:p w14:paraId="4C1AF673">
      <w:pPr>
        <w:keepNext w:val="0"/>
        <w:keepLines w:val="0"/>
        <w:pageBreakBefore w:val="0"/>
        <w:wordWrap/>
        <w:overflowPunct/>
        <w:topLinePunct w:val="0"/>
        <w:bidi w:val="0"/>
        <w:spacing w:line="400" w:lineRule="exact"/>
        <w:ind w:firstLine="422" w:firstLineChars="200"/>
        <w:jc w:val="left"/>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第二条　质量保证</w:t>
      </w:r>
    </w:p>
    <w:p w14:paraId="36F104B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1.乙方应建立和完善履行合同的内部质量保证体系，并提供相关内部规章制度给甲方，以便甲方进行监督检查；</w:t>
      </w:r>
    </w:p>
    <w:p w14:paraId="5BA61E0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2.乙方应保证履行合同的人员数量和素质、软件和硬件设备的配置、场地、环境和设施等满足全面履行合同的要求，并应接受甲方的监督检查。</w:t>
      </w:r>
    </w:p>
    <w:p w14:paraId="2290A80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3.乙方所提供的服务、服务质量及服务内容必须与合同、招标文件、投标文件及承诺相一致。有国家强制性标准的，还必须符合国家强制性标准的规定；没有国家强制性标准但有其他标准的，必须符合其他标准的规定</w:t>
      </w:r>
      <w:r>
        <w:rPr>
          <w:rFonts w:hint="eastAsia" w:ascii="宋体" w:hAnsi="宋体" w:eastAsia="宋体" w:cs="宋体"/>
          <w:color w:val="auto"/>
          <w:sz w:val="21"/>
          <w:szCs w:val="21"/>
          <w:highlight w:val="none"/>
          <w:u w:val="none"/>
          <w:lang w:val="en-US" w:eastAsia="zh-CN"/>
        </w:rPr>
        <w:t>。</w:t>
      </w:r>
    </w:p>
    <w:p w14:paraId="47F192BC">
      <w:pPr>
        <w:keepNext w:val="0"/>
        <w:keepLines w:val="0"/>
        <w:pageBreakBefore w:val="0"/>
        <w:wordWrap/>
        <w:overflowPunct/>
        <w:topLinePunct w:val="0"/>
        <w:bidi w:val="0"/>
        <w:spacing w:line="400" w:lineRule="exact"/>
        <w:ind w:firstLine="422"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第三条　权利保证</w:t>
      </w:r>
    </w:p>
    <w:p w14:paraId="7C54E00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1.甲方有权随时向乙方了解服务进度和对服务资金使用情况进行监督、检查，并要求乙方提供相关资料。</w:t>
      </w:r>
    </w:p>
    <w:p w14:paraId="00341D4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19C1FB3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3.乙方应保证所提供服务在使用时不会侵犯任何第三方的专利权、商标权、工业设计权等知识产权及其他合法权利，且所有权、处分权等没有受到任何限制。</w:t>
      </w:r>
    </w:p>
    <w:p w14:paraId="704008B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本合同履行终止、解除或者无效而解除。</w:t>
      </w:r>
    </w:p>
    <w:p w14:paraId="3FDFB97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14:paraId="1A7B1BD0">
      <w:pPr>
        <w:keepNext w:val="0"/>
        <w:keepLines w:val="0"/>
        <w:pageBreakBefore w:val="0"/>
        <w:wordWrap/>
        <w:overflowPunct/>
        <w:topLinePunct w:val="0"/>
        <w:bidi w:val="0"/>
        <w:spacing w:line="400" w:lineRule="exact"/>
        <w:ind w:firstLine="422" w:firstLineChars="200"/>
        <w:jc w:val="left"/>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第四条　交付和验收</w:t>
      </w:r>
    </w:p>
    <w:p w14:paraId="5FA2965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1.服务时间：自合同生效之日起计算，履行期限一年。</w:t>
      </w:r>
    </w:p>
    <w:p w14:paraId="44366C2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2.服务地点：广西区内采购人指定地点。</w:t>
      </w:r>
    </w:p>
    <w:p w14:paraId="1C6D9D2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3.乙方应按合同、招标文件、投标文件及承诺向甲方提供相应的服务，并提供服务质量和服务内容的相关技术资料。</w:t>
      </w:r>
    </w:p>
    <w:p w14:paraId="28A01D9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4.乙方提供不符合合同、招标文件、投标文件规定的服务成果，甲方有权拒绝接受。</w:t>
      </w:r>
    </w:p>
    <w:p w14:paraId="1C9A83B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5.乙方在完成服务前应对服务作出全面检查和对验收文件进行整理，并列出清单，作为甲方服务验收的技术依据，清单应随提交的服务成果交给甲方。</w:t>
      </w:r>
    </w:p>
    <w:p w14:paraId="4436FE3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6.乙方完成服务后应及时书面通知甲方进行验收，甲方应在收到通知后七个工作日内进行验收，逾期不开始验收的，乙方可视同验收合格。</w:t>
      </w:r>
    </w:p>
    <w:p w14:paraId="2E48081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甲乙双方应按照《广西壮族自治区政府采购项目履约验收管理办法》、合同、招标文件、投标文件验收，验收时乙方必须在现场，验收费用由乙方负责。服务质量和服务内容符合合同、招标文件、投标文件规定的要求的，由甲乙双方签署验收合格单并加盖甲方公章，甲乙双方各执一份。</w:t>
      </w:r>
    </w:p>
    <w:p w14:paraId="011BA03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甲方在初步验收或者最终验收过程中发现乙方提供的服务、服务质量或服务内容不满足合同、招标文件、投标文件规定的，可暂缓向乙方付款，直到乙方及时完善并提交相应的服务成果且经甲方验收合格后，方可办理付款。</w:t>
      </w:r>
    </w:p>
    <w:p w14:paraId="51C44D6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9.甲方验收时发现乙方提供的服务、服务质量或服务内容不满足合同、招标文件、投标文件规定并以书面形式提出异议的，乙方应自收到甲方书面异议后五个工作日内予以解决，否则甲方有权不出具验收合格单。乙方因解决异议问题而造成逾期的，按乙方逾期交付处理。</w:t>
      </w:r>
    </w:p>
    <w:p w14:paraId="74383B26">
      <w:pPr>
        <w:keepNext w:val="0"/>
        <w:keepLines w:val="0"/>
        <w:pageBreakBefore w:val="0"/>
        <w:wordWrap/>
        <w:overflowPunct/>
        <w:topLinePunct w:val="0"/>
        <w:bidi w:val="0"/>
        <w:spacing w:line="400" w:lineRule="exact"/>
        <w:ind w:firstLine="422" w:firstLineChars="200"/>
        <w:jc w:val="left"/>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第五条　售后服务、服务质量保证期及培训</w:t>
      </w:r>
    </w:p>
    <w:p w14:paraId="4E8EDB3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1.乙方应按照国家有关法律法规、合同、招标文件、投标文件所附的《服务承诺》要求为甲方提供相应的服务。</w:t>
      </w:r>
    </w:p>
    <w:p w14:paraId="045DAA8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2.乙方提供服务的质量保证期按交付服务成果验收合格并签署验收合格单之日起计算，为</w:t>
      </w:r>
      <w:r>
        <w:rPr>
          <w:rFonts w:hint="eastAsia" w:ascii="宋体" w:hAnsi="宋体" w:eastAsia="宋体" w:cs="宋体"/>
          <w:color w:val="auto"/>
          <w:sz w:val="21"/>
          <w:szCs w:val="21"/>
          <w:highlight w:val="none"/>
          <w:u w:val="single"/>
          <w:lang w:val="en-US" w:eastAsia="zh-CN"/>
        </w:rPr>
        <w:t xml:space="preserve"> 365 </w:t>
      </w:r>
      <w:r>
        <w:rPr>
          <w:rFonts w:hint="eastAsia" w:ascii="宋体" w:hAnsi="宋体" w:eastAsia="宋体" w:cs="宋体"/>
          <w:color w:val="auto"/>
          <w:sz w:val="21"/>
          <w:szCs w:val="21"/>
          <w:highlight w:val="none"/>
          <w:u w:val="none"/>
          <w:lang w:val="en-US" w:eastAsia="zh-CN"/>
        </w:rPr>
        <w:t>日，在质量保证期内因服务成果本身的技术问题，乙方应对服务出现的问题负责处理解决，并承担一切费用。</w:t>
      </w:r>
    </w:p>
    <w:p w14:paraId="0AB3980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3.在质量保证期内发生技术服务问题，乙方应在接到甲方通知后24小时内到达甲方现场，在甲方指定的期限内解决问题。</w:t>
      </w:r>
    </w:p>
    <w:p w14:paraId="30A59D1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4.乙方负责甲方有关人员的培训。</w:t>
      </w:r>
    </w:p>
    <w:p w14:paraId="79B2A29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培训时间：</w:t>
      </w:r>
      <w:r>
        <w:rPr>
          <w:rFonts w:hint="eastAsia" w:ascii="宋体" w:hAnsi="宋体" w:eastAsia="宋体" w:cs="宋体"/>
          <w:color w:val="auto"/>
          <w:sz w:val="21"/>
          <w:szCs w:val="21"/>
          <w:highlight w:val="none"/>
          <w:u w:val="single"/>
          <w:lang w:val="en-US" w:eastAsia="zh-CN"/>
        </w:rPr>
        <w:t>甲方另行指定时间。</w:t>
      </w:r>
    </w:p>
    <w:p w14:paraId="6DEC3AF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培训地点：</w:t>
      </w:r>
      <w:r>
        <w:rPr>
          <w:rFonts w:hint="eastAsia" w:ascii="宋体" w:hAnsi="宋体" w:eastAsia="宋体" w:cs="宋体"/>
          <w:color w:val="auto"/>
          <w:sz w:val="21"/>
          <w:szCs w:val="21"/>
          <w:highlight w:val="none"/>
          <w:u w:val="single"/>
          <w:lang w:val="en-US" w:eastAsia="zh-CN"/>
        </w:rPr>
        <w:t>广西区内（甲方指定地点）。</w:t>
      </w:r>
    </w:p>
    <w:p w14:paraId="11973292">
      <w:pPr>
        <w:keepNext w:val="0"/>
        <w:keepLines w:val="0"/>
        <w:pageBreakBefore w:val="0"/>
        <w:wordWrap/>
        <w:overflowPunct/>
        <w:topLinePunct w:val="0"/>
        <w:bidi w:val="0"/>
        <w:spacing w:line="400" w:lineRule="exact"/>
        <w:ind w:firstLine="422" w:firstLineChars="200"/>
        <w:jc w:val="left"/>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第六条　付款方式</w:t>
      </w:r>
    </w:p>
    <w:p w14:paraId="4D4BC053">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1.资金性质：</w:t>
      </w:r>
      <w:r>
        <w:rPr>
          <w:rFonts w:hint="eastAsia" w:ascii="宋体" w:hAnsi="宋体" w:eastAsia="宋体" w:cs="宋体"/>
          <w:color w:val="auto"/>
          <w:sz w:val="21"/>
          <w:szCs w:val="21"/>
          <w:highlight w:val="none"/>
          <w:u w:val="single"/>
          <w:lang w:val="en-US" w:eastAsia="zh-CN"/>
        </w:rPr>
        <w:t>财政资金</w:t>
      </w:r>
      <w:r>
        <w:rPr>
          <w:rFonts w:hint="eastAsia" w:ascii="宋体" w:hAnsi="宋体" w:eastAsia="宋体" w:cs="宋体"/>
          <w:color w:val="auto"/>
          <w:sz w:val="21"/>
          <w:szCs w:val="21"/>
          <w:highlight w:val="none"/>
          <w:u w:val="none"/>
          <w:lang w:val="en-US" w:eastAsia="zh-CN"/>
        </w:rPr>
        <w:t>。</w:t>
      </w:r>
    </w:p>
    <w:p w14:paraId="7A1F7539">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2.付款方式</w:t>
      </w:r>
    </w:p>
    <w:p w14:paraId="686C3AA0">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rPr>
        <w:t>本合同总金额为人民币</w:t>
      </w:r>
      <w:r>
        <w:rPr>
          <w:rFonts w:hint="eastAsia" w:ascii="宋体" w:hAnsi="宋体" w:eastAsia="宋体" w:cs="宋体"/>
          <w:color w:val="auto"/>
          <w:sz w:val="21"/>
          <w:szCs w:val="21"/>
          <w:highlight w:val="none"/>
          <w:u w:val="single"/>
          <w:lang w:val="en-US" w:eastAsia="zh-CN"/>
        </w:rPr>
        <w:t xml:space="preserve">     元</w:t>
      </w:r>
      <w:r>
        <w:rPr>
          <w:rFonts w:hint="eastAsia" w:ascii="宋体" w:hAnsi="宋体" w:eastAsia="宋体" w:cs="宋体"/>
          <w:color w:val="auto"/>
          <w:sz w:val="21"/>
          <w:szCs w:val="21"/>
          <w:highlight w:val="none"/>
          <w:u w:val="single"/>
        </w:rPr>
        <w:t>整</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甲乙双方同意按以下方式支付合同合计金额</w:t>
      </w:r>
      <w:r>
        <w:rPr>
          <w:rFonts w:hint="eastAsia" w:ascii="宋体" w:hAnsi="宋体" w:eastAsia="宋体" w:cs="宋体"/>
          <w:color w:val="auto"/>
          <w:sz w:val="21"/>
          <w:szCs w:val="21"/>
          <w:highlight w:val="none"/>
          <w:lang w:eastAsia="zh-CN"/>
        </w:rPr>
        <w:t>：</w:t>
      </w:r>
    </w:p>
    <w:p w14:paraId="054D1035">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（1）自合同签订之日起</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支付50%</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合同款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元整（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元）</w:t>
      </w:r>
      <w:r>
        <w:rPr>
          <w:rFonts w:hint="eastAsia" w:ascii="宋体" w:hAnsi="宋体" w:eastAsia="宋体" w:cs="宋体"/>
          <w:color w:val="auto"/>
          <w:sz w:val="21"/>
          <w:szCs w:val="21"/>
          <w:highlight w:val="none"/>
          <w:u w:val="none"/>
          <w:lang w:eastAsia="zh-CN"/>
        </w:rPr>
        <w:t>；</w:t>
      </w:r>
    </w:p>
    <w:p w14:paraId="64E434B4">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w:t>
      </w:r>
      <w:r>
        <w:rPr>
          <w:rFonts w:hint="eastAsia" w:ascii="宋体" w:hAnsi="宋体" w:eastAsia="宋体" w:cs="宋体"/>
          <w:color w:val="auto"/>
          <w:sz w:val="21"/>
          <w:szCs w:val="21"/>
          <w:highlight w:val="none"/>
          <w:lang w:eastAsia="zh-CN"/>
        </w:rPr>
        <w:t>提交2026年上半年美丽广西建设成效评估报告、广西建设美丽中国先行区典型案例集并通过采购人审核后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采购人在10个工作日内</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支付合同总</w:t>
      </w:r>
      <w:r>
        <w:rPr>
          <w:rFonts w:hint="eastAsia" w:ascii="宋体" w:hAnsi="宋体" w:eastAsia="宋体" w:cs="宋体"/>
          <w:color w:val="auto"/>
          <w:sz w:val="21"/>
          <w:szCs w:val="21"/>
          <w:highlight w:val="none"/>
          <w:lang w:val="en-US" w:eastAsia="zh-CN"/>
        </w:rPr>
        <w:t>金</w:t>
      </w:r>
      <w:r>
        <w:rPr>
          <w:rFonts w:hint="eastAsia" w:ascii="宋体" w:hAnsi="宋体" w:eastAsia="宋体" w:cs="宋体"/>
          <w:color w:val="auto"/>
          <w:sz w:val="21"/>
          <w:szCs w:val="21"/>
          <w:highlight w:val="none"/>
        </w:rPr>
        <w:t>额的</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合同款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元整（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元）</w:t>
      </w:r>
      <w:r>
        <w:rPr>
          <w:rFonts w:hint="eastAsia" w:ascii="宋体" w:hAnsi="宋体" w:eastAsia="宋体" w:cs="宋体"/>
          <w:color w:val="auto"/>
          <w:sz w:val="21"/>
          <w:szCs w:val="21"/>
          <w:highlight w:val="none"/>
          <w:u w:val="none"/>
          <w:lang w:eastAsia="zh-CN"/>
        </w:rPr>
        <w:t>；</w:t>
      </w:r>
    </w:p>
    <w:p w14:paraId="177F3F5E">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乙方提交</w:t>
      </w:r>
      <w:r>
        <w:rPr>
          <w:rFonts w:hint="eastAsia" w:ascii="宋体" w:hAnsi="宋体" w:eastAsia="宋体" w:cs="宋体"/>
          <w:color w:val="auto"/>
          <w:sz w:val="21"/>
          <w:szCs w:val="21"/>
          <w:highlight w:val="none"/>
          <w:lang w:val="en-US" w:eastAsia="zh-CN"/>
        </w:rPr>
        <w:t>2026年度</w:t>
      </w:r>
      <w:r>
        <w:rPr>
          <w:rFonts w:hint="eastAsia" w:ascii="宋体" w:hAnsi="宋体" w:eastAsia="宋体" w:cs="宋体"/>
          <w:color w:val="auto"/>
          <w:sz w:val="21"/>
          <w:szCs w:val="21"/>
          <w:highlight w:val="none"/>
          <w:lang w:eastAsia="zh-CN"/>
        </w:rPr>
        <w:t>美丽广西建设成效评估报告、美丽中国建设成效考核2025年度预自评集成材料、美丽城市建设评估指标体系研究报告（</w:t>
      </w:r>
      <w:r>
        <w:rPr>
          <w:rFonts w:hint="eastAsia" w:ascii="宋体" w:hAnsi="宋体" w:eastAsia="宋体" w:cs="宋体"/>
          <w:color w:val="auto"/>
          <w:sz w:val="21"/>
          <w:szCs w:val="21"/>
          <w:highlight w:val="none"/>
          <w:lang w:val="en-US" w:eastAsia="zh-CN"/>
        </w:rPr>
        <w:t>送审</w:t>
      </w:r>
      <w:r>
        <w:rPr>
          <w:rFonts w:hint="eastAsia" w:ascii="宋体" w:hAnsi="宋体" w:eastAsia="宋体" w:cs="宋体"/>
          <w:color w:val="auto"/>
          <w:sz w:val="21"/>
          <w:szCs w:val="21"/>
          <w:highlight w:val="none"/>
          <w:lang w:eastAsia="zh-CN"/>
        </w:rPr>
        <w:t>稿）并通过采购人审核后，</w:t>
      </w:r>
      <w:r>
        <w:rPr>
          <w:rFonts w:hint="eastAsia" w:ascii="宋体" w:hAnsi="宋体" w:eastAsia="宋体" w:cs="宋体"/>
          <w:color w:val="auto"/>
          <w:sz w:val="21"/>
          <w:szCs w:val="21"/>
          <w:highlight w:val="none"/>
          <w:lang w:val="en-US" w:eastAsia="zh-CN"/>
        </w:rPr>
        <w:t>采购人在10个工作日内</w:t>
      </w:r>
      <w:r>
        <w:rPr>
          <w:rFonts w:hint="eastAsia" w:ascii="宋体" w:hAnsi="宋体" w:eastAsia="宋体" w:cs="宋体"/>
          <w:color w:val="auto"/>
          <w:sz w:val="21"/>
          <w:szCs w:val="21"/>
          <w:highlight w:val="none"/>
          <w:lang w:eastAsia="zh-CN"/>
        </w:rPr>
        <w:t>向</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eastAsia="zh-CN"/>
        </w:rPr>
        <w:t>支付合同总</w:t>
      </w:r>
      <w:r>
        <w:rPr>
          <w:rFonts w:hint="eastAsia" w:ascii="宋体" w:hAnsi="宋体" w:eastAsia="宋体" w:cs="宋体"/>
          <w:color w:val="auto"/>
          <w:sz w:val="21"/>
          <w:szCs w:val="21"/>
          <w:highlight w:val="none"/>
          <w:lang w:val="en-US" w:eastAsia="zh-CN"/>
        </w:rPr>
        <w:t>金</w:t>
      </w:r>
      <w:r>
        <w:rPr>
          <w:rFonts w:hint="eastAsia" w:ascii="宋体" w:hAnsi="宋体" w:eastAsia="宋体" w:cs="宋体"/>
          <w:color w:val="auto"/>
          <w:sz w:val="21"/>
          <w:szCs w:val="21"/>
          <w:highlight w:val="none"/>
          <w:lang w:eastAsia="zh-CN"/>
        </w:rPr>
        <w:t>额的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合同款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元整（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元）</w:t>
      </w:r>
      <w:r>
        <w:rPr>
          <w:rFonts w:hint="eastAsia" w:ascii="宋体" w:hAnsi="宋体" w:eastAsia="宋体" w:cs="宋体"/>
          <w:color w:val="auto"/>
          <w:sz w:val="21"/>
          <w:szCs w:val="21"/>
          <w:highlight w:val="none"/>
          <w:u w:val="none"/>
          <w:lang w:eastAsia="zh-CN"/>
        </w:rPr>
        <w:t>；</w:t>
      </w:r>
    </w:p>
    <w:p w14:paraId="0CB28FC6">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）甲方在支付每笔款项前，乙方应当提供可供政府审计并且符合税务规定的正式</w:t>
      </w:r>
      <w:r>
        <w:rPr>
          <w:rFonts w:hint="eastAsia" w:ascii="宋体" w:hAnsi="宋体" w:eastAsia="宋体" w:cs="宋体"/>
          <w:color w:val="auto"/>
          <w:sz w:val="21"/>
          <w:szCs w:val="21"/>
          <w:highlight w:val="none"/>
          <w:lang w:val="en-US" w:eastAsia="zh-CN"/>
        </w:rPr>
        <w:t>等额</w:t>
      </w:r>
      <w:r>
        <w:rPr>
          <w:rFonts w:hint="eastAsia" w:ascii="宋体" w:hAnsi="宋体" w:eastAsia="宋体" w:cs="宋体"/>
          <w:color w:val="auto"/>
          <w:sz w:val="21"/>
          <w:szCs w:val="21"/>
          <w:highlight w:val="none"/>
        </w:rPr>
        <w:t>发票，否则甲方有权拒付相应款项直至乙方能提供符合规定的发票为止</w:t>
      </w:r>
      <w:r>
        <w:rPr>
          <w:rFonts w:hint="eastAsia" w:ascii="宋体" w:hAnsi="宋体" w:eastAsia="宋体" w:cs="宋体"/>
          <w:color w:val="auto"/>
          <w:sz w:val="21"/>
          <w:szCs w:val="21"/>
          <w:highlight w:val="none"/>
          <w:u w:val="none"/>
          <w:lang w:val="en-US" w:eastAsia="zh-CN"/>
        </w:rPr>
        <w:t>，因乙方提供不符合甲方要求的发票导致付款逾期，甲方不构成违约，相应的付款期限自甲方收到乙方符合要求发票后重新计算。</w:t>
      </w:r>
    </w:p>
    <w:p w14:paraId="34D8C619">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3.乙方指定以下账户为接受本合同价款的账户，并对其指定的下列账户信息真实性、安全性、准确性负责。</w:t>
      </w:r>
    </w:p>
    <w:p w14:paraId="06A4B9FC">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账户名称：</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14:paraId="42CC71FB">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开户银行：</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14:paraId="10BEF62D">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银行账号：</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14:paraId="460A44BA">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联系人：</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14:paraId="5659CE72">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14:paraId="56759673">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如乙方上述账户信息发生变更，乙方应提前向甲方发送书面通知，未能提前书面通知而产生的不利后果由乙方自行承担。</w:t>
      </w:r>
    </w:p>
    <w:p w14:paraId="13636BB9">
      <w:pPr>
        <w:keepNext w:val="0"/>
        <w:keepLines w:val="0"/>
        <w:pageBreakBefore w:val="0"/>
        <w:wordWrap/>
        <w:overflowPunct/>
        <w:topLinePunct w:val="0"/>
        <w:bidi w:val="0"/>
        <w:spacing w:line="400" w:lineRule="exact"/>
        <w:ind w:firstLine="422" w:firstLineChars="200"/>
        <w:jc w:val="left"/>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第七条　履约保证金</w:t>
      </w:r>
    </w:p>
    <w:p w14:paraId="56699FE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1.乙方须在签订合同后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个工作日内缴纳履约保证金。</w:t>
      </w:r>
    </w:p>
    <w:p w14:paraId="11654E6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2.乙方提供的履约保证金金额为：</w:t>
      </w:r>
      <w:r>
        <w:rPr>
          <w:rFonts w:hint="eastAsia" w:ascii="宋体" w:hAnsi="宋体" w:eastAsia="宋体" w:cs="宋体"/>
          <w:bCs/>
          <w:color w:val="auto"/>
          <w:sz w:val="21"/>
          <w:szCs w:val="21"/>
          <w:highlight w:val="none"/>
        </w:rPr>
        <w:t>履约保证金金额为</w:t>
      </w:r>
      <w:r>
        <w:rPr>
          <w:rFonts w:hint="eastAsia" w:ascii="宋体" w:hAnsi="宋体" w:eastAsia="宋体" w:cs="宋体"/>
          <w:color w:val="auto"/>
          <w:sz w:val="21"/>
          <w:szCs w:val="21"/>
          <w:highlight w:val="none"/>
        </w:rPr>
        <w:t>本项目成交总金额</w:t>
      </w: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rPr>
        <w:t>%的履约保证金（中小企业缴纳数额为成交</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金额的2%）</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rPr>
        <w:t>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p>
    <w:p w14:paraId="1FCA0E1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lang w:val="en-US" w:eastAsia="zh-CN"/>
        </w:rPr>
        <w:t xml:space="preserve">                      </w:t>
      </w:r>
    </w:p>
    <w:p w14:paraId="2D3AFB5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lang w:val="en-US" w:eastAsia="zh-CN"/>
        </w:rPr>
        <w:t xml:space="preserve">                      </w:t>
      </w:r>
    </w:p>
    <w:p w14:paraId="386B6BD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lang w:val="en-US" w:eastAsia="zh-CN"/>
        </w:rPr>
        <w:t xml:space="preserve">                      </w:t>
      </w:r>
    </w:p>
    <w:p w14:paraId="7AA205F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3.履约保证金递交方式：</w:t>
      </w:r>
      <w:r>
        <w:rPr>
          <w:rFonts w:hint="eastAsia" w:ascii="宋体" w:hAnsi="宋体" w:cs="宋体"/>
          <w:color w:val="auto"/>
          <w:sz w:val="21"/>
          <w:szCs w:val="21"/>
          <w:highlight w:val="none"/>
          <w:lang w:val="en-US" w:eastAsia="zh-CN"/>
        </w:rPr>
        <w:t>转账、</w:t>
      </w:r>
      <w:r>
        <w:rPr>
          <w:rFonts w:hint="eastAsia" w:ascii="宋体" w:hAnsi="宋体" w:eastAsia="宋体" w:cs="宋体"/>
          <w:color w:val="auto"/>
          <w:sz w:val="21"/>
          <w:szCs w:val="21"/>
          <w:highlight w:val="none"/>
        </w:rPr>
        <w:t>支票、汇票、本票或者金融</w:t>
      </w:r>
      <w:r>
        <w:rPr>
          <w:rFonts w:hint="eastAsia" w:ascii="宋体" w:hAnsi="宋体" w:eastAsia="宋体" w:cs="宋体"/>
          <w:color w:val="auto"/>
          <w:sz w:val="21"/>
          <w:szCs w:val="21"/>
          <w:highlight w:val="none"/>
          <w:lang w:eastAsia="zh-CN"/>
        </w:rPr>
        <w:t>机构</w:t>
      </w:r>
      <w:r>
        <w:rPr>
          <w:rFonts w:hint="eastAsia" w:ascii="宋体" w:hAnsi="宋体" w:eastAsia="宋体" w:cs="宋体"/>
          <w:color w:val="auto"/>
          <w:sz w:val="21"/>
          <w:szCs w:val="21"/>
          <w:highlight w:val="none"/>
        </w:rPr>
        <w:t>出具的保函等非现金方式。</w:t>
      </w:r>
    </w:p>
    <w:p w14:paraId="6D82861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4.履约保证金退付方式、时间及条件：由乙方向甲方提供《广西壮族自治区政府采购项目合同验收书》</w:t>
      </w:r>
      <w:r>
        <w:rPr>
          <w:rFonts w:hint="eastAsia" w:ascii="宋体" w:hAnsi="宋体" w:eastAsia="宋体" w:cs="宋体"/>
          <w:color w:val="auto"/>
          <w:sz w:val="21"/>
          <w:szCs w:val="21"/>
          <w:highlight w:val="none"/>
          <w:lang w:eastAsia="zh-CN"/>
        </w:rPr>
        <w:t>、履约保证金退付函和乙方履约保证金支付凭证</w:t>
      </w:r>
      <w:r>
        <w:rPr>
          <w:rFonts w:hint="eastAsia" w:ascii="宋体" w:hAnsi="宋体" w:eastAsia="宋体" w:cs="宋体"/>
          <w:color w:val="auto"/>
          <w:sz w:val="21"/>
          <w:szCs w:val="21"/>
          <w:highlight w:val="none"/>
        </w:rPr>
        <w:t>，甲方在收到合格材料后</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个工作日内办理退还手续（不计利息）</w:t>
      </w:r>
      <w:r>
        <w:rPr>
          <w:rFonts w:hint="eastAsia" w:ascii="宋体" w:hAnsi="宋体" w:eastAsia="宋体" w:cs="宋体"/>
          <w:color w:val="auto"/>
          <w:sz w:val="21"/>
          <w:szCs w:val="21"/>
          <w:highlight w:val="none"/>
          <w:u w:val="none"/>
          <w:lang w:val="en-US" w:eastAsia="zh-CN"/>
        </w:rPr>
        <w:t>。</w:t>
      </w:r>
    </w:p>
    <w:p w14:paraId="0899F875">
      <w:pPr>
        <w:keepNext w:val="0"/>
        <w:keepLines w:val="0"/>
        <w:pageBreakBefore w:val="0"/>
        <w:wordWrap/>
        <w:overflowPunct/>
        <w:topLinePunct w:val="0"/>
        <w:bidi w:val="0"/>
        <w:spacing w:line="400" w:lineRule="exact"/>
        <w:ind w:firstLine="422" w:firstLineChars="200"/>
        <w:jc w:val="left"/>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第八条　税费</w:t>
      </w:r>
    </w:p>
    <w:p w14:paraId="324EE554">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合同执行中相关的一切税费均由乙方负担。</w:t>
      </w:r>
    </w:p>
    <w:p w14:paraId="21947272">
      <w:pPr>
        <w:keepNext w:val="0"/>
        <w:keepLines w:val="0"/>
        <w:pageBreakBefore w:val="0"/>
        <w:wordWrap/>
        <w:overflowPunct/>
        <w:topLinePunct w:val="0"/>
        <w:bidi w:val="0"/>
        <w:spacing w:line="400" w:lineRule="exact"/>
        <w:ind w:firstLine="422"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第九条　违约责任</w:t>
      </w:r>
    </w:p>
    <w:p w14:paraId="1A9E007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乙方没有按照合同、招标文件、投标文件规定的时间或期限提供服务的，每逾期一日，应按合同合计金额的3‰向甲方支付逾期提供服务的违约金；逾期超过十日的，甲方有权单方解除合同，并要求乙方退还已收取的款项，同时乙方应按照合同合计金额的10%向甲方支付违约金并承担因此给甲方造成的经济损失。</w:t>
      </w:r>
    </w:p>
    <w:p w14:paraId="1B430F4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乙方所提供的服务、服务质量、服务内容等不符合合同、招标文件、投标文件规定的要求的，应按甲方的要求，在甲方指定的期限内予以更换或改进，未在甲方指定的期限内更换或改进的，按乙方逾期提供服务承担违约责任。</w:t>
      </w:r>
    </w:p>
    <w:p w14:paraId="5A44B7C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乙方提供的服务如侵犯了第三方合法权益而引发的任何纠纷或者诉讼，均由乙方负责交涉并承担全部责任。如甲方为解决纠纷矛盾先期支付了费用的，乙方应当自收到甲方要求偿还费用的函之日起五日内向甲方偿还完毕，逾期未偿还，乙方承担应向甲方支付合同合计金额20％的违约金并赔偿甲方经济损失。</w:t>
      </w:r>
    </w:p>
    <w:p w14:paraId="29A23B9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4.乙方因履行合同所发生的其他违约行为，每违约一次，应按合同合计金额的5%向甲方支付违约金，并赔偿甲方因此所造成全部损失。</w:t>
      </w:r>
    </w:p>
    <w:p w14:paraId="6532E07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5.乙方支付的违约金不足以弥补甲方损失的，应承担赔偿责任，甲方有权继续向乙方追偿。乙方应支付给甲方的任何款项，甲方有权从任何应支付未支付给乙方的款项中直接抵扣。</w:t>
      </w:r>
    </w:p>
    <w:p w14:paraId="5866884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6.本合同所称的甲方经济损失或者甲方损失，包括甲方遭受的全部直接经济损失及为此支出的合理费用（包括但不限于为此支出的调查费、诉讼费、保全费、律师费、差旅费等）。</w:t>
      </w:r>
    </w:p>
    <w:p w14:paraId="7AC48E3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trike w:val="0"/>
          <w:dstrike w:val="0"/>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7.甲方延期付款的，每天向乙方偿付延期款额3‰的违约金，但违约金累计不得超过延期款额的5%</w:t>
      </w:r>
      <w:r>
        <w:rPr>
          <w:rFonts w:hint="eastAsia" w:ascii="宋体" w:hAnsi="宋体" w:eastAsia="宋体" w:cs="宋体"/>
          <w:strike w:val="0"/>
          <w:dstrike w:val="0"/>
          <w:color w:val="auto"/>
          <w:sz w:val="21"/>
          <w:szCs w:val="21"/>
          <w:highlight w:val="none"/>
          <w:u w:val="none"/>
          <w:lang w:val="en-US" w:eastAsia="zh-CN"/>
        </w:rPr>
        <w:t>。</w:t>
      </w:r>
    </w:p>
    <w:p w14:paraId="7280CAB6">
      <w:pPr>
        <w:keepNext w:val="0"/>
        <w:keepLines w:val="0"/>
        <w:pageBreakBefore w:val="0"/>
        <w:wordWrap/>
        <w:overflowPunct/>
        <w:topLinePunct w:val="0"/>
        <w:bidi w:val="0"/>
        <w:spacing w:line="400" w:lineRule="exact"/>
        <w:ind w:firstLine="422" w:firstLineChars="200"/>
        <w:jc w:val="left"/>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第十条　知识产权归属</w:t>
      </w:r>
    </w:p>
    <w:p w14:paraId="5DF2A406">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乙方保证，甲乙双方在本合同执行中形成的任何成果或知识产权的所有权，归甲方所有，而且乙方应当完成甲方知识产权所有权确认所必需的全部行为、证书和文件等，并提供相应的支持和协助。</w:t>
      </w:r>
    </w:p>
    <w:p w14:paraId="30901924">
      <w:pPr>
        <w:keepNext w:val="0"/>
        <w:keepLines w:val="0"/>
        <w:pageBreakBefore w:val="0"/>
        <w:wordWrap/>
        <w:overflowPunct/>
        <w:topLinePunct w:val="0"/>
        <w:bidi w:val="0"/>
        <w:spacing w:line="400" w:lineRule="exact"/>
        <w:ind w:firstLine="422" w:firstLineChars="200"/>
        <w:jc w:val="left"/>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第十一条　保密条款</w:t>
      </w:r>
    </w:p>
    <w:p w14:paraId="12A84017">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1.甲乙双方都负有保守对方的单位机密或商业秘密的义务，保密范围包括但不限于技术情报、数据资料及其他公开后对对方造成影响或损失的秘密。</w:t>
      </w:r>
    </w:p>
    <w:p w14:paraId="421CD08A">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2.任何一方违反保密条款，给对方造成损失，应按对方的实际损失承担赔偿责任。</w:t>
      </w:r>
    </w:p>
    <w:p w14:paraId="318D6201">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3.本条款不因合同的变更、解除和终止而失效。</w:t>
      </w:r>
    </w:p>
    <w:p w14:paraId="1474AC5C">
      <w:pPr>
        <w:keepNext w:val="0"/>
        <w:keepLines w:val="0"/>
        <w:pageBreakBefore w:val="0"/>
        <w:wordWrap/>
        <w:overflowPunct/>
        <w:topLinePunct w:val="0"/>
        <w:bidi w:val="0"/>
        <w:spacing w:line="400" w:lineRule="exact"/>
        <w:ind w:firstLine="422" w:firstLineChars="200"/>
        <w:jc w:val="left"/>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第十二条　不可抗力事件处理</w:t>
      </w:r>
    </w:p>
    <w:p w14:paraId="334A447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1.在合同有效期内，任何一方因不可抗力事件导致不能履行合同，则合同履行期可延长，其延长期与不可抗力影响期相同。</w:t>
      </w:r>
    </w:p>
    <w:p w14:paraId="1ED300F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2.不可抗力事件发生后，应立即通知对方，并寄送有关权威机构出具的证明。</w:t>
      </w:r>
    </w:p>
    <w:p w14:paraId="344D8DB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3.不可抗力事件延续一百二十天以上，双方应通过友好协商，确定是否继续履行合同。</w:t>
      </w:r>
    </w:p>
    <w:p w14:paraId="2E1D0CA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4.合同履行过程中，因接受政府行政指令而无法履行的，接受政府行政指令的一方可以免除责任。</w:t>
      </w:r>
    </w:p>
    <w:p w14:paraId="22FCA05E">
      <w:pPr>
        <w:keepNext w:val="0"/>
        <w:keepLines w:val="0"/>
        <w:pageBreakBefore w:val="0"/>
        <w:wordWrap/>
        <w:overflowPunct/>
        <w:topLinePunct w:val="0"/>
        <w:bidi w:val="0"/>
        <w:spacing w:line="400" w:lineRule="exact"/>
        <w:ind w:firstLine="422" w:firstLineChars="200"/>
        <w:jc w:val="left"/>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第十三条　合同争议解决</w:t>
      </w:r>
    </w:p>
    <w:p w14:paraId="1A432F6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1.因服务质量问题发生争议的，甲方应提交具有相应资质的机构进行鉴定。服务符合标准的，鉴定费由甲方承担；服务不符合标准的，鉴定费由乙方承担。</w:t>
      </w:r>
    </w:p>
    <w:p w14:paraId="55FA6E7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2.因履行本合同引起的或者与本合同有关的争议，甲乙双方应首先通过友好协商解决，如果协商不能解决，可向甲方所在地有管辖权人民法院提起诉讼。</w:t>
      </w:r>
    </w:p>
    <w:p w14:paraId="3F79CFEF">
      <w:pPr>
        <w:keepNext w:val="0"/>
        <w:keepLines w:val="0"/>
        <w:pageBreakBefore w:val="0"/>
        <w:wordWrap/>
        <w:overflowPunct/>
        <w:topLinePunct w:val="0"/>
        <w:bidi w:val="0"/>
        <w:spacing w:line="400" w:lineRule="exact"/>
        <w:ind w:firstLine="422" w:firstLineChars="200"/>
        <w:jc w:val="left"/>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第十四条　合同生效及其他</w:t>
      </w:r>
    </w:p>
    <w:p w14:paraId="7AEAD8C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1.合同经甲乙双方法定代表人或者授权代表签字并加盖单位公章后生效。</w:t>
      </w:r>
    </w:p>
    <w:p w14:paraId="037A7A3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2.合同执行中涉及采购资金和采购内容修改或者补充的，须经政府采购监管部门审批，并签订书面补充协议报政府采购监管部门备案，方可作为主合同不可分割的一部分。</w:t>
      </w:r>
    </w:p>
    <w:p w14:paraId="4B5D636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3.合同未尽事宜，遵照《中华人民共和国民法典》等相关法律、法规规定有关条文执行。</w:t>
      </w:r>
    </w:p>
    <w:p w14:paraId="426351D0">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第十五条　合同的变更、终止与转让</w:t>
      </w:r>
    </w:p>
    <w:p w14:paraId="0438D36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1.除《中华人民共和国政府采购法》第五十条规定的情形外，本合同一经签订，甲乙双方不得擅自变更、中止或者终止。</w:t>
      </w:r>
    </w:p>
    <w:p w14:paraId="6283FCF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2.未经甲方书面同意，乙方不得擅自转让其应履行的合同义务。</w:t>
      </w:r>
    </w:p>
    <w:p w14:paraId="0A35AB2E">
      <w:pPr>
        <w:keepNext w:val="0"/>
        <w:keepLines w:val="0"/>
        <w:pageBreakBefore w:val="0"/>
        <w:wordWrap/>
        <w:overflowPunct/>
        <w:topLinePunct w:val="0"/>
        <w:bidi w:val="0"/>
        <w:spacing w:line="400" w:lineRule="exact"/>
        <w:ind w:firstLine="422" w:firstLineChars="200"/>
        <w:jc w:val="left"/>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第十六条　本合同与下列文件一起构成合同文件</w:t>
      </w:r>
    </w:p>
    <w:p w14:paraId="0381E615">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1.保密协议；</w:t>
      </w:r>
    </w:p>
    <w:p w14:paraId="42151BFE">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2.成交通知书；</w:t>
      </w:r>
    </w:p>
    <w:p w14:paraId="2E8CB0B1">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3.竞标报价表；</w:t>
      </w:r>
    </w:p>
    <w:p w14:paraId="17943D92">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4.采购需求；</w:t>
      </w:r>
    </w:p>
    <w:p w14:paraId="5EA036AE">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5.商务条款偏离表和服务需求偏离表；</w:t>
      </w:r>
    </w:p>
    <w:p w14:paraId="6B17048B">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6.投标文件中的其他相关文件。</w:t>
      </w:r>
    </w:p>
    <w:p w14:paraId="5321E0E7">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上述合同文件互相补充和解释。如果合同文件之间存在矛盾或者不一致之处，以本合同、上述文件的排列顺序在先者为准。</w:t>
      </w:r>
    </w:p>
    <w:p w14:paraId="12EC6F68">
      <w:pPr>
        <w:keepNext w:val="0"/>
        <w:keepLines w:val="0"/>
        <w:pageBreakBefore w:val="0"/>
        <w:wordWrap/>
        <w:overflowPunct/>
        <w:topLinePunct w:val="0"/>
        <w:bidi w:val="0"/>
        <w:spacing w:line="400" w:lineRule="exact"/>
        <w:ind w:firstLine="422" w:firstLineChars="200"/>
        <w:jc w:val="left"/>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第十七条　其他约定事项</w:t>
      </w:r>
    </w:p>
    <w:p w14:paraId="04423078">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1.本合同所有附件及相关文件均为本合同的有效组成部分，与本合同具有同等法律效力。若合同附件与本合同存在不一致的，则以本合同为准。</w:t>
      </w:r>
    </w:p>
    <w:p w14:paraId="2CD5294D">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2.在履行本合同过程中，所有经甲乙双方签署确认的文件（包括会议纪要、补充协议、往来信函、电子邮件等）即成为本合同的有效组成部分。</w:t>
      </w:r>
    </w:p>
    <w:p w14:paraId="4F9C4278">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3.合同履行期间所有产生费用，包括评审费，劳务费等，由乙方负责，甲方不承担任何费用。</w:t>
      </w:r>
    </w:p>
    <w:p w14:paraId="7DF6D1DB">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4.甲乙双方确认，以下为各方真实有效通讯地址：</w:t>
      </w:r>
    </w:p>
    <w:p w14:paraId="57817B49">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b w:val="0"/>
          <w:bCs/>
          <w:color w:val="auto"/>
          <w:sz w:val="21"/>
          <w:szCs w:val="21"/>
          <w:highlight w:val="none"/>
          <w:u w:val="single"/>
        </w:rPr>
        <w:t>广西壮族自治区生态环境厅</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14:paraId="1FDF190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kern w:val="0"/>
          <w:sz w:val="21"/>
          <w:szCs w:val="21"/>
          <w:highlight w:val="none"/>
          <w:u w:val="single"/>
          <w:lang w:val="en-US" w:eastAsia="zh-CN" w:bidi="ar"/>
        </w:rPr>
        <w:t xml:space="preserve">广西南宁市青秀区佛子岭路16号 </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 xml:space="preserve">， </w:t>
      </w:r>
    </w:p>
    <w:p w14:paraId="3300D6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收件人：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1F5843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79BC48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电子邮箱：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
        </w:rPr>
        <w:t>。</w:t>
      </w:r>
    </w:p>
    <w:p w14:paraId="72CEAEBD">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14:paraId="190D02AF">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66C16D6C">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收件人：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603E600E">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72CDE406">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电子邮箱：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78773A0A">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1642BA72">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5.本合同一式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柒</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份，具有同等法律效力，政府采购监管部门、采购代理机构各</w:t>
      </w:r>
      <w:r>
        <w:rPr>
          <w:rFonts w:hint="eastAsia" w:ascii="宋体" w:hAnsi="宋体" w:eastAsia="宋体" w:cs="宋体"/>
          <w:color w:val="auto"/>
          <w:sz w:val="21"/>
          <w:szCs w:val="21"/>
          <w:highlight w:val="none"/>
          <w:u w:val="single"/>
        </w:rPr>
        <w:t>壹</w:t>
      </w:r>
      <w:r>
        <w:rPr>
          <w:rFonts w:hint="eastAsia" w:ascii="宋体" w:hAnsi="宋体" w:eastAsia="宋体" w:cs="宋体"/>
          <w:color w:val="auto"/>
          <w:sz w:val="21"/>
          <w:szCs w:val="21"/>
          <w:highlight w:val="none"/>
        </w:rPr>
        <w:t>份，甲方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叁</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份，乙方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w:t>
      </w:r>
    </w:p>
    <w:p w14:paraId="4B918FE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本条款不因合同的变更、解除和终止而失效</w:t>
      </w:r>
      <w:r>
        <w:rPr>
          <w:rFonts w:hint="eastAsia" w:ascii="宋体" w:hAnsi="宋体" w:eastAsia="宋体" w:cs="宋体"/>
          <w:color w:val="auto"/>
          <w:sz w:val="21"/>
          <w:szCs w:val="21"/>
          <w:highlight w:val="none"/>
          <w:u w:val="none"/>
          <w:lang w:val="en-US" w:eastAsia="zh-CN"/>
        </w:rPr>
        <w:t>。</w:t>
      </w:r>
    </w:p>
    <w:p w14:paraId="167571DD">
      <w:pPr>
        <w:keepNext w:val="0"/>
        <w:keepLines w:val="0"/>
        <w:pageBreakBefore w:val="0"/>
        <w:wordWrap/>
        <w:overflowPunct/>
        <w:topLinePunct w:val="0"/>
        <w:bidi w:val="0"/>
        <w:spacing w:line="400" w:lineRule="exact"/>
        <w:ind w:firstLine="422" w:firstLineChars="200"/>
        <w:jc w:val="left"/>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第十八条　合同附件</w:t>
      </w:r>
    </w:p>
    <w:p w14:paraId="165FA68D">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附件一：</w:t>
      </w:r>
      <w:r>
        <w:rPr>
          <w:rFonts w:hint="eastAsia" w:ascii="宋体" w:hAnsi="宋体" w:eastAsia="宋体" w:cs="宋体"/>
          <w:color w:val="auto"/>
          <w:sz w:val="21"/>
          <w:szCs w:val="21"/>
          <w:highlight w:val="none"/>
        </w:rPr>
        <w:t>……</w:t>
      </w:r>
    </w:p>
    <w:p w14:paraId="58FD8C53">
      <w:pPr>
        <w:keepNext w:val="0"/>
        <w:keepLines w:val="0"/>
        <w:pageBreakBefore w:val="0"/>
        <w:wordWrap/>
        <w:overflowPunct/>
        <w:topLinePunct w:val="0"/>
        <w:bidi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附件二：</w:t>
      </w:r>
      <w:r>
        <w:rPr>
          <w:rFonts w:hint="eastAsia" w:ascii="宋体" w:hAnsi="宋体" w:eastAsia="宋体" w:cs="宋体"/>
          <w:color w:val="auto"/>
          <w:sz w:val="21"/>
          <w:szCs w:val="21"/>
          <w:highlight w:val="none"/>
        </w:rPr>
        <w:t>……</w:t>
      </w:r>
    </w:p>
    <w:tbl>
      <w:tblPr>
        <w:tblStyle w:val="22"/>
        <w:tblW w:w="8550"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0"/>
        <w:gridCol w:w="4050"/>
      </w:tblGrid>
      <w:tr w14:paraId="3D92F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75" w:hRule="atLeast"/>
        </w:trPr>
        <w:tc>
          <w:tcPr>
            <w:tcW w:w="4500" w:type="dxa"/>
            <w:tcBorders>
              <w:top w:val="single" w:color="000000" w:sz="4" w:space="0"/>
              <w:left w:val="single" w:color="000000" w:sz="4" w:space="0"/>
              <w:bottom w:val="single" w:color="000000" w:sz="4" w:space="0"/>
              <w:right w:val="single" w:color="000000" w:sz="4" w:space="0"/>
            </w:tcBorders>
            <w:noWrap w:val="0"/>
            <w:vAlign w:val="center"/>
          </w:tcPr>
          <w:p w14:paraId="70EF8DDF">
            <w:pPr>
              <w:pageBreakBefore w:val="0"/>
              <w:widowControl w:val="0"/>
              <w:kinsoku/>
              <w:overflowPunct/>
              <w:autoSpaceDE/>
              <w:autoSpaceDN/>
              <w:bidi w:val="0"/>
              <w:adjustRightInd/>
              <w:spacing w:line="400" w:lineRule="exact"/>
              <w:jc w:val="both"/>
              <w:textAlignment w:val="auto"/>
              <w:rPr>
                <w:rFonts w:hint="eastAsia" w:ascii="宋体" w:hAnsi="宋体" w:eastAsia="宋体" w:cs="宋体"/>
                <w:color w:val="auto"/>
                <w:sz w:val="21"/>
                <w:szCs w:val="21"/>
                <w:highlight w:val="none"/>
                <w:lang w:eastAsia="zh-CN"/>
              </w:rPr>
            </w:pPr>
            <w:r>
              <w:rPr>
                <w:rStyle w:val="27"/>
                <w:rFonts w:ascii="宋体" w:hAnsi="宋体"/>
                <w:color w:val="auto"/>
                <w:szCs w:val="21"/>
                <w:highlight w:val="none"/>
              </w:rPr>
              <w:t>甲方（章）</w:t>
            </w:r>
            <w:r>
              <w:rPr>
                <w:rStyle w:val="27"/>
                <w:rFonts w:hint="eastAsia" w:ascii="宋体" w:hAnsi="宋体"/>
                <w:color w:val="auto"/>
                <w:szCs w:val="21"/>
                <w:highlight w:val="none"/>
                <w:lang w:eastAsia="zh-CN"/>
              </w:rPr>
              <w:t>：</w:t>
            </w:r>
          </w:p>
          <w:p w14:paraId="07DBD256">
            <w:pPr>
              <w:snapToGrid w:val="0"/>
              <w:spacing w:line="400" w:lineRule="exact"/>
              <w:rPr>
                <w:rStyle w:val="27"/>
                <w:rFonts w:ascii="宋体" w:hAnsi="宋体"/>
                <w:color w:val="auto"/>
                <w:szCs w:val="21"/>
                <w:highlight w:val="none"/>
              </w:rPr>
            </w:pPr>
            <w:r>
              <w:rPr>
                <w:rStyle w:val="27"/>
                <w:rFonts w:ascii="宋体" w:hAnsi="宋体"/>
                <w:color w:val="auto"/>
                <w:szCs w:val="21"/>
                <w:highlight w:val="none"/>
              </w:rPr>
              <w:t xml:space="preserve">        </w:t>
            </w:r>
          </w:p>
          <w:p w14:paraId="62B378B4">
            <w:pPr>
              <w:snapToGrid w:val="0"/>
              <w:spacing w:line="400" w:lineRule="exact"/>
              <w:rPr>
                <w:rStyle w:val="27"/>
                <w:rFonts w:ascii="宋体" w:hAnsi="宋体"/>
                <w:color w:val="auto"/>
                <w:szCs w:val="21"/>
                <w:highlight w:val="none"/>
              </w:rPr>
            </w:pPr>
          </w:p>
          <w:p w14:paraId="6297D713">
            <w:pPr>
              <w:snapToGrid w:val="0"/>
              <w:spacing w:line="400" w:lineRule="exact"/>
              <w:ind w:firstLine="945" w:firstLineChars="450"/>
              <w:jc w:val="right"/>
              <w:rPr>
                <w:rStyle w:val="27"/>
                <w:rFonts w:ascii="宋体" w:hAnsi="宋体"/>
                <w:color w:val="auto"/>
                <w:szCs w:val="21"/>
                <w:highlight w:val="none"/>
              </w:rPr>
            </w:pPr>
            <w:r>
              <w:rPr>
                <w:rStyle w:val="27"/>
                <w:rFonts w:ascii="宋体" w:hAnsi="宋体"/>
                <w:color w:val="auto"/>
                <w:szCs w:val="21"/>
                <w:highlight w:val="none"/>
              </w:rPr>
              <w:t>年   月   日</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14:paraId="6AD0C70C">
            <w:pPr>
              <w:snapToGrid w:val="0"/>
              <w:spacing w:line="400" w:lineRule="exact"/>
              <w:rPr>
                <w:rStyle w:val="27"/>
                <w:rFonts w:ascii="宋体" w:hAnsi="宋体"/>
                <w:color w:val="auto"/>
                <w:szCs w:val="21"/>
                <w:highlight w:val="none"/>
              </w:rPr>
            </w:pPr>
            <w:r>
              <w:rPr>
                <w:rStyle w:val="27"/>
                <w:rFonts w:ascii="宋体" w:hAnsi="宋体"/>
                <w:color w:val="auto"/>
                <w:szCs w:val="21"/>
                <w:highlight w:val="none"/>
              </w:rPr>
              <w:t xml:space="preserve">乙方（章）              </w:t>
            </w:r>
          </w:p>
          <w:p w14:paraId="4DC7818E">
            <w:pPr>
              <w:snapToGrid w:val="0"/>
              <w:spacing w:line="400" w:lineRule="exact"/>
              <w:rPr>
                <w:rStyle w:val="27"/>
                <w:rFonts w:ascii="宋体" w:hAnsi="宋体"/>
                <w:color w:val="auto"/>
                <w:szCs w:val="21"/>
                <w:highlight w:val="none"/>
              </w:rPr>
            </w:pPr>
          </w:p>
          <w:p w14:paraId="6B7800A2">
            <w:pPr>
              <w:snapToGrid w:val="0"/>
              <w:spacing w:line="400" w:lineRule="exact"/>
              <w:jc w:val="right"/>
              <w:rPr>
                <w:rStyle w:val="27"/>
                <w:rFonts w:ascii="宋体" w:hAnsi="宋体"/>
                <w:color w:val="auto"/>
                <w:szCs w:val="21"/>
                <w:highlight w:val="none"/>
              </w:rPr>
            </w:pPr>
            <w:r>
              <w:rPr>
                <w:rStyle w:val="27"/>
                <w:rFonts w:ascii="宋体" w:hAnsi="宋体"/>
                <w:color w:val="auto"/>
                <w:szCs w:val="21"/>
                <w:highlight w:val="none"/>
              </w:rPr>
              <w:t xml:space="preserve"> 年   月   日</w:t>
            </w:r>
          </w:p>
        </w:tc>
      </w:tr>
      <w:tr w14:paraId="57781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8" w:hRule="atLeast"/>
        </w:trPr>
        <w:tc>
          <w:tcPr>
            <w:tcW w:w="4500" w:type="dxa"/>
            <w:tcBorders>
              <w:top w:val="single" w:color="000000" w:sz="4" w:space="0"/>
              <w:left w:val="single" w:color="000000" w:sz="4" w:space="0"/>
              <w:bottom w:val="single" w:color="000000" w:sz="4" w:space="0"/>
              <w:right w:val="single" w:color="000000" w:sz="4" w:space="0"/>
            </w:tcBorders>
            <w:noWrap w:val="0"/>
            <w:vAlign w:val="center"/>
          </w:tcPr>
          <w:p w14:paraId="2B857091">
            <w:pPr>
              <w:snapToGrid w:val="0"/>
              <w:spacing w:line="400" w:lineRule="exact"/>
              <w:rPr>
                <w:rStyle w:val="27"/>
                <w:rFonts w:ascii="宋体" w:hAnsi="宋体"/>
                <w:color w:val="auto"/>
                <w:szCs w:val="21"/>
                <w:highlight w:val="none"/>
              </w:rPr>
            </w:pPr>
            <w:r>
              <w:rPr>
                <w:rStyle w:val="27"/>
                <w:rFonts w:ascii="宋体" w:hAnsi="宋体"/>
                <w:color w:val="auto"/>
                <w:szCs w:val="21"/>
                <w:highlight w:val="none"/>
              </w:rPr>
              <w:t>单位地址：</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14:paraId="6F85AE85">
            <w:pPr>
              <w:snapToGrid w:val="0"/>
              <w:spacing w:line="400" w:lineRule="exact"/>
              <w:rPr>
                <w:rStyle w:val="27"/>
                <w:rFonts w:ascii="宋体" w:hAnsi="宋体"/>
                <w:color w:val="auto"/>
                <w:szCs w:val="21"/>
                <w:highlight w:val="none"/>
              </w:rPr>
            </w:pPr>
            <w:r>
              <w:rPr>
                <w:rStyle w:val="27"/>
                <w:rFonts w:ascii="宋体" w:hAnsi="宋体"/>
                <w:color w:val="auto"/>
                <w:szCs w:val="21"/>
                <w:highlight w:val="none"/>
              </w:rPr>
              <w:t>单位地址：</w:t>
            </w:r>
          </w:p>
        </w:tc>
      </w:tr>
      <w:tr w14:paraId="127F8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8" w:hRule="atLeast"/>
        </w:trPr>
        <w:tc>
          <w:tcPr>
            <w:tcW w:w="4500" w:type="dxa"/>
            <w:tcBorders>
              <w:top w:val="single" w:color="000000" w:sz="4" w:space="0"/>
              <w:left w:val="single" w:color="000000" w:sz="4" w:space="0"/>
              <w:bottom w:val="single" w:color="000000" w:sz="4" w:space="0"/>
              <w:right w:val="single" w:color="000000" w:sz="4" w:space="0"/>
            </w:tcBorders>
            <w:noWrap w:val="0"/>
            <w:vAlign w:val="center"/>
          </w:tcPr>
          <w:p w14:paraId="3778F47D">
            <w:pPr>
              <w:snapToGrid w:val="0"/>
              <w:spacing w:line="400" w:lineRule="exact"/>
              <w:rPr>
                <w:rStyle w:val="27"/>
                <w:rFonts w:ascii="宋体" w:hAnsi="宋体"/>
                <w:color w:val="auto"/>
                <w:szCs w:val="21"/>
                <w:highlight w:val="none"/>
              </w:rPr>
            </w:pPr>
            <w:r>
              <w:rPr>
                <w:rStyle w:val="27"/>
                <w:rFonts w:ascii="宋体" w:hAnsi="宋体"/>
                <w:color w:val="auto"/>
                <w:szCs w:val="21"/>
                <w:highlight w:val="none"/>
              </w:rPr>
              <w:t>法定代表人（或委托代理人）：</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14:paraId="1C7A3C68">
            <w:pPr>
              <w:snapToGrid w:val="0"/>
              <w:spacing w:line="400" w:lineRule="exact"/>
              <w:rPr>
                <w:rStyle w:val="27"/>
                <w:rFonts w:ascii="宋体" w:hAnsi="宋体"/>
                <w:color w:val="auto"/>
                <w:szCs w:val="21"/>
                <w:highlight w:val="none"/>
              </w:rPr>
            </w:pPr>
            <w:r>
              <w:rPr>
                <w:rStyle w:val="27"/>
                <w:rFonts w:ascii="宋体" w:hAnsi="宋体"/>
                <w:color w:val="auto"/>
                <w:szCs w:val="21"/>
                <w:highlight w:val="none"/>
              </w:rPr>
              <w:t>法定代表人（或委托代理人）：</w:t>
            </w:r>
          </w:p>
        </w:tc>
      </w:tr>
      <w:tr w14:paraId="01973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8" w:hRule="atLeast"/>
        </w:trPr>
        <w:tc>
          <w:tcPr>
            <w:tcW w:w="4500" w:type="dxa"/>
            <w:tcBorders>
              <w:top w:val="single" w:color="000000" w:sz="4" w:space="0"/>
              <w:left w:val="single" w:color="000000" w:sz="4" w:space="0"/>
              <w:bottom w:val="single" w:color="000000" w:sz="4" w:space="0"/>
              <w:right w:val="single" w:color="000000" w:sz="4" w:space="0"/>
            </w:tcBorders>
            <w:noWrap w:val="0"/>
            <w:vAlign w:val="center"/>
          </w:tcPr>
          <w:p w14:paraId="504B692F">
            <w:pPr>
              <w:snapToGrid w:val="0"/>
              <w:spacing w:line="400" w:lineRule="exact"/>
              <w:rPr>
                <w:rStyle w:val="27"/>
                <w:rFonts w:ascii="宋体" w:hAnsi="宋体"/>
                <w:color w:val="auto"/>
                <w:szCs w:val="21"/>
                <w:highlight w:val="none"/>
              </w:rPr>
            </w:pPr>
            <w:r>
              <w:rPr>
                <w:rStyle w:val="27"/>
                <w:rFonts w:hint="eastAsia" w:ascii="宋体" w:hAnsi="宋体"/>
                <w:color w:val="auto"/>
                <w:szCs w:val="21"/>
                <w:highlight w:val="none"/>
                <w:lang w:eastAsia="zh-CN"/>
              </w:rPr>
              <w:t>联系</w:t>
            </w:r>
            <w:r>
              <w:rPr>
                <w:rStyle w:val="27"/>
                <w:rFonts w:ascii="宋体" w:hAnsi="宋体"/>
                <w:color w:val="auto"/>
                <w:szCs w:val="21"/>
                <w:highlight w:val="none"/>
              </w:rPr>
              <w:t>电话：</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14:paraId="4EA29ADE">
            <w:pPr>
              <w:snapToGrid w:val="0"/>
              <w:spacing w:line="400" w:lineRule="exact"/>
              <w:rPr>
                <w:rStyle w:val="27"/>
                <w:rFonts w:ascii="宋体" w:hAnsi="宋体"/>
                <w:color w:val="auto"/>
                <w:szCs w:val="21"/>
                <w:highlight w:val="none"/>
              </w:rPr>
            </w:pPr>
            <w:r>
              <w:rPr>
                <w:rStyle w:val="27"/>
                <w:rFonts w:hint="eastAsia" w:ascii="宋体" w:hAnsi="宋体"/>
                <w:color w:val="auto"/>
                <w:szCs w:val="21"/>
                <w:highlight w:val="none"/>
                <w:lang w:eastAsia="zh-CN"/>
              </w:rPr>
              <w:t>联系</w:t>
            </w:r>
            <w:r>
              <w:rPr>
                <w:rStyle w:val="27"/>
                <w:rFonts w:ascii="宋体" w:hAnsi="宋体"/>
                <w:color w:val="auto"/>
                <w:szCs w:val="21"/>
                <w:highlight w:val="none"/>
              </w:rPr>
              <w:t>电话：</w:t>
            </w:r>
          </w:p>
        </w:tc>
      </w:tr>
    </w:tbl>
    <w:p w14:paraId="77701BE5">
      <w:pPr>
        <w:pStyle w:val="3"/>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color w:val="auto"/>
          <w:highlight w:val="none"/>
        </w:rPr>
      </w:pPr>
      <w:bookmarkStart w:id="196" w:name="_Toc7881"/>
      <w:bookmarkStart w:id="197" w:name="_Toc12075"/>
      <w:r>
        <w:rPr>
          <w:rFonts w:hint="eastAsia" w:ascii="宋体" w:hAnsi="宋体" w:cs="宋体"/>
          <w:color w:val="auto"/>
          <w:highlight w:val="none"/>
        </w:rPr>
        <w:br w:type="page"/>
      </w:r>
      <w:bookmarkStart w:id="198" w:name="_Toc24556"/>
      <w:bookmarkStart w:id="199" w:name="_Toc25884"/>
      <w:r>
        <w:rPr>
          <w:rFonts w:hint="eastAsia" w:ascii="方正小标宋_GBK" w:hAnsi="方正小标宋_GBK" w:eastAsia="方正小标宋_GBK" w:cs="方正小标宋_GBK"/>
          <w:b w:val="0"/>
          <w:bCs w:val="0"/>
          <w:color w:val="auto"/>
          <w:kern w:val="2"/>
          <w:sz w:val="21"/>
          <w:szCs w:val="21"/>
          <w:highlight w:val="none"/>
          <w:lang w:val="en-US" w:eastAsia="zh-CN" w:bidi="ar-SA"/>
        </w:rPr>
        <w:t>第六章  评审方法</w:t>
      </w:r>
      <w:bookmarkEnd w:id="80"/>
      <w:bookmarkEnd w:id="81"/>
      <w:bookmarkEnd w:id="82"/>
      <w:bookmarkEnd w:id="83"/>
      <w:bookmarkEnd w:id="84"/>
      <w:bookmarkEnd w:id="85"/>
      <w:bookmarkEnd w:id="196"/>
      <w:bookmarkEnd w:id="197"/>
      <w:bookmarkEnd w:id="198"/>
      <w:bookmarkEnd w:id="199"/>
      <w:bookmarkStart w:id="200" w:name="_Toc213325923"/>
      <w:bookmarkStart w:id="201" w:name="_Toc213326414"/>
      <w:bookmarkStart w:id="202" w:name="_Toc460253701"/>
      <w:bookmarkStart w:id="203" w:name="_Toc485920212"/>
      <w:bookmarkStart w:id="204" w:name="_Toc213206174"/>
    </w:p>
    <w:p w14:paraId="3FD4065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highlight w:val="none"/>
        </w:rPr>
      </w:pPr>
    </w:p>
    <w:p w14:paraId="46CAA82E">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b/>
          <w:color w:val="auto"/>
          <w:sz w:val="21"/>
          <w:szCs w:val="21"/>
          <w:highlight w:val="none"/>
        </w:rPr>
      </w:pPr>
      <w:bookmarkStart w:id="205" w:name="_Toc322094437"/>
      <w:r>
        <w:rPr>
          <w:rFonts w:hint="eastAsia" w:ascii="宋体" w:hAnsi="宋体" w:cs="宋体"/>
          <w:b/>
          <w:color w:val="auto"/>
          <w:sz w:val="21"/>
          <w:szCs w:val="21"/>
          <w:highlight w:val="none"/>
        </w:rPr>
        <w:t>一、评审程序和评审方法</w:t>
      </w:r>
    </w:p>
    <w:p w14:paraId="2C8B7A7C">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1.资格审查</w:t>
      </w:r>
    </w:p>
    <w:p w14:paraId="64D692DD">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7AA8D414">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注：采购人或者采购代理机构在资格审查结束前，对供应商进行信用查询。</w:t>
      </w:r>
    </w:p>
    <w:p w14:paraId="041435BB">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 、中国政府采购网(www.ccgp.gov.cn)。</w:t>
      </w:r>
    </w:p>
    <w:p w14:paraId="13769C56">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4ABE7391">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5C23183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本次采购活动。</w:t>
      </w:r>
    </w:p>
    <w:p w14:paraId="42159EB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59C0336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154E4494">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67ED516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005C6B2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1D3783E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4E2D3EDC">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2.符合性审查</w:t>
      </w:r>
    </w:p>
    <w:p w14:paraId="5E47E25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bookmarkStart w:id="206"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206"/>
    <w:p w14:paraId="522E404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C2A36F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pacing w:val="-6"/>
          <w:szCs w:val="21"/>
          <w:highlight w:val="none"/>
        </w:rPr>
        <w:t>。供应商为自然人的，必须由本人签字并附身份证明。</w:t>
      </w:r>
    </w:p>
    <w:p w14:paraId="5FA7A94E">
      <w:pPr>
        <w:keepNext w:val="0"/>
        <w:keepLines w:val="0"/>
        <w:pageBreakBefore w:val="0"/>
        <w:kinsoku/>
        <w:wordWrap/>
        <w:overflowPunct/>
        <w:topLinePunct w:val="0"/>
        <w:autoSpaceDE/>
        <w:autoSpaceDN/>
        <w:bidi w:val="0"/>
        <w:adjustRightInd/>
        <w:spacing w:line="400" w:lineRule="exact"/>
        <w:ind w:firstLine="396" w:firstLineChars="200"/>
        <w:textAlignment w:val="auto"/>
        <w:rPr>
          <w:rFonts w:hint="eastAsia"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28185F0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5CAE0D6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F80B56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94FB94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6494635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5F9D8C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2.5商务技术报价评审</w:t>
      </w:r>
    </w:p>
    <w:p w14:paraId="19E8B83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0366163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6B3E456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1）提供响应文件正、副本数量不足；</w:t>
      </w:r>
    </w:p>
    <w:p w14:paraId="42C3CB7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2）响应文件未按磋商文件要求签署、盖章；</w:t>
      </w:r>
    </w:p>
    <w:p w14:paraId="07C34C1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3）委托代理人未能出具有效身份证明或者出具的身份证明与授权委托书中的信息不符； </w:t>
      </w:r>
    </w:p>
    <w:p w14:paraId="79E0FE6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2E1E635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5）商务条款中标“▲”的条款发生负偏离的或者允许负偏离的条款数超过“供应商须知前附表”规定项数的或者标明实质性的要求发生负偏离；</w:t>
      </w:r>
    </w:p>
    <w:p w14:paraId="59ADD59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3EE7630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4D6045D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4A6A52F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37D0190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10）属于“供应商须知正文”第7.5条情形；</w:t>
      </w:r>
    </w:p>
    <w:p w14:paraId="35F8337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11）技术需求允许负偏离的条款数超过“供应商须知前附表”规定项数；</w:t>
      </w:r>
    </w:p>
    <w:p w14:paraId="13E8D95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735525F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13）竞标技术方案不明确，磋商文件未允许但响应文件中存在一个或者一个以上备选（替代）竞标方案；</w:t>
      </w:r>
    </w:p>
    <w:p w14:paraId="66DD13D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14）响应文件标注的项目名称或者项目编号与竞争性磋商文件标注的项目名称或者项目编号不一致的；</w:t>
      </w:r>
    </w:p>
    <w:p w14:paraId="34A98A0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15）未响应磋商文件实质性要求；</w:t>
      </w:r>
    </w:p>
    <w:p w14:paraId="362FC13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14:paraId="522C149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（2）报价评审</w:t>
      </w:r>
    </w:p>
    <w:p w14:paraId="168A82D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报价商务技术文件中规定的“竞标报价表”；</w:t>
      </w:r>
    </w:p>
    <w:p w14:paraId="3FD22A5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496FCC3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30B3E2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207" w:name="_Hlk42596405"/>
      <w:r>
        <w:rPr>
          <w:rFonts w:hint="eastAsia" w:ascii="宋体" w:hAnsi="宋体" w:cs="宋体"/>
          <w:color w:val="auto"/>
          <w:szCs w:val="21"/>
          <w:highlight w:val="none"/>
        </w:rPr>
        <w:t>竞标报价（包含首次报价、最后报价）</w:t>
      </w:r>
      <w:bookmarkEnd w:id="207"/>
      <w:bookmarkStart w:id="208" w:name="_Hlk42596276"/>
      <w:r>
        <w:rPr>
          <w:rFonts w:hint="eastAsia" w:ascii="宋体" w:hAnsi="宋体" w:cs="宋体"/>
          <w:color w:val="auto"/>
          <w:szCs w:val="21"/>
          <w:highlight w:val="none"/>
        </w:rPr>
        <w:t>超过磋商文件分项采购预算金额或者最高限价的</w:t>
      </w:r>
      <w:bookmarkEnd w:id="208"/>
      <w:r>
        <w:rPr>
          <w:rFonts w:hint="eastAsia" w:ascii="宋体" w:hAnsi="宋体" w:cs="宋体"/>
          <w:color w:val="auto"/>
          <w:szCs w:val="21"/>
          <w:highlight w:val="none"/>
        </w:rPr>
        <w:t>（如本项目公布了最高限价）；</w:t>
      </w:r>
    </w:p>
    <w:p w14:paraId="5A0D5BD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067F8BE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657B89F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58440B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w:t>
      </w:r>
    </w:p>
    <w:p w14:paraId="40986A1A">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3.磋商程序</w:t>
      </w:r>
    </w:p>
    <w:p w14:paraId="0362F39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E0C0EB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BD10DE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3.3对磋商文件作出的实质性变动是磋商文件的有效组成部分，由磋商小组及时以书面形式同时通知所有参加磋商的供应商。</w:t>
      </w:r>
    </w:p>
    <w:p w14:paraId="2439919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zCs w:val="21"/>
          <w:highlight w:val="none"/>
        </w:rPr>
        <w:t>。供应商为自然人的，必须由本人签字并附身份证明。参加磋商的供应商未在规定时间内重新提交响应文件的，视同退出磋商。</w:t>
      </w:r>
    </w:p>
    <w:p w14:paraId="3AF7A24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1892866E">
      <w:pPr>
        <w:keepNext w:val="0"/>
        <w:keepLines w:val="0"/>
        <w:pageBreakBefore w:val="0"/>
        <w:widowControl/>
        <w:tabs>
          <w:tab w:val="left" w:pos="540"/>
        </w:tabs>
        <w:kinsoku/>
        <w:wordWrap/>
        <w:overflowPunct/>
        <w:topLinePunct w:val="0"/>
        <w:autoSpaceDE/>
        <w:autoSpaceDN/>
        <w:bidi w:val="0"/>
        <w:adjustRightIn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3.6采购代理机构对磋商过程和重要磋商内容进行记录，磋商双方在记录上签字确认。</w:t>
      </w:r>
    </w:p>
    <w:p w14:paraId="7C39894E">
      <w:pPr>
        <w:keepNext w:val="0"/>
        <w:keepLines w:val="0"/>
        <w:pageBreakBefore w:val="0"/>
        <w:widowControl/>
        <w:tabs>
          <w:tab w:val="left" w:pos="540"/>
        </w:tabs>
        <w:kinsoku/>
        <w:wordWrap/>
        <w:overflowPunct/>
        <w:topLinePunct w:val="0"/>
        <w:autoSpaceDE/>
        <w:autoSpaceDN/>
        <w:bidi w:val="0"/>
        <w:adjustRightIn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3.7磋商过程中重新提交的响应文件，供应商可以在开启前补充、修改。</w:t>
      </w:r>
    </w:p>
    <w:p w14:paraId="6AABA3F2">
      <w:pPr>
        <w:keepNext w:val="0"/>
        <w:keepLines w:val="0"/>
        <w:pageBreakBefore w:val="0"/>
        <w:tabs>
          <w:tab w:val="left" w:pos="2835"/>
        </w:tabs>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3.8对磋商过程提交的响应文件进行有效性、完整性和响应程度审查，通过审查的合格供应商不足3家的，采购人或者采购代理机构应当重新开展采购活动。</w:t>
      </w:r>
    </w:p>
    <w:p w14:paraId="189A1CB7">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cs="宋体"/>
          <w:color w:val="auto"/>
          <w:szCs w:val="21"/>
          <w:highlight w:val="none"/>
        </w:rPr>
      </w:pPr>
      <w:r>
        <w:rPr>
          <w:rFonts w:hint="eastAsia" w:ascii="宋体" w:hAnsi="宋体" w:cs="宋体"/>
          <w:b/>
          <w:bCs/>
          <w:color w:val="auto"/>
          <w:sz w:val="24"/>
          <w:highlight w:val="none"/>
        </w:rPr>
        <w:t>4. 最后报价</w:t>
      </w:r>
    </w:p>
    <w:p w14:paraId="3023940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由磋商小组要求所有继续参加磋商的供应商在规定时间内密封提交最后报价，除本章第4.3条外，提交最后报价的供应商不得少于3家，否则必须重新采购。</w:t>
      </w:r>
    </w:p>
    <w:p w14:paraId="312F7F5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20008A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E52360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10DB084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w:t>
      </w:r>
    </w:p>
    <w:p w14:paraId="3E29302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4.6磋商小组收齐某一分标最后报价后统一开启，磋商小组对最后报价进行有效性、完整性和响应程度的审查。</w:t>
      </w:r>
    </w:p>
    <w:p w14:paraId="2ACEC35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4.7响应文件最后报价出现前后不一致的，按照本章第2.4条的规定修正。 </w:t>
      </w:r>
    </w:p>
    <w:p w14:paraId="72BA7DB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46BE778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（1）供应商不确认的；</w:t>
      </w:r>
    </w:p>
    <w:p w14:paraId="4950152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2D7A87C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227760F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31086CA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w:t>
      </w:r>
      <w:r>
        <w:rPr>
          <w:rFonts w:hint="eastAsia" w:ascii="宋体" w:hAnsi="宋体" w:cs="宋体"/>
          <w:color w:val="auto"/>
          <w:szCs w:val="21"/>
          <w:highlight w:val="none"/>
        </w:rPr>
        <w:t>磋商小组应当告知有关供应商。</w:t>
      </w:r>
    </w:p>
    <w:p w14:paraId="008FCE5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4ED075CC">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5.比较与评价</w:t>
      </w:r>
    </w:p>
    <w:p w14:paraId="6BF2FDA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5.1评审方法：综合评分法。</w:t>
      </w:r>
    </w:p>
    <w:p w14:paraId="4DB56DE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7669F91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46ADDB2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AD4ABD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（2）磋商小组按照磋商文件中规定的评审标准计算各供应商的报价得分。项目评审过程中，不得去掉最后报价中的最高报价和最低报价。</w:t>
      </w:r>
    </w:p>
    <w:p w14:paraId="6126D6F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（3）各供应商的得分为磋商小组所有成员的有效评分的算术平均数。</w:t>
      </w:r>
    </w:p>
    <w:p w14:paraId="3D3CB8E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.4评审价为供应商的最后报价进行政策性扣除后的价格，评审价只是作为评审时使用。最终成交供应商的成交金额等于最后报价（如有修正，以确认修正后的最后报价为准）。</w:t>
      </w:r>
    </w:p>
    <w:p w14:paraId="6D7DABF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异常低价响应审查</w:t>
      </w:r>
    </w:p>
    <w:p w14:paraId="2667BE8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1）根据《关于推动解决政府采购异常低价问题的通知》财库〔2026〕2号要求，政府采购评审中出现下列情形之一的，磋商小组应当启动异常低价响应审查程序：</w:t>
      </w:r>
    </w:p>
    <w:p w14:paraId="250ED6F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①响应报价低于全部通过符合性审查供应商响应报价平均值50%的，即响应报价&lt;全部通过符合性审查供应商响应报价平均值×50%；</w:t>
      </w:r>
    </w:p>
    <w:p w14:paraId="1728109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②响应报价低于通过符合性审查的次低报价供应商响应报价50%的，即响应报价&lt;通过符合性审查的次低报价供应商投标（响应）报价×50%；</w:t>
      </w:r>
    </w:p>
    <w:p w14:paraId="482E231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③响应报价低于采购项目最高限价45%的，即响应报价&lt;采购项目最高限价×45%；</w:t>
      </w:r>
    </w:p>
    <w:p w14:paraId="7CE9261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④磋商小组基于专业判断，认为供应商报价过低，有可能影响产品质量或者不能诚信履约的其他情形。</w:t>
      </w:r>
    </w:p>
    <w:p w14:paraId="174694A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40A3CE8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3EF1E0B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233444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5）异常低价投标（响应）审查的启动原因、审查意见和审查结果应当在评审报告中记录，并随供应商提供的相关书面说明及证明材料，以及磋商小组有关互联网浏览、查询历史一并归档</w:t>
      </w:r>
      <w:r>
        <w:rPr>
          <w:rFonts w:hint="eastAsia" w:ascii="宋体" w:hAnsi="宋体" w:eastAsia="宋体" w:cs="宋体"/>
          <w:color w:val="auto"/>
          <w:kern w:val="0"/>
          <w:sz w:val="21"/>
          <w:szCs w:val="21"/>
          <w:highlight w:val="none"/>
        </w:rPr>
        <w:t>。</w:t>
      </w:r>
    </w:p>
    <w:p w14:paraId="0AE68A8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5.6</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B3CA30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5.7</w:t>
      </w:r>
      <w:r>
        <w:rPr>
          <w:rFonts w:hint="eastAsia" w:ascii="宋体" w:hAnsi="宋体" w:eastAsia="宋体" w:cs="宋体"/>
          <w:color w:val="auto"/>
          <w:sz w:val="21"/>
          <w:szCs w:val="21"/>
          <w:highlight w:val="none"/>
        </w:rPr>
        <w:t>由磋商小组根据综合评分情况，按照评审得分由高到低顺序推荐3名以上成交候选供应商，并编写评</w:t>
      </w:r>
      <w:r>
        <w:rPr>
          <w:rFonts w:hint="eastAsia" w:ascii="宋体" w:hAnsi="宋体" w:eastAsia="宋体" w:cs="宋体"/>
          <w:color w:val="auto"/>
          <w:kern w:val="0"/>
          <w:sz w:val="21"/>
          <w:szCs w:val="21"/>
          <w:highlight w:val="none"/>
        </w:rPr>
        <w:t>审报告。符合本章第4.3条情形的，可以推荐2家成交候选供应商。评审得分相同的，按照最后报价由低到高的顺序推荐。评审得分且最后报价相同的，按照技术指标优劣顺序推荐</w:t>
      </w:r>
      <w:r>
        <w:rPr>
          <w:rFonts w:hint="eastAsia" w:ascii="宋体" w:hAnsi="宋体" w:cs="宋体"/>
          <w:color w:val="auto"/>
          <w:kern w:val="0"/>
          <w:szCs w:val="21"/>
          <w:highlight w:val="none"/>
        </w:rPr>
        <w:t>。</w:t>
      </w:r>
    </w:p>
    <w:p w14:paraId="746C248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5.8</w:t>
      </w:r>
      <w:r>
        <w:rPr>
          <w:rFonts w:hint="eastAsia" w:ascii="宋体" w:hAnsi="宋体" w:cs="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CAB60FF">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b/>
          <w:color w:val="auto"/>
          <w:sz w:val="32"/>
          <w:szCs w:val="32"/>
          <w:highlight w:val="none"/>
        </w:rPr>
      </w:pPr>
    </w:p>
    <w:p w14:paraId="25C9E84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二、评审标准</w:t>
      </w:r>
    </w:p>
    <w:p w14:paraId="0B56FF43">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cs="宋体"/>
          <w:bCs/>
          <w:color w:val="auto"/>
          <w:szCs w:val="21"/>
          <w:highlight w:val="none"/>
        </w:rPr>
      </w:pPr>
      <w:r>
        <w:rPr>
          <w:rFonts w:hint="eastAsia" w:ascii="宋体" w:hAnsi="宋体" w:cs="宋体"/>
          <w:b/>
          <w:color w:val="auto"/>
          <w:szCs w:val="21"/>
          <w:highlight w:val="none"/>
        </w:rPr>
        <w:t>6.评审原则</w:t>
      </w:r>
    </w:p>
    <w:p w14:paraId="7912146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（一）评审小组构成：本项目的评审小组由采购人代表和专家评委组成，成员人数为三人以上（含三人）单数；</w:t>
      </w:r>
    </w:p>
    <w:p w14:paraId="2078E1C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（二）评审依据：本评审办法和供应商提交的响应文件；</w:t>
      </w:r>
    </w:p>
    <w:p w14:paraId="5D6952C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（三）评审办法：综合评分法。</w:t>
      </w:r>
    </w:p>
    <w:p w14:paraId="41360366">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cs="宋体"/>
          <w:bCs/>
          <w:color w:val="auto"/>
          <w:szCs w:val="21"/>
          <w:highlight w:val="none"/>
        </w:rPr>
      </w:pPr>
      <w:r>
        <w:rPr>
          <w:rFonts w:hint="eastAsia" w:ascii="宋体" w:hAnsi="宋体" w:cs="宋体"/>
          <w:b/>
          <w:color w:val="auto"/>
          <w:szCs w:val="21"/>
          <w:highlight w:val="none"/>
        </w:rPr>
        <w:t>7.评审方法</w:t>
      </w:r>
    </w:p>
    <w:p w14:paraId="2E7831C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对经初核符合要求进入详评的供应商，磋商小组将以本评审办法以及磋商响应文件为评审依据，对供应商的报价、技术、商务等方面内容按百分制打分。评分细则（计分方法按四舍五入取至百分位）</w:t>
      </w:r>
    </w:p>
    <w:bookmarkEnd w:id="205"/>
    <w:tbl>
      <w:tblPr>
        <w:tblStyle w:val="22"/>
        <w:tblW w:w="85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8"/>
        <w:gridCol w:w="918"/>
        <w:gridCol w:w="6630"/>
      </w:tblGrid>
      <w:tr w14:paraId="76224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8" w:type="dxa"/>
            <w:noWrap w:val="0"/>
            <w:vAlign w:val="center"/>
          </w:tcPr>
          <w:p w14:paraId="24A94BF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918" w:type="dxa"/>
            <w:noWrap w:val="0"/>
            <w:vAlign w:val="center"/>
          </w:tcPr>
          <w:p w14:paraId="0335CC0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w:t>
            </w:r>
          </w:p>
          <w:p w14:paraId="2C0A881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6630" w:type="dxa"/>
            <w:noWrap w:val="0"/>
            <w:vAlign w:val="center"/>
          </w:tcPr>
          <w:p w14:paraId="5F543E2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评标方法描述</w:t>
            </w:r>
          </w:p>
        </w:tc>
      </w:tr>
      <w:tr w14:paraId="6FB53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516" w:type="dxa"/>
            <w:gridSpan w:val="3"/>
            <w:noWrap w:val="0"/>
            <w:vAlign w:val="center"/>
          </w:tcPr>
          <w:p w14:paraId="5B880ED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（一）价格分（满分10分）</w:t>
            </w:r>
          </w:p>
        </w:tc>
      </w:tr>
      <w:tr w14:paraId="61242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8" w:type="dxa"/>
            <w:noWrap w:val="0"/>
            <w:vAlign w:val="center"/>
          </w:tcPr>
          <w:p w14:paraId="16F8557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竞标报价</w:t>
            </w:r>
          </w:p>
        </w:tc>
        <w:tc>
          <w:tcPr>
            <w:tcW w:w="918" w:type="dxa"/>
            <w:noWrap w:val="0"/>
            <w:vAlign w:val="center"/>
          </w:tcPr>
          <w:p w14:paraId="2CD2308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630" w:type="dxa"/>
            <w:noWrap w:val="0"/>
            <w:vAlign w:val="center"/>
          </w:tcPr>
          <w:p w14:paraId="0B2E4366">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（1）评标报价为投标人的投标报价进行政策性扣除后的价格，评标报价只是作为评标时使用。最终中标人的中标金额等于投标报价。</w:t>
            </w:r>
          </w:p>
          <w:p w14:paraId="2EE8CE4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2024〕55号）的规定，对其最后报价给予10%（范围为10-20%）的扣除。</w:t>
            </w:r>
          </w:p>
          <w:p w14:paraId="35177702">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18EDFE1">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56AD44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（5）政策性扣除计算方法。</w:t>
            </w:r>
          </w:p>
          <w:p w14:paraId="23D89746">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服务采购项目中，服务由小微企业承接；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14:paraId="7D54F6E0">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（6）满足竞争性磋商文件要求且评标报价最低的评标报价为评标基准价，其价格分为满分。</w:t>
            </w:r>
          </w:p>
          <w:p w14:paraId="3DE33F65">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（7）价格分计算公式：</w:t>
            </w:r>
          </w:p>
          <w:p w14:paraId="1AF6EBF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价格分=（评标基准价／评标报价）×10分。</w:t>
            </w:r>
          </w:p>
          <w:p w14:paraId="1CC580C1">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（8）异常低价说明。</w:t>
            </w:r>
          </w:p>
          <w:p w14:paraId="7BD3C81C">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1）根据《关于推动解决政府采购异常低价问题的通知》财库〔2026〕2号要求，政府采购评审中出现下列情形之一的，磋商小组应当启动异常低价响应审查程序：</w:t>
            </w:r>
          </w:p>
          <w:p w14:paraId="42EEB71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①响应报价低于全部通过符合性审查供应商响应报价平均值50%的，即响应报价&lt;全部通过符合性审查供应商响应报价平均值×50%；</w:t>
            </w:r>
          </w:p>
          <w:p w14:paraId="594563B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②响应报价低于通过符合性审查的次低报价供应商响应报价50%的，即响应报价&lt;通过符合性审查的次低报价供应商投标（响应）报价×50%；</w:t>
            </w:r>
          </w:p>
          <w:p w14:paraId="2693191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③响应报价低于采购项目最高限价45%的，即响应报价&lt;采购项目最高限价×45%；</w:t>
            </w:r>
          </w:p>
          <w:p w14:paraId="62ECB98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④磋商小组基于专业判断，认为供应商报价过低，有可能影响产品质量或者不能诚信履约的其他情形。</w:t>
            </w:r>
          </w:p>
          <w:p w14:paraId="637A0DB4">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60C861AF">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7F17527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42CDE391">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5）异常低价投标（响应）审查的启动原因、审查意见和审查结果应当在评审报告中记录，并随供应商提供的相关书面说明及证明材料，以及磋商小组有关互联网浏览、查询历史一并归档。</w:t>
            </w:r>
          </w:p>
        </w:tc>
      </w:tr>
      <w:tr w14:paraId="6ECAD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8516" w:type="dxa"/>
            <w:gridSpan w:val="3"/>
            <w:noWrap w:val="0"/>
            <w:vAlign w:val="center"/>
          </w:tcPr>
          <w:p w14:paraId="0F9FC50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技术分（满分55分）</w:t>
            </w:r>
          </w:p>
        </w:tc>
      </w:tr>
      <w:tr w14:paraId="05643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8" w:type="dxa"/>
            <w:noWrap w:val="0"/>
            <w:vAlign w:val="center"/>
          </w:tcPr>
          <w:p w14:paraId="0745583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项目实施方案</w:t>
            </w:r>
          </w:p>
        </w:tc>
        <w:tc>
          <w:tcPr>
            <w:tcW w:w="918" w:type="dxa"/>
            <w:noWrap w:val="0"/>
            <w:vAlign w:val="center"/>
          </w:tcPr>
          <w:p w14:paraId="34F308D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35分</w:t>
            </w:r>
          </w:p>
        </w:tc>
        <w:tc>
          <w:tcPr>
            <w:tcW w:w="6630" w:type="dxa"/>
            <w:noWrap w:val="0"/>
            <w:vAlign w:val="center"/>
          </w:tcPr>
          <w:p w14:paraId="5C908CC1">
            <w:pPr>
              <w:pStyle w:val="14"/>
              <w:keepNext w:val="0"/>
              <w:keepLines w:val="0"/>
              <w:pageBreakBefore w:val="0"/>
              <w:widowControl/>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由评委根据</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文件的需求和</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文件响应情况进行比较，就</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对项目</w:t>
            </w:r>
            <w:r>
              <w:rPr>
                <w:rFonts w:hint="eastAsia" w:ascii="宋体" w:hAnsi="宋体" w:eastAsia="宋体" w:cs="宋体"/>
                <w:color w:val="auto"/>
                <w:sz w:val="21"/>
                <w:szCs w:val="21"/>
                <w:highlight w:val="none"/>
                <w:lang w:val="en-US" w:eastAsia="zh-CN"/>
              </w:rPr>
              <w:t>实施</w:t>
            </w:r>
            <w:r>
              <w:rPr>
                <w:rFonts w:hint="eastAsia" w:ascii="宋体" w:hAnsi="宋体" w:eastAsia="宋体" w:cs="宋体"/>
                <w:color w:val="auto"/>
                <w:sz w:val="21"/>
                <w:szCs w:val="21"/>
                <w:highlight w:val="none"/>
              </w:rPr>
              <w:t>方案的专业性、科学性和可操作性，并在相应档次内独立打分。</w:t>
            </w:r>
            <w:r>
              <w:rPr>
                <w:rFonts w:hint="eastAsia" w:ascii="宋体" w:hAnsi="宋体" w:eastAsia="宋体" w:cs="宋体"/>
                <w:color w:val="auto"/>
                <w:sz w:val="21"/>
                <w:szCs w:val="21"/>
                <w:highlight w:val="none"/>
                <w:lang w:val="en-US" w:eastAsia="zh-CN"/>
              </w:rPr>
              <w:t>供应商未提供项目实施方案，或实施方案达不到一档要求的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不得分。</w:t>
            </w:r>
          </w:p>
          <w:p w14:paraId="2BBAB31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一档（10分）：基本能达到采购文件要求，实施方案基本合理，但实施内容简单，对项目需求及工作内容理解较低，实施方案措施简单。</w:t>
            </w:r>
          </w:p>
          <w:p w14:paraId="59FFD8E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20分）：基本满足采购文件要求，实施方案较合理，有一定思路脉络、有方案介绍，对项目需求及工作内容理解程度一般，对项目所在地实际情况熟悉程度一般，项目介绍基本清楚，分析较透彻、合理，但重点难点分析不够突出、对项目理解不够深刻。</w:t>
            </w:r>
          </w:p>
          <w:p w14:paraId="70CBF5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30分）：满足采购文件要求，实施方案合理，内容完整，思路脉络基本清晰，对本项目需求及工作内容理解较好，对项目所在地实际情况较熟悉，对项目总体情况介绍较为清楚，重点难点分析比较突出、对项目理解比较深刻。</w:t>
            </w:r>
          </w:p>
          <w:p w14:paraId="1D6894C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档（35分）：满足三档要求且实施方案完整详细，对本项目需求及工作内容理解十分到位，项目总体情况介绍清楚，熟知国家及自治区党委、政府关于美丽中国、美丽广西建设的总体部署和相关要求，熟悉项目所在地社会经济、生态环境等实际情况；工作方法规范、具体，技术路线清晰，提供的实施方案完全满足采购需求。</w:t>
            </w:r>
          </w:p>
        </w:tc>
      </w:tr>
      <w:tr w14:paraId="6FCF2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8" w:type="dxa"/>
            <w:noWrap w:val="0"/>
            <w:vAlign w:val="center"/>
          </w:tcPr>
          <w:p w14:paraId="3A7F1DE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质量控制方案</w:t>
            </w:r>
          </w:p>
        </w:tc>
        <w:tc>
          <w:tcPr>
            <w:tcW w:w="918" w:type="dxa"/>
            <w:noWrap w:val="0"/>
            <w:vAlign w:val="center"/>
          </w:tcPr>
          <w:p w14:paraId="12316CC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15分</w:t>
            </w:r>
          </w:p>
        </w:tc>
        <w:tc>
          <w:tcPr>
            <w:tcW w:w="6630" w:type="dxa"/>
            <w:noWrap w:val="0"/>
            <w:vAlign w:val="center"/>
          </w:tcPr>
          <w:p w14:paraId="0FDA323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供应商未提供质量控制方案（含报告编制质量控制、进度保障等），或质量控制保障方案未达到一档要求的</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不得分。</w:t>
            </w:r>
          </w:p>
          <w:p w14:paraId="7E36EC8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一档（5分）：项目进度安排基本合理，服务质量控制措施及进度保障措施比较简单；方案中拟投入人员结构、任务分配等基本得当，基本满足项目需求。</w:t>
            </w:r>
          </w:p>
          <w:p w14:paraId="695857F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二档（10分）：项目进度安排合理，有具体服务质量控制措施及进度保障措施且措施得当；方案中拟投入人员结构、设备配置、任务分配、实施计划等较合理，总体上合理、可行，能较好地满足项目需求。</w:t>
            </w:r>
          </w:p>
          <w:p w14:paraId="6ADCEE8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档（15分）：项目服务质量控制、进度保障措施详细、全面、具体、可行且完全满足项目需求。拟投入人员及设备配备充足，任务分配及实施计划合理，具有良好的组织构架、管理措施及组织保障计划，保障措施针对性强，可操作性强，能完全满足项目需求。</w:t>
            </w:r>
          </w:p>
        </w:tc>
      </w:tr>
      <w:tr w14:paraId="19BFA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1" w:hRule="atLeast"/>
          <w:jc w:val="center"/>
        </w:trPr>
        <w:tc>
          <w:tcPr>
            <w:tcW w:w="968" w:type="dxa"/>
            <w:noWrap w:val="0"/>
            <w:vAlign w:val="center"/>
          </w:tcPr>
          <w:p w14:paraId="464DBF3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项目预期成果响应程度</w:t>
            </w:r>
          </w:p>
        </w:tc>
        <w:tc>
          <w:tcPr>
            <w:tcW w:w="918" w:type="dxa"/>
            <w:noWrap w:val="0"/>
            <w:vAlign w:val="center"/>
          </w:tcPr>
          <w:p w14:paraId="4C52475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c>
          <w:tcPr>
            <w:tcW w:w="6630" w:type="dxa"/>
            <w:noWrap w:val="0"/>
            <w:vAlign w:val="center"/>
          </w:tcPr>
          <w:p w14:paraId="0CD3C7E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供应商未提供项目预期成果，或预期成果未达到一档要求的</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不得分。</w:t>
            </w:r>
          </w:p>
          <w:p w14:paraId="2048948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一档（2分）：方案提出的预期成果基本符合采购文件要求，得2分；</w:t>
            </w:r>
          </w:p>
          <w:p w14:paraId="3D9BC64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二档（3分）：基本掌握项目研究目的，方案提出的预期成果较好地符合采购文件要求，得3分；</w:t>
            </w:r>
          </w:p>
          <w:p w14:paraId="6670226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三档（5分）：工作分析、理解较为透彻、熟悉掌握项目服务目的，方案提出的预期成果内容丰富，完全满足采购文件要求，得5分。</w:t>
            </w:r>
          </w:p>
        </w:tc>
      </w:tr>
      <w:tr w14:paraId="379A8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8516" w:type="dxa"/>
            <w:gridSpan w:val="3"/>
            <w:noWrap w:val="0"/>
            <w:vAlign w:val="center"/>
          </w:tcPr>
          <w:p w14:paraId="2578855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（三）商务分（满分35分）</w:t>
            </w:r>
          </w:p>
        </w:tc>
      </w:tr>
      <w:tr w14:paraId="3BB8B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8" w:type="dxa"/>
            <w:noWrap w:val="0"/>
            <w:vAlign w:val="center"/>
          </w:tcPr>
          <w:p w14:paraId="0B5B654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bookmarkStart w:id="209" w:name="_Toc9520"/>
            <w:r>
              <w:rPr>
                <w:rFonts w:hint="eastAsia" w:ascii="宋体" w:hAnsi="宋体" w:eastAsia="宋体" w:cs="宋体"/>
                <w:color w:val="auto"/>
                <w:sz w:val="21"/>
                <w:szCs w:val="21"/>
                <w:highlight w:val="none"/>
                <w:lang w:val="en-US" w:eastAsia="zh-CN"/>
              </w:rPr>
              <w:t>业绩分</w:t>
            </w:r>
          </w:p>
        </w:tc>
        <w:tc>
          <w:tcPr>
            <w:tcW w:w="918" w:type="dxa"/>
            <w:noWrap w:val="0"/>
            <w:vAlign w:val="center"/>
          </w:tcPr>
          <w:p w14:paraId="7DD0BE0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13分</w:t>
            </w:r>
          </w:p>
        </w:tc>
        <w:tc>
          <w:tcPr>
            <w:tcW w:w="6630" w:type="dxa"/>
            <w:noWrap w:val="0"/>
            <w:vAlign w:val="center"/>
          </w:tcPr>
          <w:p w14:paraId="034F500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供应商自</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年1月1日（含）以来每承担过1个类似项目（类似项目是指：</w:t>
            </w:r>
            <w:r>
              <w:rPr>
                <w:rFonts w:hint="eastAsia" w:ascii="宋体" w:hAnsi="宋体" w:eastAsia="宋体" w:cs="宋体"/>
                <w:color w:val="auto"/>
                <w:kern w:val="2"/>
                <w:sz w:val="21"/>
                <w:szCs w:val="21"/>
                <w:highlight w:val="none"/>
                <w:lang w:val="en-US" w:eastAsia="zh-CN" w:bidi="ar-SA"/>
              </w:rPr>
              <w:t>美丽系列〔含美丽省域、美丽城市、美丽河湖等〕规划/方案/评估、生态环境保护相关规划/方案/评估、考核评估等项目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，每一个业绩得1分，</w:t>
            </w:r>
            <w:r>
              <w:rPr>
                <w:rFonts w:hint="eastAsia" w:ascii="宋体" w:hAnsi="宋体" w:cs="宋体"/>
                <w:color w:val="auto"/>
                <w:kern w:val="2"/>
                <w:sz w:val="21"/>
                <w:szCs w:val="21"/>
                <w:highlight w:val="none"/>
                <w:lang w:val="en-US" w:eastAsia="zh-CN" w:bidi="ar-SA"/>
              </w:rPr>
              <w:t>本项满分</w:t>
            </w:r>
            <w:r>
              <w:rPr>
                <w:rFonts w:hint="eastAsia" w:ascii="宋体" w:hAnsi="宋体" w:eastAsia="宋体" w:cs="宋体"/>
                <w:color w:val="auto"/>
                <w:kern w:val="2"/>
                <w:sz w:val="21"/>
                <w:szCs w:val="21"/>
                <w:highlight w:val="none"/>
                <w:lang w:val="en-US" w:eastAsia="zh-CN" w:bidi="ar-SA"/>
              </w:rPr>
              <w:t>13分。</w:t>
            </w:r>
          </w:p>
          <w:p w14:paraId="7F9056F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w:t>
            </w:r>
            <w:r>
              <w:rPr>
                <w:rFonts w:hint="eastAsia" w:ascii="宋体" w:hAnsi="宋体" w:eastAsia="宋体" w:cs="宋体"/>
                <w:bCs/>
                <w:color w:val="auto"/>
                <w:kern w:val="2"/>
                <w:sz w:val="21"/>
                <w:szCs w:val="21"/>
                <w:highlight w:val="none"/>
                <w:lang w:val="en-US" w:eastAsia="zh-CN" w:bidi="ar-SA"/>
              </w:rPr>
              <w:t>竞标时</w:t>
            </w:r>
            <w:r>
              <w:rPr>
                <w:rFonts w:hint="eastAsia" w:ascii="宋体" w:hAnsi="宋体" w:eastAsia="宋体" w:cs="宋体"/>
                <w:color w:val="auto"/>
                <w:kern w:val="2"/>
                <w:sz w:val="21"/>
                <w:szCs w:val="21"/>
                <w:highlight w:val="none"/>
                <w:lang w:val="en-US" w:eastAsia="zh-CN" w:bidi="ar-SA"/>
              </w:rPr>
              <w:t>须提供合同相关复印件〔包括封面页、服务内容页、双方签字盖章页〕或协议书或中标（成交）通知书复印件并加盖供应商公章，否则不予计分。</w:t>
            </w:r>
          </w:p>
        </w:tc>
      </w:tr>
      <w:tr w14:paraId="42113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5" w:hRule="atLeast"/>
          <w:jc w:val="center"/>
        </w:trPr>
        <w:tc>
          <w:tcPr>
            <w:tcW w:w="968" w:type="dxa"/>
            <w:noWrap w:val="0"/>
            <w:vAlign w:val="center"/>
          </w:tcPr>
          <w:p w14:paraId="24F882A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综合实力分</w:t>
            </w:r>
          </w:p>
        </w:tc>
        <w:tc>
          <w:tcPr>
            <w:tcW w:w="918" w:type="dxa"/>
            <w:noWrap w:val="0"/>
            <w:vAlign w:val="center"/>
          </w:tcPr>
          <w:p w14:paraId="5CBE4D6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14分</w:t>
            </w:r>
          </w:p>
        </w:tc>
        <w:tc>
          <w:tcPr>
            <w:tcW w:w="6630" w:type="dxa"/>
            <w:noWrap w:val="0"/>
            <w:vAlign w:val="center"/>
          </w:tcPr>
          <w:p w14:paraId="78CBEFB8">
            <w:pPr>
              <w:keepNext w:val="0"/>
              <w:keepLines w:val="0"/>
              <w:pageBreakBefore w:val="0"/>
              <w:kinsoku/>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2"/>
                <w:sz w:val="21"/>
                <w:szCs w:val="21"/>
                <w:highlight w:val="none"/>
                <w:lang w:val="en-US" w:eastAsia="zh-CN" w:bidi="ar-SA"/>
              </w:rPr>
              <w:t>2020年1月1日以至投标截止时间内</w:t>
            </w:r>
            <w:r>
              <w:rPr>
                <w:rFonts w:hint="eastAsia" w:ascii="宋体" w:hAnsi="宋体" w:eastAsia="宋体" w:cs="宋体"/>
                <w:color w:val="auto"/>
                <w:sz w:val="21"/>
                <w:szCs w:val="21"/>
                <w:highlight w:val="none"/>
                <w:lang w:val="en-US" w:eastAsia="zh-CN"/>
              </w:rPr>
              <w:t>供应商或其团队成员获得过环境保护相关领域的科研类奖项（即：科学技术奖、社会科学奖），每个得1分</w:t>
            </w:r>
            <w:r>
              <w:rPr>
                <w:rFonts w:hint="eastAsia" w:ascii="宋体" w:hAnsi="宋体" w:eastAsia="宋体" w:cs="宋体"/>
                <w:bCs w:val="0"/>
                <w:color w:val="auto"/>
                <w:sz w:val="21"/>
                <w:szCs w:val="21"/>
                <w:highlight w:val="none"/>
              </w:rPr>
              <w:t>，</w:t>
            </w:r>
            <w:r>
              <w:rPr>
                <w:rFonts w:hint="eastAsia" w:ascii="宋体" w:hAnsi="宋体" w:eastAsia="宋体" w:cs="宋体"/>
                <w:color w:val="auto"/>
                <w:sz w:val="21"/>
                <w:szCs w:val="21"/>
                <w:highlight w:val="none"/>
                <w:lang w:val="en-US" w:eastAsia="zh-CN"/>
              </w:rPr>
              <w:t>本项满分10分。</w:t>
            </w:r>
          </w:p>
          <w:p w14:paraId="2B2E13F5">
            <w:pPr>
              <w:keepNext w:val="0"/>
              <w:keepLines w:val="0"/>
              <w:pageBreakBefore w:val="0"/>
              <w:kinsoku/>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bCs/>
                <w:color w:val="auto"/>
                <w:kern w:val="2"/>
                <w:sz w:val="21"/>
                <w:szCs w:val="21"/>
                <w:highlight w:val="none"/>
                <w:lang w:val="en-US" w:eastAsia="zh-CN" w:bidi="ar-SA"/>
              </w:rPr>
              <w:t>竞标时</w:t>
            </w:r>
            <w:r>
              <w:rPr>
                <w:rFonts w:hint="eastAsia" w:ascii="宋体" w:hAnsi="宋体" w:eastAsia="宋体" w:cs="宋体"/>
                <w:color w:val="auto"/>
                <w:sz w:val="21"/>
                <w:szCs w:val="21"/>
                <w:highlight w:val="none"/>
                <w:lang w:val="en-US" w:eastAsia="zh-CN"/>
              </w:rPr>
              <w:t>须提供获奖证书或其他可证明获得过相关荣誉的证明材料复印件，并加盖供应商公章，同一奖项不重复计分，否则不予计分。</w:t>
            </w:r>
          </w:p>
          <w:p w14:paraId="2D42E7BF">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供应商具有有效</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ISO14001环境管理体系认证证书，得2分，本项满分2分。</w:t>
            </w:r>
          </w:p>
          <w:p w14:paraId="7F23D7D6">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注：竞标时须提供有效证书复印件，及全国认证认可信息公共服务平台（http://cx.cnca.cn/CertECloud/index/index/page）中证书编号、状态及有效期等信息的截图，</w:t>
            </w:r>
            <w:r>
              <w:rPr>
                <w:rFonts w:hint="eastAsia" w:ascii="宋体" w:hAnsi="宋体" w:eastAsia="宋体" w:cs="宋体"/>
                <w:color w:val="auto"/>
                <w:sz w:val="21"/>
                <w:szCs w:val="21"/>
                <w:highlight w:val="none"/>
                <w:lang w:val="en-US" w:eastAsia="zh-CN"/>
              </w:rPr>
              <w:t>并加盖供应商公章，</w:t>
            </w:r>
            <w:r>
              <w:rPr>
                <w:rFonts w:hint="eastAsia" w:ascii="宋体" w:hAnsi="宋体" w:eastAsia="宋体" w:cs="宋体"/>
                <w:bCs/>
                <w:color w:val="auto"/>
                <w:kern w:val="2"/>
                <w:sz w:val="21"/>
                <w:szCs w:val="21"/>
                <w:highlight w:val="none"/>
                <w:lang w:val="en-US" w:eastAsia="zh-CN" w:bidi="ar-SA"/>
              </w:rPr>
              <w:t>否则不得分。</w:t>
            </w:r>
          </w:p>
          <w:p w14:paraId="435E096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供应商具有有效的ISO9001质量管理体系认证证书，且认证范围包括环境政策、环境规划和评估等相关内容的，得2分，本项满分2分。</w:t>
            </w:r>
          </w:p>
          <w:p w14:paraId="1151DA6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注：竞标时须提供有效证书复印件，及全国认证认可信息公共服务平台（http://cx.cnca.cn/CertECloud/index/index/page）中证书编号、状态及有效期等信息的截图，</w:t>
            </w:r>
            <w:r>
              <w:rPr>
                <w:rFonts w:hint="eastAsia" w:ascii="宋体" w:hAnsi="宋体" w:eastAsia="宋体" w:cs="宋体"/>
                <w:color w:val="auto"/>
                <w:sz w:val="21"/>
                <w:szCs w:val="21"/>
                <w:highlight w:val="none"/>
                <w:lang w:val="en-US" w:eastAsia="zh-CN"/>
              </w:rPr>
              <w:t>并加盖供应商公章，</w:t>
            </w:r>
            <w:r>
              <w:rPr>
                <w:rFonts w:hint="eastAsia" w:ascii="宋体" w:hAnsi="宋体" w:eastAsia="宋体" w:cs="宋体"/>
                <w:bCs/>
                <w:color w:val="auto"/>
                <w:kern w:val="2"/>
                <w:sz w:val="21"/>
                <w:szCs w:val="21"/>
                <w:highlight w:val="none"/>
                <w:lang w:val="en-US" w:eastAsia="zh-CN" w:bidi="ar-SA"/>
              </w:rPr>
              <w:t>否则不得分。</w:t>
            </w:r>
          </w:p>
        </w:tc>
      </w:tr>
      <w:tr w14:paraId="57C8D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jc w:val="center"/>
        </w:trPr>
        <w:tc>
          <w:tcPr>
            <w:tcW w:w="968" w:type="dxa"/>
            <w:noWrap w:val="0"/>
            <w:vAlign w:val="center"/>
          </w:tcPr>
          <w:p w14:paraId="3C595E3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拟投入项目人员</w:t>
            </w:r>
          </w:p>
        </w:tc>
        <w:tc>
          <w:tcPr>
            <w:tcW w:w="918" w:type="dxa"/>
            <w:noWrap w:val="0"/>
            <w:vAlign w:val="center"/>
          </w:tcPr>
          <w:p w14:paraId="72B4E5B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8分</w:t>
            </w:r>
          </w:p>
        </w:tc>
        <w:tc>
          <w:tcPr>
            <w:tcW w:w="6630" w:type="dxa"/>
            <w:noWrap w:val="0"/>
            <w:vAlign w:val="center"/>
          </w:tcPr>
          <w:p w14:paraId="159D784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1.拟投入项目负责人具备</w:t>
            </w:r>
            <w:r>
              <w:rPr>
                <w:rFonts w:hint="eastAsia" w:ascii="宋体" w:hAnsi="宋体" w:eastAsia="宋体" w:cs="宋体"/>
                <w:color w:val="auto"/>
                <w:kern w:val="2"/>
                <w:sz w:val="21"/>
                <w:szCs w:val="21"/>
                <w:highlight w:val="none"/>
                <w:lang w:val="en-US" w:eastAsia="zh-CN" w:bidi="ar-SA"/>
              </w:rPr>
              <w:t>正高级工程师职称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生态环境保护类相关专业</w:t>
            </w:r>
            <w:r>
              <w:rPr>
                <w:rFonts w:hint="eastAsia" w:ascii="宋体" w:hAnsi="宋体" w:eastAsia="宋体" w:cs="宋体"/>
                <w:color w:val="auto"/>
                <w:sz w:val="21"/>
                <w:szCs w:val="21"/>
                <w:highlight w:val="none"/>
                <w:lang w:val="en-US" w:eastAsia="zh-CN"/>
              </w:rPr>
              <w:t>），得2分，具备副高级</w:t>
            </w:r>
            <w:r>
              <w:rPr>
                <w:rFonts w:hint="eastAsia" w:ascii="宋体" w:hAnsi="宋体" w:eastAsia="宋体" w:cs="宋体"/>
                <w:color w:val="auto"/>
                <w:kern w:val="2"/>
                <w:sz w:val="21"/>
                <w:szCs w:val="21"/>
                <w:highlight w:val="none"/>
                <w:lang w:val="en-US" w:eastAsia="zh-CN" w:bidi="ar-SA"/>
              </w:rPr>
              <w:t>工程师职称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生态环境保护类相关专业</w:t>
            </w:r>
            <w:r>
              <w:rPr>
                <w:rFonts w:hint="eastAsia" w:ascii="宋体" w:hAnsi="宋体" w:eastAsia="宋体" w:cs="宋体"/>
                <w:color w:val="auto"/>
                <w:sz w:val="21"/>
                <w:szCs w:val="21"/>
                <w:highlight w:val="none"/>
                <w:lang w:val="en-US" w:eastAsia="zh-CN"/>
              </w:rPr>
              <w:t>），得1分；本项满分2分。</w:t>
            </w:r>
          </w:p>
          <w:p w14:paraId="334C313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2.在满足采购需求的基础上，拟投入本项目的技术人员（不含项目负责人）中，每增加1人且具备</w:t>
            </w:r>
            <w:r>
              <w:rPr>
                <w:rFonts w:hint="eastAsia" w:ascii="宋体" w:hAnsi="宋体" w:eastAsia="宋体" w:cs="宋体"/>
                <w:color w:val="auto"/>
                <w:kern w:val="2"/>
                <w:sz w:val="21"/>
                <w:szCs w:val="21"/>
                <w:highlight w:val="none"/>
                <w:lang w:val="en-US" w:eastAsia="zh-CN" w:bidi="ar-SA"/>
              </w:rPr>
              <w:t>生态环保类</w:t>
            </w:r>
            <w:r>
              <w:rPr>
                <w:rFonts w:hint="eastAsia" w:ascii="宋体" w:hAnsi="宋体" w:eastAsia="宋体" w:cs="宋体"/>
                <w:color w:val="auto"/>
                <w:sz w:val="21"/>
                <w:szCs w:val="21"/>
                <w:highlight w:val="none"/>
                <w:lang w:val="en-US" w:eastAsia="zh-CN"/>
              </w:rPr>
              <w:t>正高级/教授级职称的加1分，</w:t>
            </w:r>
            <w:r>
              <w:rPr>
                <w:rFonts w:hint="eastAsia" w:ascii="宋体" w:hAnsi="宋体" w:eastAsia="宋体" w:cs="宋体"/>
                <w:color w:val="auto"/>
                <w:kern w:val="2"/>
                <w:sz w:val="21"/>
                <w:szCs w:val="21"/>
                <w:highlight w:val="none"/>
                <w:lang w:val="en-US" w:eastAsia="zh-CN" w:bidi="ar-SA"/>
              </w:rPr>
              <w:t>每增加1人且具有生态环保类高级工程师职称的加0.5分；本项满分6分</w:t>
            </w:r>
            <w:r>
              <w:rPr>
                <w:rFonts w:hint="eastAsia" w:ascii="宋体" w:hAnsi="宋体" w:eastAsia="宋体" w:cs="宋体"/>
                <w:color w:val="auto"/>
                <w:sz w:val="21"/>
                <w:szCs w:val="21"/>
                <w:highlight w:val="none"/>
                <w:lang w:val="en-US" w:eastAsia="zh-CN"/>
              </w:rPr>
              <w:t>。</w:t>
            </w:r>
          </w:p>
          <w:p w14:paraId="7504D5D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注：拟投入本项目的以上人员均是供应商在职在岗正式员工，同一人仅计算一次得分。响应文件需提供人员职称证书证明材料复印件、项目实施人员</w:t>
            </w:r>
            <w:r>
              <w:rPr>
                <w:rFonts w:hint="eastAsia" w:ascii="宋体" w:hAnsi="宋体" w:eastAsia="宋体" w:cs="宋体"/>
                <w:color w:val="auto"/>
                <w:kern w:val="0"/>
                <w:sz w:val="21"/>
                <w:szCs w:val="21"/>
                <w:highlight w:val="none"/>
                <w:lang w:val="en-US" w:eastAsia="zh-CN" w:bidi="ar"/>
              </w:rPr>
              <w:t>劳动合同复印件（</w:t>
            </w:r>
            <w:r>
              <w:rPr>
                <w:rFonts w:hint="eastAsia" w:ascii="宋体" w:hAnsi="宋体" w:cs="宋体"/>
                <w:color w:val="auto"/>
                <w:kern w:val="0"/>
                <w:sz w:val="21"/>
                <w:szCs w:val="21"/>
                <w:highlight w:val="none"/>
                <w:lang w:val="en-US" w:eastAsia="zh-CN" w:bidi="ar"/>
              </w:rPr>
              <w:t>提供</w:t>
            </w:r>
            <w:r>
              <w:rPr>
                <w:rFonts w:hint="eastAsia" w:ascii="宋体" w:hAnsi="宋体" w:eastAsia="宋体" w:cs="宋体"/>
                <w:color w:val="auto"/>
                <w:kern w:val="0"/>
                <w:sz w:val="21"/>
                <w:szCs w:val="21"/>
                <w:highlight w:val="none"/>
                <w:lang w:val="en-US" w:eastAsia="zh-CN" w:bidi="ar"/>
              </w:rPr>
              <w:t>人名页和盖章落款页</w:t>
            </w:r>
            <w:r>
              <w:rPr>
                <w:rFonts w:hint="eastAsia" w:ascii="宋体" w:hAnsi="宋体" w:cs="宋体"/>
                <w:color w:val="auto"/>
                <w:kern w:val="0"/>
                <w:sz w:val="21"/>
                <w:szCs w:val="21"/>
                <w:highlight w:val="none"/>
                <w:lang w:val="en-US" w:eastAsia="zh-CN" w:bidi="ar"/>
              </w:rPr>
              <w:t>即可</w:t>
            </w:r>
            <w:r>
              <w:rPr>
                <w:rFonts w:hint="eastAsia" w:ascii="宋体" w:hAnsi="宋体" w:eastAsia="宋体" w:cs="宋体"/>
                <w:color w:val="auto"/>
                <w:kern w:val="0"/>
                <w:sz w:val="21"/>
                <w:szCs w:val="21"/>
                <w:highlight w:val="none"/>
                <w:lang w:val="en-US" w:eastAsia="zh-CN" w:bidi="ar"/>
              </w:rPr>
              <w:t>）或事业单位机构编制证书复印件</w:t>
            </w:r>
            <w:r>
              <w:rPr>
                <w:rFonts w:hint="eastAsia" w:ascii="宋体" w:hAnsi="宋体" w:eastAsia="宋体" w:cs="宋体"/>
                <w:color w:val="auto"/>
                <w:sz w:val="21"/>
                <w:szCs w:val="21"/>
                <w:highlight w:val="none"/>
                <w:lang w:val="en-US" w:eastAsia="zh-CN"/>
              </w:rPr>
              <w:t>等材料，否则不计分。</w:t>
            </w:r>
          </w:p>
        </w:tc>
      </w:tr>
      <w:tr w14:paraId="1660F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8516" w:type="dxa"/>
            <w:gridSpan w:val="3"/>
            <w:noWrap w:val="0"/>
            <w:vAlign w:val="center"/>
          </w:tcPr>
          <w:p w14:paraId="05BF9D74">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总得分=</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color w:val="auto"/>
                <w:sz w:val="21"/>
                <w:szCs w:val="21"/>
                <w:highlight w:val="none"/>
                <w:lang w:val="en-US" w:eastAsia="zh-CN"/>
              </w:rPr>
              <w:t>+</w:t>
            </w:r>
            <w:bookmarkEnd w:id="209"/>
            <w:r>
              <w:rPr>
                <w:rFonts w:hint="eastAsia" w:ascii="宋体" w:hAnsi="宋体" w:eastAsia="宋体" w:cs="宋体"/>
                <w:b/>
                <w:bCs/>
                <w:color w:val="auto"/>
                <w:sz w:val="21"/>
                <w:szCs w:val="21"/>
                <w:highlight w:val="none"/>
                <w:lang w:val="en-US" w:eastAsia="zh-CN"/>
              </w:rPr>
              <w:t>（三）</w:t>
            </w:r>
          </w:p>
        </w:tc>
      </w:tr>
    </w:tbl>
    <w:p w14:paraId="149ED0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kern w:val="2"/>
          <w:sz w:val="21"/>
          <w:szCs w:val="21"/>
          <w:highlight w:val="none"/>
          <w:lang w:val="en-US" w:eastAsia="zh-CN" w:bidi="ar-SA"/>
        </w:rPr>
        <w:t>（三）</w:t>
      </w:r>
      <w:r>
        <w:rPr>
          <w:rFonts w:hint="eastAsia" w:ascii="宋体" w:hAnsi="宋体" w:eastAsia="宋体" w:cs="宋体"/>
          <w:b w:val="0"/>
          <w:bCs/>
          <w:color w:val="auto"/>
          <w:szCs w:val="21"/>
          <w:highlight w:val="none"/>
        </w:rPr>
        <w:t>总得分＝</w:t>
      </w:r>
      <w:r>
        <w:rPr>
          <w:rFonts w:hint="eastAsia" w:ascii="宋体" w:hAnsi="宋体" w:eastAsia="宋体" w:cs="宋体"/>
          <w:b w:val="0"/>
          <w:bCs/>
          <w:color w:val="auto"/>
          <w:szCs w:val="21"/>
          <w:highlight w:val="none"/>
          <w:lang w:eastAsia="zh-CN"/>
        </w:rPr>
        <w:t>价格分</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技术分</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商务分</w:t>
      </w:r>
    </w:p>
    <w:p w14:paraId="7BAF28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（四）</w:t>
      </w:r>
      <w:r>
        <w:rPr>
          <w:rFonts w:hint="eastAsia" w:ascii="宋体" w:hAnsi="宋体" w:eastAsia="宋体" w:cs="宋体"/>
          <w:b w:val="0"/>
          <w:bCs/>
          <w:color w:val="auto"/>
          <w:szCs w:val="21"/>
          <w:highlight w:val="none"/>
          <w:lang w:eastAsia="zh-CN"/>
        </w:rPr>
        <w:t>成交</w:t>
      </w:r>
      <w:r>
        <w:rPr>
          <w:rFonts w:hint="eastAsia" w:ascii="宋体" w:hAnsi="宋体" w:eastAsia="宋体" w:cs="宋体"/>
          <w:b w:val="0"/>
          <w:bCs/>
          <w:color w:val="auto"/>
          <w:szCs w:val="21"/>
          <w:highlight w:val="none"/>
        </w:rPr>
        <w:t>标准：</w:t>
      </w:r>
      <w:r>
        <w:rPr>
          <w:rFonts w:hint="eastAsia" w:ascii="宋体" w:hAnsi="宋体" w:eastAsia="宋体" w:cs="宋体"/>
          <w:b w:val="0"/>
          <w:bCs/>
          <w:color w:val="auto"/>
          <w:highlight w:val="none"/>
          <w:lang w:val="en-US" w:eastAsia="zh-CN"/>
        </w:rPr>
        <w:t>由</w:t>
      </w:r>
      <w:r>
        <w:rPr>
          <w:rFonts w:hint="eastAsia" w:ascii="宋体" w:hAnsi="宋体" w:eastAsia="宋体" w:cs="宋体"/>
          <w:color w:val="auto"/>
          <w:highlight w:val="none"/>
          <w:lang w:val="en-US" w:eastAsia="zh-CN"/>
        </w:rPr>
        <w:t>磋商小组根据综合评分情况，按照评审得分由高到低顺序推荐 3 名成交候选供应商, 并编写评审报告。评审得分相同的，按照最后报价由低到高的顺序推荐。评审得分且最后报价相同的，按照技术指标优劣顺序推荐（按技术得分由高到低排序）。评审得分、最后报价、技术得分均相同的，由磋商小组随机抽取推荐。</w:t>
      </w:r>
      <w:bookmarkEnd w:id="200"/>
      <w:bookmarkEnd w:id="201"/>
      <w:bookmarkEnd w:id="202"/>
      <w:bookmarkEnd w:id="203"/>
      <w:bookmarkEnd w:id="204"/>
    </w:p>
    <w:p w14:paraId="38F22519">
      <w:pPr>
        <w:rPr>
          <w:rFonts w:hint="eastAsia"/>
          <w:color w:val="auto"/>
          <w:highlight w:val="none"/>
          <w:lang w:eastAsia="zh-CN"/>
        </w:rPr>
      </w:pPr>
    </w:p>
    <w:bookmarkEnd w:id="210"/>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29B3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490FF">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D490FF">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4D8A2B"/>
    <w:multiLevelType w:val="singleLevel"/>
    <w:tmpl w:val="E74D8A2B"/>
    <w:lvl w:ilvl="0" w:tentative="0">
      <w:start w:val="1"/>
      <w:numFmt w:val="decimal"/>
      <w:pStyle w:val="6"/>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42986"/>
    <w:rsid w:val="042D3CC7"/>
    <w:rsid w:val="06742986"/>
    <w:rsid w:val="098A3B07"/>
    <w:rsid w:val="0DA367FD"/>
    <w:rsid w:val="0F7D6433"/>
    <w:rsid w:val="1C485D0F"/>
    <w:rsid w:val="1CA078F9"/>
    <w:rsid w:val="1CE223A8"/>
    <w:rsid w:val="308F13B7"/>
    <w:rsid w:val="33B662DB"/>
    <w:rsid w:val="36F26C75"/>
    <w:rsid w:val="3B611670"/>
    <w:rsid w:val="3E66054B"/>
    <w:rsid w:val="40CE0D6A"/>
    <w:rsid w:val="411E022C"/>
    <w:rsid w:val="492A59E7"/>
    <w:rsid w:val="52D41ACF"/>
    <w:rsid w:val="5B973223"/>
    <w:rsid w:val="5C2D3FFE"/>
    <w:rsid w:val="69717C20"/>
    <w:rsid w:val="6AF44665"/>
    <w:rsid w:val="6DDD7632"/>
    <w:rsid w:val="6F8270F2"/>
    <w:rsid w:val="73280EF9"/>
    <w:rsid w:val="75E16426"/>
    <w:rsid w:val="7766514B"/>
    <w:rsid w:val="79FC6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kern w:val="0"/>
      <w:sz w:val="18"/>
      <w:szCs w:val="18"/>
    </w:r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Body Text First Indent 2"/>
    <w:basedOn w:val="11"/>
    <w:qFormat/>
    <w:uiPriority w:val="0"/>
    <w:pPr>
      <w:ind w:left="0" w:leftChars="0" w:firstLine="210"/>
    </w:p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5"/>
    <w:qFormat/>
    <w:uiPriority w:val="0"/>
    <w:rPr>
      <w:rFonts w:ascii="宋体" w:hAnsi="Courier New"/>
      <w:kern w:val="0"/>
      <w:sz w:val="20"/>
      <w:szCs w:val="21"/>
    </w:rPr>
  </w:style>
  <w:style w:type="paragraph" w:styleId="15">
    <w:name w:val="Body Text Indent 2"/>
    <w:basedOn w:val="1"/>
    <w:qFormat/>
    <w:uiPriority w:val="0"/>
    <w:pPr>
      <w:spacing w:after="120" w:line="480" w:lineRule="auto"/>
      <w:ind w:left="420" w:leftChars="200"/>
    </w:p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footnote text"/>
    <w:basedOn w:val="1"/>
    <w:next w:val="12"/>
    <w:qFormat/>
    <w:uiPriority w:val="0"/>
    <w:pPr>
      <w:widowControl/>
      <w:snapToGrid w:val="0"/>
      <w:jc w:val="left"/>
    </w:pPr>
    <w:rPr>
      <w:rFonts w:hint="eastAsia" w:ascii="Calibri" w:hAnsi="Calibri" w:eastAsia="宋体" w:cs="Times New Roman"/>
      <w:kern w:val="0"/>
      <w:sz w:val="18"/>
      <w:szCs w:val="18"/>
    </w:rPr>
  </w:style>
  <w:style w:type="paragraph" w:styleId="19">
    <w:name w:val="Body Text 2"/>
    <w:basedOn w:val="1"/>
    <w:next w:val="10"/>
    <w:unhideWhenUsed/>
    <w:qFormat/>
    <w:uiPriority w:val="0"/>
    <w:pPr>
      <w:spacing w:beforeLines="0" w:after="120" w:line="480" w:lineRule="auto"/>
    </w:pPr>
    <w:rPr>
      <w:rFonts w:hint="eastAsia" w:ascii="Times New Roman" w:hAnsi="Times New Roman" w:eastAsia="Times New Roman"/>
      <w:kern w:val="0"/>
      <w:sz w:val="20"/>
    </w:rPr>
  </w:style>
  <w:style w:type="paragraph" w:styleId="20">
    <w:name w:val="Title"/>
    <w:basedOn w:val="1"/>
    <w:next w:val="1"/>
    <w:qFormat/>
    <w:uiPriority w:val="10"/>
    <w:pPr>
      <w:ind w:firstLine="0" w:firstLineChars="0"/>
      <w:jc w:val="center"/>
      <w:outlineLvl w:val="0"/>
    </w:pPr>
    <w:rPr>
      <w:rFonts w:ascii="Cambria" w:hAnsi="Cambria" w:cs="Times New Roman"/>
      <w:b/>
      <w:bCs/>
      <w:sz w:val="44"/>
      <w:szCs w:val="32"/>
    </w:rPr>
  </w:style>
  <w:style w:type="paragraph" w:styleId="21">
    <w:name w:val="Body Text First Indent"/>
    <w:basedOn w:val="10"/>
    <w:qFormat/>
    <w:uiPriority w:val="99"/>
    <w:pPr>
      <w:ind w:firstLine="420" w:firstLineChars="100"/>
    </w:pPr>
    <w:rPr>
      <w:rFonts w:ascii="宋体"/>
      <w:sz w:val="34"/>
      <w:szCs w:val="22"/>
    </w:rPr>
  </w:style>
  <w:style w:type="table" w:styleId="23">
    <w:name w:val="Table Grid"/>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5">
    <w:name w:val="表格文字"/>
    <w:basedOn w:val="1"/>
    <w:qFormat/>
    <w:uiPriority w:val="0"/>
    <w:pPr>
      <w:widowControl/>
      <w:adjustRightInd w:val="0"/>
      <w:spacing w:afterLines="50" w:line="360" w:lineRule="auto"/>
      <w:ind w:firstLine="200" w:firstLineChars="200"/>
      <w:jc w:val="left"/>
      <w:textAlignment w:val="baseline"/>
    </w:pPr>
    <w:rPr>
      <w:rFonts w:ascii="Arial" w:hAnsi="Arial"/>
      <w:kern w:val="0"/>
      <w:sz w:val="24"/>
      <w:szCs w:val="20"/>
    </w:rPr>
  </w:style>
  <w:style w:type="character" w:customStyle="1" w:styleId="26">
    <w:name w:val="font01"/>
    <w:qFormat/>
    <w:uiPriority w:val="0"/>
    <w:rPr>
      <w:rFonts w:hint="eastAsia" w:ascii="仿宋" w:hAnsi="仿宋" w:eastAsia="仿宋"/>
      <w:b/>
      <w:bCs/>
      <w:color w:val="000000"/>
      <w:sz w:val="24"/>
      <w:szCs w:val="24"/>
      <w:u w:val="none"/>
    </w:rPr>
  </w:style>
  <w:style w:type="character" w:customStyle="1" w:styleId="27">
    <w:name w:val="NormalCharacter"/>
    <w:qFormat/>
    <w:uiPriority w:val="0"/>
  </w:style>
  <w:style w:type="paragraph" w:customStyle="1" w:styleId="28">
    <w:name w:val="Default"/>
    <w:basedOn w:val="1"/>
    <w:qFormat/>
    <w:uiPriority w:val="99"/>
    <w:pPr>
      <w:autoSpaceDE w:val="0"/>
      <w:autoSpaceDN w:val="0"/>
      <w:adjustRightInd w:val="0"/>
      <w:jc w:val="left"/>
    </w:pPr>
    <w:rPr>
      <w:rFonts w:ascii="仿宋_GB2312" w:hAnsi="仿宋_GB2312"/>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7744</Words>
  <Characters>8273</Characters>
  <Lines>0</Lines>
  <Paragraphs>0</Paragraphs>
  <TotalTime>12</TotalTime>
  <ScaleCrop>false</ScaleCrop>
  <LinksUpToDate>false</LinksUpToDate>
  <CharactersWithSpaces>8428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2026-03-19T12:01:00Z</dcterms:created>
  <dc:creator>朱茱</dc:creator>
  <cp:lastModifiedBy>'undefined'</cp:lastModifiedBy>
  <dcterms:modified xsi:type="dcterms:W3CDTF">2026-03-30T03:26:51Z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AABD9403B3EF46D88726F86B5B1D9F2B_11</vt:lpwstr>
  </property>
  <property fmtid="{D5CDD505-2E9C-101B-9397-08002B2CF9AE}" pid="4" name="KSOTemplateDocerSaveRecord">
    <vt:lpwstr>eyJoZGlkIjoiNTFjZTZkY2ZhNTRjZDQzYWUzY2ViMGRhMzBmOTI1ZmUiLCJ1c2VySWQiOiI4MTM1MjMwODEifQ==</vt:lpwstr>
  </property>
</Properties>
</file>