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附件4</w:t>
      </w:r>
    </w:p>
    <w:p>
      <w:pPr>
        <w:widowControl w:val="0"/>
        <w:tabs>
          <w:tab w:val="left" w:pos="0"/>
        </w:tabs>
        <w:spacing w:line="600" w:lineRule="exact"/>
        <w:jc w:val="center"/>
        <w:outlineLvl w:val="0"/>
        <w:rPr>
          <w:rFonts w:hint="eastAsia" w:ascii="Times New Roman" w:hAnsi="Times New Roman" w:eastAsia="方正小标宋_GBK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小标宋_GBK"/>
          <w:b/>
          <w:bCs/>
          <w:sz w:val="32"/>
          <w:szCs w:val="32"/>
        </w:rPr>
        <w:t>综合评分</w:t>
      </w:r>
      <w:r>
        <w:rPr>
          <w:rFonts w:hint="eastAsia" w:ascii="Times New Roman" w:hAnsi="Times New Roman" w:eastAsia="方正小标宋_GBK"/>
          <w:b/>
          <w:bCs/>
          <w:sz w:val="32"/>
          <w:szCs w:val="32"/>
          <w:lang w:val="en-US" w:eastAsia="zh-CN"/>
        </w:rPr>
        <w:t>细则</w:t>
      </w:r>
    </w:p>
    <w:p>
      <w:pPr>
        <w:spacing w:line="300" w:lineRule="auto"/>
        <w:ind w:firstLine="568" w:firstLineChars="202"/>
        <w:outlineLvl w:val="0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hint="eastAsia" w:ascii="Times New Roman" w:hAnsi="Times New Roman" w:eastAsiaTheme="minorEastAsia"/>
          <w:b/>
          <w:sz w:val="28"/>
          <w:szCs w:val="28"/>
        </w:rPr>
        <w:t>一、评审原则</w:t>
      </w:r>
    </w:p>
    <w:p>
      <w:pPr>
        <w:spacing w:line="300" w:lineRule="auto"/>
        <w:ind w:firstLine="565" w:firstLineChars="202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（一）评审小组构成：评审小组由技术评分人员和监督指导人员组成。</w:t>
      </w:r>
    </w:p>
    <w:p>
      <w:pPr>
        <w:spacing w:line="300" w:lineRule="auto"/>
        <w:ind w:firstLine="565" w:firstLineChars="202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1.</w:t>
      </w:r>
      <w:r>
        <w:rPr>
          <w:rFonts w:hint="eastAsia" w:ascii="Times New Roman" w:hAnsi="Times New Roman" w:eastAsiaTheme="minorEastAsia"/>
          <w:sz w:val="28"/>
          <w:szCs w:val="28"/>
        </w:rPr>
        <w:t>技术评分人员为三人以上（含三人）单数，由采购部门人员</w:t>
      </w:r>
      <w:r>
        <w:rPr>
          <w:rFonts w:ascii="Times New Roman" w:hAnsi="Times New Roman" w:eastAsiaTheme="minorEastAsia"/>
          <w:sz w:val="28"/>
          <w:szCs w:val="28"/>
        </w:rPr>
        <w:t>1</w:t>
      </w:r>
      <w:r>
        <w:rPr>
          <w:rFonts w:hint="eastAsia" w:ascii="Times New Roman" w:hAnsi="Times New Roman" w:eastAsiaTheme="minorEastAsia"/>
          <w:sz w:val="28"/>
          <w:szCs w:val="28"/>
        </w:rPr>
        <w:t>人和党务工作人员</w:t>
      </w:r>
      <w:r>
        <w:rPr>
          <w:rFonts w:ascii="Times New Roman" w:hAnsi="Times New Roman" w:eastAsiaTheme="minorEastAsia"/>
          <w:sz w:val="28"/>
          <w:szCs w:val="28"/>
        </w:rPr>
        <w:t>2</w:t>
      </w:r>
      <w:r>
        <w:rPr>
          <w:rFonts w:hint="eastAsia" w:ascii="Times New Roman" w:hAnsi="Times New Roman" w:eastAsiaTheme="minorEastAsia"/>
          <w:sz w:val="28"/>
          <w:szCs w:val="28"/>
        </w:rPr>
        <w:t>人组成，必要时可请本院其他部门人员参加，也可外聘专家；技术评分人员需对每项逐一打分。</w:t>
      </w:r>
    </w:p>
    <w:p>
      <w:pPr>
        <w:spacing w:line="300" w:lineRule="auto"/>
        <w:ind w:firstLine="565" w:firstLineChars="202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2.</w:t>
      </w:r>
      <w:r>
        <w:rPr>
          <w:rFonts w:hint="eastAsia" w:ascii="Times New Roman" w:hAnsi="Times New Roman" w:eastAsiaTheme="minorEastAsia"/>
          <w:sz w:val="28"/>
          <w:szCs w:val="28"/>
        </w:rPr>
        <w:t>监督指导人员由党务工作人员</w:t>
      </w:r>
      <w:r>
        <w:rPr>
          <w:rFonts w:ascii="Times New Roman" w:hAnsi="Times New Roman" w:eastAsiaTheme="minorEastAsia"/>
          <w:sz w:val="28"/>
          <w:szCs w:val="28"/>
        </w:rPr>
        <w:t>1</w:t>
      </w:r>
      <w:r>
        <w:rPr>
          <w:rFonts w:hint="eastAsia" w:ascii="Times New Roman" w:hAnsi="Times New Roman" w:eastAsiaTheme="minorEastAsia"/>
          <w:sz w:val="28"/>
          <w:szCs w:val="28"/>
        </w:rPr>
        <w:t>人担任，对评分过程进行监督指导，不参与打分。</w:t>
      </w:r>
    </w:p>
    <w:p>
      <w:pPr>
        <w:spacing w:line="300" w:lineRule="auto"/>
        <w:ind w:firstLine="565" w:firstLineChars="202"/>
        <w:rPr>
          <w:rFonts w:hint="eastAsia" w:ascii="Times New Roman" w:hAnsi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z w:val="28"/>
          <w:szCs w:val="28"/>
        </w:rPr>
        <w:t>（二）评审依据：本评分细则和供应商提交的响应文件。</w:t>
      </w:r>
    </w:p>
    <w:p>
      <w:pPr>
        <w:spacing w:line="300" w:lineRule="auto"/>
        <w:ind w:firstLine="565" w:firstLineChars="202"/>
        <w:rPr>
          <w:rFonts w:hint="eastAsia" w:ascii="Times New Roman" w:hAnsi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z w:val="28"/>
          <w:szCs w:val="28"/>
        </w:rPr>
        <w:t>（三）评审方法：综合评分法。</w:t>
      </w:r>
    </w:p>
    <w:p>
      <w:pPr>
        <w:spacing w:line="300" w:lineRule="auto"/>
        <w:ind w:firstLine="568" w:firstLineChars="202"/>
        <w:outlineLvl w:val="0"/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</w:pPr>
      <w:r>
        <w:rPr>
          <w:rFonts w:ascii="Times New Roman" w:hAnsi="Times New Roman" w:eastAsiaTheme="minorEastAsia"/>
          <w:b/>
          <w:sz w:val="28"/>
          <w:szCs w:val="28"/>
        </w:rPr>
        <w:t>二、评分标准</w:t>
      </w:r>
    </w:p>
    <w:p>
      <w:pPr>
        <w:spacing w:line="300" w:lineRule="auto"/>
        <w:ind w:firstLine="565" w:firstLineChars="202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供应商提交的报价及资格材料经初核符合要求的进入详评，评审小组将按本评分细则和响应文件为评定依据，采用百分制综合评分法：</w:t>
      </w:r>
    </w:p>
    <w:p>
      <w:pPr>
        <w:spacing w:line="300" w:lineRule="auto"/>
        <w:ind w:firstLine="562" w:firstLineChars="200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（一）价格分…………………………………………… （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20</w:t>
      </w:r>
      <w:r>
        <w:rPr>
          <w:rFonts w:ascii="Times New Roman" w:hAnsi="Times New Roman" w:eastAsiaTheme="minorEastAsia"/>
          <w:b/>
          <w:sz w:val="28"/>
          <w:szCs w:val="28"/>
        </w:rPr>
        <w:t>分）</w:t>
      </w:r>
    </w:p>
    <w:p>
      <w:pPr>
        <w:spacing w:line="300" w:lineRule="auto"/>
        <w:ind w:firstLine="536" w:firstLineChars="200"/>
        <w:rPr>
          <w:rFonts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以满足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报价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文件要求且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报价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价格最低的报价总价为评审基准价，其价格分为满分。其他供应商的价格分统一按照下列公式计算：</w:t>
      </w:r>
      <w:r>
        <w:rPr>
          <w:rFonts w:ascii="Times New Roman" w:hAnsi="Times New Roman" w:eastAsiaTheme="minorEastAsia"/>
          <w:spacing w:val="-6"/>
          <w:sz w:val="28"/>
          <w:szCs w:val="28"/>
        </w:rPr>
        <w:t>某供应商价格分 = 供应商最低报价（金额）/某供应商报价（金额）×价格分值。</w:t>
      </w:r>
    </w:p>
    <w:p>
      <w:pPr>
        <w:spacing w:line="300" w:lineRule="auto"/>
        <w:ind w:firstLine="562" w:firstLineChars="200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（二）技术分…………………………………………… （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35</w:t>
      </w:r>
      <w:r>
        <w:rPr>
          <w:rFonts w:ascii="Times New Roman" w:hAnsi="Times New Roman" w:eastAsiaTheme="minorEastAsia"/>
          <w:b/>
          <w:sz w:val="28"/>
          <w:szCs w:val="28"/>
        </w:rPr>
        <w:t>分）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一档（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/>
        </w:rPr>
        <w:t>10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分）：项目实施方案基本满足要求，组织情况、进展规划、实施计划、进度确保措施等方面基本符合规范要求，提出了基本可行的质量控制及保证措施的承诺的；服务承诺方案简单描述，基本满足本项目要求的；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二档（2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/>
        </w:rPr>
        <w:t>0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）：项目实施方案较详细、合理，内容较齐全，有符合项目需求的组织情况、进展规划、实施计划等方面方法符合要求，有具体可行的质量、进度确保措施，投标人质量保证措施基本科学合理，基本符合本项目实际情况，质量承诺基本满足采购需求要求；服务承诺方案描述完整，较好满足本项目要求，并且对本项目可能遇到的困难有解决方案且可行的；</w:t>
      </w:r>
    </w:p>
    <w:p>
      <w:pPr>
        <w:spacing w:line="300" w:lineRule="auto"/>
        <w:ind w:firstLine="536" w:firstLineChars="200"/>
        <w:rPr>
          <w:rFonts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三档（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/>
        </w:rPr>
        <w:t>3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）：项目实施方案具体科学合理具体，组织情况、进展规划、实施计划等方面先进，内容齐全，方法合理、科学，能满足本项目提出的所有要求，有具体可行的质量、进度确保措施，投标人质量保证措施科学合理，符合本项目实际情况，质量承诺满足采购需求要求；服务承诺方案描述详细，完全满足本项目要求。</w:t>
      </w:r>
    </w:p>
    <w:p>
      <w:pPr>
        <w:spacing w:line="300" w:lineRule="auto"/>
        <w:ind w:firstLine="562" w:firstLineChars="200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（三）业绩分……………………………………………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15</w:t>
      </w:r>
      <w:r>
        <w:rPr>
          <w:rFonts w:ascii="Times New Roman" w:hAnsi="Times New Roman" w:eastAsiaTheme="minorEastAsia"/>
          <w:b/>
          <w:sz w:val="28"/>
          <w:szCs w:val="28"/>
        </w:rPr>
        <w:t>分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）</w:t>
      </w:r>
      <w:r>
        <w:rPr>
          <w:rFonts w:ascii="Times New Roman" w:hAnsi="Times New Roman" w:eastAsiaTheme="minorEastAsia"/>
          <w:spacing w:val="-6"/>
          <w:sz w:val="28"/>
          <w:szCs w:val="28"/>
        </w:rPr>
        <w:t>自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2020</w:t>
      </w:r>
      <w:r>
        <w:rPr>
          <w:rFonts w:ascii="Times New Roman" w:hAnsi="Times New Roman" w:eastAsiaTheme="minorEastAsia"/>
          <w:spacing w:val="-6"/>
          <w:sz w:val="28"/>
          <w:szCs w:val="28"/>
        </w:rPr>
        <w:t>年1月1日以来，供应商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在新污染物检测或研究方面取得相关工作业绩（含论文成果）</w:t>
      </w:r>
      <w:r>
        <w:rPr>
          <w:rFonts w:ascii="Times New Roman" w:hAnsi="Times New Roman" w:eastAsiaTheme="minorEastAsia"/>
          <w:spacing w:val="-6"/>
          <w:sz w:val="28"/>
          <w:szCs w:val="28"/>
        </w:rPr>
        <w:t>，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检测方面</w:t>
      </w:r>
      <w:r>
        <w:rPr>
          <w:rFonts w:ascii="Times New Roman" w:hAnsi="Times New Roman" w:eastAsiaTheme="minorEastAsia"/>
          <w:spacing w:val="-6"/>
          <w:sz w:val="28"/>
          <w:szCs w:val="28"/>
        </w:rPr>
        <w:t>每提供1项加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1</w:t>
      </w:r>
      <w:r>
        <w:rPr>
          <w:rFonts w:ascii="Times New Roman" w:hAnsi="Times New Roman" w:eastAsiaTheme="minorEastAsia"/>
          <w:spacing w:val="-6"/>
          <w:sz w:val="28"/>
          <w:szCs w:val="28"/>
        </w:rPr>
        <w:t>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；论文方面普通期刊每提供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1项1分，中文核心期刊及以上每提供1项2分，满分10分；</w:t>
      </w:r>
    </w:p>
    <w:p>
      <w:pPr>
        <w:spacing w:line="300" w:lineRule="auto"/>
        <w:ind w:firstLine="536" w:firstLineChars="200"/>
        <w:rPr>
          <w:rFonts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（2）供应商建设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有省级及以上新污染物实验室，加分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5分。</w:t>
      </w:r>
      <w:r>
        <w:rPr>
          <w:rFonts w:ascii="Times New Roman" w:hAnsi="Times New Roman" w:eastAsiaTheme="minorEastAsia"/>
          <w:spacing w:val="-6"/>
          <w:sz w:val="28"/>
          <w:szCs w:val="28"/>
        </w:rPr>
        <w:t>本项满分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15</w:t>
      </w:r>
      <w:r>
        <w:rPr>
          <w:rFonts w:ascii="Times New Roman" w:hAnsi="Times New Roman" w:eastAsiaTheme="minorEastAsia"/>
          <w:spacing w:val="-6"/>
          <w:sz w:val="28"/>
          <w:szCs w:val="28"/>
        </w:rPr>
        <w:t>分。</w:t>
      </w:r>
    </w:p>
    <w:p>
      <w:pPr>
        <w:spacing w:line="300" w:lineRule="auto"/>
        <w:ind w:firstLine="536" w:firstLineChars="200"/>
        <w:rPr>
          <w:rFonts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备注：供应商应根据上述要求</w:t>
      </w:r>
      <w:r>
        <w:rPr>
          <w:rFonts w:ascii="Times New Roman" w:hAnsi="Times New Roman" w:eastAsiaTheme="minorEastAsia"/>
          <w:spacing w:val="-6"/>
          <w:sz w:val="28"/>
          <w:szCs w:val="28"/>
        </w:rPr>
        <w:t>须提供相关证明材料复印件，否则不计分。</w:t>
      </w:r>
    </w:p>
    <w:p>
      <w:pPr>
        <w:spacing w:line="300" w:lineRule="auto"/>
        <w:ind w:firstLine="562" w:firstLineChars="200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（四）人员配置分…………………………………………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20</w:t>
      </w:r>
      <w:r>
        <w:rPr>
          <w:rFonts w:ascii="Times New Roman" w:hAnsi="Times New Roman" w:eastAsiaTheme="minorEastAsia"/>
          <w:b/>
          <w:sz w:val="28"/>
          <w:szCs w:val="28"/>
        </w:rPr>
        <w:t>分</w:t>
      </w:r>
    </w:p>
    <w:p>
      <w:pPr>
        <w:spacing w:line="300" w:lineRule="auto"/>
        <w:ind w:firstLine="536" w:firstLineChars="200"/>
        <w:rPr>
          <w:rFonts w:hint="default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ascii="Times New Roman" w:hAnsi="Times New Roman" w:eastAsiaTheme="minorEastAsia"/>
          <w:spacing w:val="-6"/>
          <w:sz w:val="28"/>
          <w:szCs w:val="28"/>
        </w:rPr>
        <w:t>（1）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项目负责人及质量负责人分（满分8分）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供应商需设 1 名项目负责人、1 名质量负责人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并按照下列条件计分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。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-6"/>
          <w:sz w:val="28"/>
          <w:szCs w:val="28"/>
        </w:rPr>
        <w:t>①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拟投入项目负责人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及质量负责人，每有一人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具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备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环境类、化学类、化工类等任意一类专业中级职称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（助理研究员或讲师）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的得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；②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拟投入项目负责人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及质量负责人，每有一人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具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备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环境类、化学类、化工类等任意一类专业副高级（副研究员或副教授）职称的得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；③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拟投入项目负责人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及质量负责人，每有一人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具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备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环境类、化学类、化工类等任意一类专业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正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高级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工程师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（研究员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或教授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）职称得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4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本项累计最高得8分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spacing w:line="300" w:lineRule="auto"/>
        <w:ind w:firstLine="536" w:firstLineChars="200"/>
        <w:rPr>
          <w:rFonts w:hint="default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（2）团队成员分（满分12分）</w:t>
      </w:r>
    </w:p>
    <w:p>
      <w:pPr>
        <w:spacing w:line="300" w:lineRule="auto"/>
        <w:ind w:firstLine="536" w:firstLineChars="200"/>
        <w:rPr>
          <w:rFonts w:hint="default" w:ascii="Times New Roman" w:hAnsi="Times New Roman" w:cs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项目团队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需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满足专业技术人员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不少于4人，并按照下列条件计分。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①团队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成员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满足为环境类、化学类、化工类等任意一类相关专业职称为中级称职（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助理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研究员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或讲师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），得1分；②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团队成员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满足为环境类、化学类、化工类等任意一类相关专业职称为副高（副研究员或副教授），每有1人得2分；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③团队成员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满足为环境类、化学类、化工类等任意一类相关专业职称为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正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高（研究员或教授），每有1人得3分。本项累计最高得12分。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备注：供应商应根据上述要求，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提供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相关人员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职称证书证明材料复印件、团队成员劳动合同复印件或事业单位编制证明复印件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或团队成员近半年社保缴费凭证等可证明员工所属关系的材料</w:t>
      </w:r>
      <w:r>
        <w:rPr>
          <w:rFonts w:ascii="Times New Roman" w:hAnsi="Times New Roman" w:eastAsiaTheme="minorEastAsia"/>
          <w:spacing w:val="-6"/>
          <w:sz w:val="28"/>
          <w:szCs w:val="28"/>
        </w:rPr>
        <w:t>，否则不计分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。</w:t>
      </w:r>
    </w:p>
    <w:p>
      <w:pPr>
        <w:spacing w:line="300" w:lineRule="auto"/>
        <w:ind w:firstLine="538" w:firstLineChars="200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val="en-US" w:eastAsia="zh-CN"/>
        </w:rPr>
        <w:t>荣誉及成果奖励</w:t>
      </w: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eastAsia="zh-CN"/>
        </w:rPr>
        <w:t>分</w:t>
      </w:r>
      <w:r>
        <w:rPr>
          <w:rFonts w:ascii="Times New Roman" w:hAnsi="Times New Roman" w:eastAsiaTheme="minorEastAsia"/>
          <w:b/>
          <w:sz w:val="28"/>
          <w:szCs w:val="28"/>
        </w:rPr>
        <w:t>………………………………………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10</w:t>
      </w:r>
      <w:r>
        <w:rPr>
          <w:rFonts w:ascii="Times New Roman" w:hAnsi="Times New Roman" w:eastAsiaTheme="minorEastAsia"/>
          <w:b/>
          <w:sz w:val="28"/>
          <w:szCs w:val="28"/>
        </w:rPr>
        <w:t>分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自2020年1月1日以来，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获得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省级及以上生态环境方面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奖项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，每个得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分。（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报价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文件中提供证书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或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能证明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奖项的证明材料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，否则不得分）。</w:t>
      </w:r>
    </w:p>
    <w:p>
      <w:pPr>
        <w:spacing w:line="300" w:lineRule="auto"/>
        <w:ind w:firstLine="384"/>
        <w:outlineLvl w:val="1"/>
        <w:rPr>
          <w:rFonts w:hint="default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ascii="Times New Roman" w:hAnsi="Times New Roman" w:eastAsiaTheme="minorEastAsia"/>
          <w:b/>
          <w:bCs/>
          <w:spacing w:val="-6"/>
          <w:sz w:val="28"/>
          <w:szCs w:val="28"/>
        </w:rPr>
        <w:t>总分值=（一）+（二）+（三）+（四）+（</w:t>
      </w: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val="en-US" w:eastAsia="zh-CN"/>
        </w:rPr>
        <w:t>五</w:t>
      </w:r>
      <w:r>
        <w:rPr>
          <w:rFonts w:ascii="Times New Roman" w:hAnsi="Times New Roman" w:eastAsiaTheme="minorEastAsia"/>
          <w:b/>
          <w:bCs/>
          <w:spacing w:val="-6"/>
          <w:sz w:val="28"/>
          <w:szCs w:val="28"/>
        </w:rPr>
        <w:t>）</w:t>
      </w:r>
    </w:p>
    <w:p>
      <w:pPr>
        <w:spacing w:line="300" w:lineRule="auto"/>
        <w:ind w:firstLine="568" w:firstLineChars="202"/>
        <w:outlineLvl w:val="0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三、评审结果</w:t>
      </w:r>
    </w:p>
    <w:p>
      <w:pPr>
        <w:spacing w:line="360" w:lineRule="auto"/>
        <w:ind w:firstLine="560" w:firstLineChars="200"/>
        <w:rPr>
          <w:b/>
          <w:bCs/>
        </w:rPr>
      </w:pPr>
      <w:r>
        <w:rPr>
          <w:rFonts w:ascii="Times New Roman" w:hAnsi="Times New Roman" w:eastAsiaTheme="minorEastAsia"/>
          <w:sz w:val="28"/>
          <w:szCs w:val="28"/>
        </w:rPr>
        <w:t>根据供应商提交的材料进行综合评分，按照得分由高到低顺序得出成交供应商名单并填写，评审得分最高者为成交供应商。评审得分相同的，按照最后报价（不计算价格折扣）由低到高排序，评审得分且最后报价（不计算价格折扣）相同的，按照技术指标优劣排序。成交原则为排序顺位第一的供应商。如成交供应商因不可抗力提出不能履行合同，顺位选择第二排名的供应商，以此类推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EF78933-735F-46FD-97C1-A166EBB487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A7B9781-A1FC-4322-A962-AD7C9D3265B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2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00A465F6"/>
    <w:rsid w:val="00063E44"/>
    <w:rsid w:val="00096B38"/>
    <w:rsid w:val="000B3E37"/>
    <w:rsid w:val="000C013F"/>
    <w:rsid w:val="00174638"/>
    <w:rsid w:val="001D5FA0"/>
    <w:rsid w:val="00225E76"/>
    <w:rsid w:val="002A6194"/>
    <w:rsid w:val="004A7DFA"/>
    <w:rsid w:val="0054537E"/>
    <w:rsid w:val="006D2545"/>
    <w:rsid w:val="0078600A"/>
    <w:rsid w:val="008713B4"/>
    <w:rsid w:val="00872165"/>
    <w:rsid w:val="008D4170"/>
    <w:rsid w:val="008F1CE7"/>
    <w:rsid w:val="00941ACC"/>
    <w:rsid w:val="00A435C7"/>
    <w:rsid w:val="00A465F6"/>
    <w:rsid w:val="00A84C9D"/>
    <w:rsid w:val="00C35085"/>
    <w:rsid w:val="00C6767A"/>
    <w:rsid w:val="00D900F0"/>
    <w:rsid w:val="00E37CC2"/>
    <w:rsid w:val="00E449C3"/>
    <w:rsid w:val="00E57010"/>
    <w:rsid w:val="00F40D46"/>
    <w:rsid w:val="00F52A84"/>
    <w:rsid w:val="00F63B31"/>
    <w:rsid w:val="01957570"/>
    <w:rsid w:val="02133ACC"/>
    <w:rsid w:val="031E4A9F"/>
    <w:rsid w:val="035736B8"/>
    <w:rsid w:val="042C1459"/>
    <w:rsid w:val="05CD6914"/>
    <w:rsid w:val="06555A56"/>
    <w:rsid w:val="069D6476"/>
    <w:rsid w:val="078C301A"/>
    <w:rsid w:val="08602EF2"/>
    <w:rsid w:val="08A531B1"/>
    <w:rsid w:val="09395D00"/>
    <w:rsid w:val="094D4C8B"/>
    <w:rsid w:val="0A3463D4"/>
    <w:rsid w:val="0AA11644"/>
    <w:rsid w:val="0C3D6C11"/>
    <w:rsid w:val="0D097318"/>
    <w:rsid w:val="0D79217F"/>
    <w:rsid w:val="0DF236B8"/>
    <w:rsid w:val="0E6C7C1A"/>
    <w:rsid w:val="1182782C"/>
    <w:rsid w:val="11D37108"/>
    <w:rsid w:val="126D001D"/>
    <w:rsid w:val="13677FE8"/>
    <w:rsid w:val="14156350"/>
    <w:rsid w:val="156F1A2C"/>
    <w:rsid w:val="158825F4"/>
    <w:rsid w:val="15B41EB8"/>
    <w:rsid w:val="198A7DBF"/>
    <w:rsid w:val="19EE1D33"/>
    <w:rsid w:val="19F63E1E"/>
    <w:rsid w:val="1A966AFE"/>
    <w:rsid w:val="1AB641E5"/>
    <w:rsid w:val="1CA60086"/>
    <w:rsid w:val="1D297E85"/>
    <w:rsid w:val="1E535B21"/>
    <w:rsid w:val="20BF18D3"/>
    <w:rsid w:val="20DB5114"/>
    <w:rsid w:val="23213215"/>
    <w:rsid w:val="23D22633"/>
    <w:rsid w:val="26A73FA1"/>
    <w:rsid w:val="2820532F"/>
    <w:rsid w:val="28FD1C48"/>
    <w:rsid w:val="294C2ABF"/>
    <w:rsid w:val="297B7470"/>
    <w:rsid w:val="298A0571"/>
    <w:rsid w:val="2A244EC4"/>
    <w:rsid w:val="2AC33130"/>
    <w:rsid w:val="2B3F6C2E"/>
    <w:rsid w:val="30F03731"/>
    <w:rsid w:val="31AC410D"/>
    <w:rsid w:val="3227671A"/>
    <w:rsid w:val="324E4165"/>
    <w:rsid w:val="32A94F0A"/>
    <w:rsid w:val="33494C5E"/>
    <w:rsid w:val="33A526FB"/>
    <w:rsid w:val="33CD6DCE"/>
    <w:rsid w:val="3400534F"/>
    <w:rsid w:val="35EB5999"/>
    <w:rsid w:val="35FC62BB"/>
    <w:rsid w:val="36BB06ED"/>
    <w:rsid w:val="37095C30"/>
    <w:rsid w:val="375D1AAB"/>
    <w:rsid w:val="38484725"/>
    <w:rsid w:val="3BCE25E5"/>
    <w:rsid w:val="3C431CDF"/>
    <w:rsid w:val="3CE17D0A"/>
    <w:rsid w:val="3D8C78A0"/>
    <w:rsid w:val="3DCD64B2"/>
    <w:rsid w:val="3E88226F"/>
    <w:rsid w:val="3F5875BD"/>
    <w:rsid w:val="40047F34"/>
    <w:rsid w:val="4127543B"/>
    <w:rsid w:val="42CA7E60"/>
    <w:rsid w:val="430B2072"/>
    <w:rsid w:val="44126D53"/>
    <w:rsid w:val="4499076B"/>
    <w:rsid w:val="49D35E2D"/>
    <w:rsid w:val="4A4A3F00"/>
    <w:rsid w:val="4AF77921"/>
    <w:rsid w:val="4B1C15A9"/>
    <w:rsid w:val="4B7D02F6"/>
    <w:rsid w:val="4B94436C"/>
    <w:rsid w:val="4C487CBE"/>
    <w:rsid w:val="4C7A7005"/>
    <w:rsid w:val="4D7F5E99"/>
    <w:rsid w:val="4DC566E4"/>
    <w:rsid w:val="4EB414F1"/>
    <w:rsid w:val="516A2395"/>
    <w:rsid w:val="544D119B"/>
    <w:rsid w:val="54AD24A4"/>
    <w:rsid w:val="555A3625"/>
    <w:rsid w:val="56052C0D"/>
    <w:rsid w:val="5808788C"/>
    <w:rsid w:val="587D0307"/>
    <w:rsid w:val="5A475E9A"/>
    <w:rsid w:val="5B123195"/>
    <w:rsid w:val="5B6743E4"/>
    <w:rsid w:val="5C6C3F04"/>
    <w:rsid w:val="5D9F05B5"/>
    <w:rsid w:val="5DF44D9C"/>
    <w:rsid w:val="5DFD0DA6"/>
    <w:rsid w:val="5DFF635A"/>
    <w:rsid w:val="5EC83E90"/>
    <w:rsid w:val="5F255FFA"/>
    <w:rsid w:val="63BB2029"/>
    <w:rsid w:val="653009DC"/>
    <w:rsid w:val="657B5DDA"/>
    <w:rsid w:val="672A7AB8"/>
    <w:rsid w:val="67E13D62"/>
    <w:rsid w:val="69693CA8"/>
    <w:rsid w:val="6C0A24CC"/>
    <w:rsid w:val="6C362B46"/>
    <w:rsid w:val="6E801E56"/>
    <w:rsid w:val="6EA01206"/>
    <w:rsid w:val="6F8225F6"/>
    <w:rsid w:val="70A24B63"/>
    <w:rsid w:val="71270290"/>
    <w:rsid w:val="715B2ECA"/>
    <w:rsid w:val="73D355BD"/>
    <w:rsid w:val="748465A5"/>
    <w:rsid w:val="74CC5C77"/>
    <w:rsid w:val="7803544A"/>
    <w:rsid w:val="7877673D"/>
    <w:rsid w:val="78917126"/>
    <w:rsid w:val="7931088A"/>
    <w:rsid w:val="793A0AC9"/>
    <w:rsid w:val="79812F41"/>
    <w:rsid w:val="79E803D6"/>
    <w:rsid w:val="7A2848CC"/>
    <w:rsid w:val="7BE06DFF"/>
    <w:rsid w:val="7C1A4EF6"/>
    <w:rsid w:val="7E593518"/>
    <w:rsid w:val="7F3A2851"/>
    <w:rsid w:val="7F6E6892"/>
    <w:rsid w:val="7FF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Lines="100" w:afterLines="100" w:line="600" w:lineRule="exact"/>
      <w:outlineLvl w:val="1"/>
    </w:pPr>
    <w:rPr>
      <w:rFonts w:ascii="Times New Roman" w:hAnsi="Times New Roman" w:eastAsia="仿宋" w:cs="Calibri"/>
      <w:b/>
      <w:bCs/>
      <w:sz w:val="28"/>
      <w:szCs w:val="28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5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Default"/>
    <w:basedOn w:val="12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1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4">
    <w:name w:val="页眉 字符"/>
    <w:basedOn w:val="9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1748</Words>
  <Characters>1847</Characters>
  <Lines>13</Lines>
  <Paragraphs>3</Paragraphs>
  <TotalTime>60</TotalTime>
  <ScaleCrop>false</ScaleCrop>
  <LinksUpToDate>false</LinksUpToDate>
  <CharactersWithSpaces>1857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卢燕梅</cp:lastModifiedBy>
  <dcterms:modified xsi:type="dcterms:W3CDTF">2025-10-27T08:05:51Z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06076C7FFFCC4F7C9BCA9DA899C659C5_13</vt:lpwstr>
  </property>
  <property fmtid="{D5CDD505-2E9C-101B-9397-08002B2CF9AE}" pid="4" name="KSOTemplateDocerSaveRecord">
    <vt:lpwstr>eyJoZGlkIjoiNWRiN2EzOTIwNTFkMWRjYjlhM2M2MjEwMTAzOTAyMTAiLCJ1c2VySWQiOiI4NzI1NzQzIn0=</vt:lpwstr>
  </property>
</Properties>
</file>