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F8CE8">
      <w:pPr>
        <w:keepNext w:val="0"/>
        <w:keepLines w:val="0"/>
        <w:pageBreakBefore/>
        <w:widowControl w:val="0"/>
        <w:shd w:val="clear" w:color="auto" w:fill="auto"/>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color w:val="auto"/>
          <w:sz w:val="44"/>
          <w:szCs w:val="44"/>
          <w:highlight w:val="none"/>
          <w:u w:val="none"/>
          <w:lang w:eastAsia="zh-CN"/>
        </w:rPr>
      </w:pPr>
      <w:r>
        <w:rPr>
          <w:rFonts w:hint="eastAsia" w:ascii="方正小标宋_GBK" w:hAnsi="方正小标宋_GBK" w:eastAsia="方正小标宋_GBK" w:cs="方正小标宋_GBK"/>
          <w:b w:val="0"/>
          <w:bCs w:val="0"/>
          <w:color w:val="auto"/>
          <w:sz w:val="44"/>
          <w:szCs w:val="44"/>
          <w:highlight w:val="none"/>
          <w:u w:val="none"/>
          <w:lang w:eastAsia="zh-CN"/>
        </w:rPr>
        <w:t>广西壮族自治区生态环境分区管控</w:t>
      </w:r>
    </w:p>
    <w:p w14:paraId="28CA53F0">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color w:val="auto"/>
          <w:sz w:val="44"/>
          <w:szCs w:val="44"/>
          <w:highlight w:val="none"/>
          <w:u w:val="none"/>
          <w:lang w:eastAsia="zh-CN"/>
        </w:rPr>
      </w:pPr>
      <w:r>
        <w:rPr>
          <w:rFonts w:hint="eastAsia" w:ascii="方正小标宋_GBK" w:hAnsi="方正小标宋_GBK" w:eastAsia="方正小标宋_GBK" w:cs="方正小标宋_GBK"/>
          <w:b w:val="0"/>
          <w:bCs w:val="0"/>
          <w:color w:val="auto"/>
          <w:sz w:val="44"/>
          <w:szCs w:val="44"/>
          <w:highlight w:val="none"/>
          <w:u w:val="none"/>
          <w:lang w:eastAsia="zh-CN"/>
        </w:rPr>
        <w:t>动态更新成果（</w:t>
      </w:r>
      <w:r>
        <w:rPr>
          <w:rFonts w:hint="default" w:ascii="Times New Roman" w:hAnsi="Times New Roman" w:eastAsia="方正小标宋_GBK" w:cs="Times New Roman"/>
          <w:b w:val="0"/>
          <w:bCs w:val="0"/>
          <w:color w:val="auto"/>
          <w:sz w:val="44"/>
          <w:szCs w:val="44"/>
          <w:highlight w:val="none"/>
          <w:u w:val="none"/>
          <w:lang w:eastAsia="zh-CN"/>
        </w:rPr>
        <w:t>2023</w:t>
      </w:r>
      <w:r>
        <w:rPr>
          <w:rFonts w:hint="eastAsia" w:ascii="方正小标宋_GBK" w:hAnsi="方正小标宋_GBK" w:eastAsia="方正小标宋_GBK" w:cs="方正小标宋_GBK"/>
          <w:b w:val="0"/>
          <w:bCs w:val="0"/>
          <w:color w:val="auto"/>
          <w:sz w:val="44"/>
          <w:szCs w:val="44"/>
          <w:highlight w:val="none"/>
          <w:u w:val="none"/>
          <w:lang w:eastAsia="zh-CN"/>
        </w:rPr>
        <w:t>年）</w:t>
      </w:r>
    </w:p>
    <w:p w14:paraId="5E18EAB0">
      <w:pPr>
        <w:keepNext w:val="0"/>
        <w:keepLines w:val="0"/>
        <w:pageBreakBefore w:val="0"/>
        <w:widowControl w:val="0"/>
        <w:shd w:val="clear" w:color="auto" w:fill="auto"/>
        <w:kinsoku/>
        <w:wordWrap/>
        <w:overflowPunct/>
        <w:topLinePunct w:val="0"/>
        <w:autoSpaceDE w:val="0"/>
        <w:autoSpaceDN w:val="0"/>
        <w:bidi w:val="0"/>
        <w:adjustRightInd w:val="0"/>
        <w:spacing w:line="600" w:lineRule="exact"/>
        <w:jc w:val="center"/>
        <w:textAlignment w:val="baseline"/>
        <w:rPr>
          <w:rFonts w:hint="eastAsia" w:ascii="方正楷体_GBK" w:hAnsi="方正楷体_GBK" w:eastAsia="方正楷体_GBK" w:cs="方正楷体_GBK"/>
          <w:b w:val="0"/>
          <w:bCs w:val="0"/>
          <w:color w:val="auto"/>
          <w:kern w:val="2"/>
          <w:sz w:val="32"/>
          <w:szCs w:val="32"/>
          <w:highlight w:val="none"/>
          <w:u w:val="none"/>
          <w:lang w:val="en-US" w:eastAsia="zh-CN" w:bidi="ar-SA"/>
        </w:rPr>
      </w:pPr>
    </w:p>
    <w:p w14:paraId="42DC514D">
      <w:pPr>
        <w:keepNext w:val="0"/>
        <w:keepLines w:val="0"/>
        <w:pageBreakBefore w:val="0"/>
        <w:widowControl w:val="0"/>
        <w:shd w:val="clear" w:color="auto" w:fill="auto"/>
        <w:kinsoku/>
        <w:wordWrap/>
        <w:overflowPunct/>
        <w:topLinePunct w:val="0"/>
        <w:bidi w:val="0"/>
        <w:spacing w:line="580" w:lineRule="exact"/>
        <w:ind w:firstLine="640" w:firstLineChars="200"/>
        <w:rPr>
          <w:rFonts w:hint="default" w:ascii="Times New Roman" w:hAnsi="Times New Roman" w:eastAsia="仿宋" w:cs="Times New Roman"/>
          <w:b w:val="0"/>
          <w:i w:val="0"/>
          <w:caps w:val="0"/>
          <w:color w:val="auto"/>
          <w:spacing w:val="0"/>
          <w:w w:val="100"/>
          <w:sz w:val="32"/>
          <w:szCs w:val="32"/>
          <w:highlight w:val="none"/>
          <w:lang w:val="en-US" w:eastAsia="zh-CN" w:bidi="ar"/>
        </w:rPr>
      </w:pPr>
      <w:r>
        <w:rPr>
          <w:rFonts w:hint="default" w:ascii="Times New Roman" w:hAnsi="Times New Roman" w:eastAsia="仿宋" w:cs="Times New Roman"/>
          <w:b w:val="0"/>
          <w:bCs w:val="0"/>
          <w:color w:val="auto"/>
          <w:kern w:val="2"/>
          <w:sz w:val="32"/>
          <w:szCs w:val="32"/>
          <w:lang w:val="en-US" w:eastAsia="zh-CN" w:bidi="ar-SA"/>
        </w:rPr>
        <w:t>根据生态环境部办公厅《关于印发</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2023年生态环境分区管控成果动态更新工作方案</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的通知》（环办环评函〔2023〕81号）要求，重点围绕自治区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三区三线</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划定成果、国家及自治区重大战略规划、</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十四五</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环境质量、能源资源管理目标和要求等，对广西生态环境分区管控成果进行更新调整，建立了更为科学、精准、适宜的生态环境分区管控方案。</w:t>
      </w:r>
      <w:r>
        <w:rPr>
          <w:rFonts w:hint="default" w:ascii="Times New Roman" w:hAnsi="Times New Roman" w:eastAsia="仿宋" w:cs="Times New Roman"/>
          <w:color w:val="auto"/>
          <w:sz w:val="32"/>
          <w:szCs w:val="32"/>
        </w:rPr>
        <w:t>调整后</w:t>
      </w:r>
      <w:r>
        <w:rPr>
          <w:rFonts w:hint="default" w:ascii="Times New Roman" w:hAnsi="Times New Roman" w:eastAsia="仿宋" w:cs="Times New Roman"/>
          <w:color w:val="auto"/>
          <w:sz w:val="32"/>
          <w:szCs w:val="32"/>
          <w:lang w:eastAsia="zh-CN"/>
        </w:rPr>
        <w:t>的</w:t>
      </w:r>
      <w:r>
        <w:rPr>
          <w:rFonts w:hint="default" w:ascii="Times New Roman" w:hAnsi="Times New Roman" w:eastAsia="仿宋" w:cs="Times New Roman"/>
          <w:color w:val="auto"/>
          <w:sz w:val="32"/>
          <w:szCs w:val="32"/>
        </w:rPr>
        <w:t>生态环境分区管控按优先保护、重点管控、一般管控三大类共划定</w:t>
      </w:r>
      <w:r>
        <w:rPr>
          <w:rFonts w:hint="default" w:ascii="Times New Roman" w:hAnsi="Times New Roman" w:eastAsia="仿宋" w:cs="Times New Roman"/>
          <w:color w:val="auto"/>
          <w:sz w:val="32"/>
          <w:szCs w:val="32"/>
          <w:lang w:val="en-US" w:eastAsia="zh-CN"/>
        </w:rPr>
        <w:t>1673</w:t>
      </w:r>
      <w:r>
        <w:rPr>
          <w:rFonts w:hint="default" w:ascii="Times New Roman" w:hAnsi="Times New Roman" w:eastAsia="仿宋" w:cs="Times New Roman"/>
          <w:color w:val="auto"/>
          <w:sz w:val="32"/>
          <w:szCs w:val="32"/>
        </w:rPr>
        <w:t>个环境管控单元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全</w:t>
      </w:r>
      <w:r>
        <w:rPr>
          <w:rFonts w:hint="default" w:ascii="Times New Roman" w:hAnsi="Times New Roman" w:eastAsia="仿宋" w:cs="Times New Roman"/>
          <w:color w:val="auto"/>
          <w:sz w:val="32"/>
          <w:szCs w:val="32"/>
          <w:lang w:eastAsia="zh-CN"/>
        </w:rPr>
        <w:t>区</w:t>
      </w:r>
      <w:r>
        <w:rPr>
          <w:rFonts w:hint="default" w:ascii="Times New Roman" w:hAnsi="Times New Roman" w:eastAsia="仿宋" w:cs="Times New Roman"/>
          <w:b w:val="0"/>
          <w:bCs w:val="0"/>
          <w:color w:val="auto"/>
          <w:sz w:val="32"/>
          <w:szCs w:val="32"/>
          <w:highlight w:val="none"/>
          <w:lang w:val="en-US" w:eastAsia="zh-CN"/>
        </w:rPr>
        <w:t>陆域共</w:t>
      </w:r>
      <w:r>
        <w:rPr>
          <w:rFonts w:hint="default" w:ascii="Times New Roman" w:hAnsi="Times New Roman" w:eastAsia="仿宋" w:cs="Times New Roman"/>
          <w:color w:val="auto"/>
          <w:sz w:val="32"/>
          <w:szCs w:val="32"/>
        </w:rPr>
        <w:t>划分为</w:t>
      </w:r>
      <w:r>
        <w:rPr>
          <w:rFonts w:hint="default" w:ascii="Times New Roman" w:hAnsi="Times New Roman" w:eastAsia="仿宋" w:cs="Times New Roman"/>
          <w:color w:val="auto"/>
          <w:sz w:val="32"/>
          <w:szCs w:val="32"/>
          <w:lang w:val="en-US" w:eastAsia="zh-CN"/>
        </w:rPr>
        <w:t>1461</w:t>
      </w:r>
      <w:r>
        <w:rPr>
          <w:rFonts w:hint="default" w:ascii="Times New Roman" w:hAnsi="Times New Roman" w:eastAsia="仿宋" w:cs="Times New Roman"/>
          <w:color w:val="auto"/>
          <w:sz w:val="32"/>
          <w:szCs w:val="32"/>
        </w:rPr>
        <w:t>个环境管控单元。其中，优先保护单元</w:t>
      </w:r>
      <w:r>
        <w:rPr>
          <w:rFonts w:hint="default" w:ascii="Times New Roman" w:hAnsi="Times New Roman" w:eastAsia="仿宋" w:cs="Times New Roman"/>
          <w:color w:val="auto"/>
          <w:sz w:val="32"/>
          <w:szCs w:val="32"/>
          <w:highlight w:val="none"/>
          <w:lang w:val="en-US" w:eastAsia="zh-CN"/>
        </w:rPr>
        <w:t>831</w:t>
      </w:r>
      <w:r>
        <w:rPr>
          <w:rFonts w:hint="default" w:ascii="Times New Roman" w:hAnsi="Times New Roman" w:eastAsia="仿宋" w:cs="Times New Roman"/>
          <w:color w:val="auto"/>
          <w:sz w:val="32"/>
          <w:szCs w:val="32"/>
        </w:rPr>
        <w:t>个，面积占比47.86%；重点管控单元519个，面积占比</w:t>
      </w:r>
      <w:r>
        <w:rPr>
          <w:rFonts w:hint="default" w:ascii="Times New Roman" w:hAnsi="Times New Roman" w:eastAsia="仿宋" w:cs="Times New Roman"/>
          <w:color w:val="auto"/>
          <w:sz w:val="32"/>
          <w:szCs w:val="32"/>
          <w:highlight w:val="none"/>
          <w:lang w:val="en-US" w:eastAsia="zh-CN"/>
        </w:rPr>
        <w:t>20.12</w:t>
      </w:r>
      <w:r>
        <w:rPr>
          <w:rFonts w:hint="default" w:ascii="Times New Roman" w:hAnsi="Times New Roman" w:eastAsia="仿宋" w:cs="Times New Roman"/>
          <w:color w:val="auto"/>
          <w:sz w:val="32"/>
          <w:szCs w:val="32"/>
        </w:rPr>
        <w:t>%；一般管控单元</w:t>
      </w:r>
      <w:r>
        <w:rPr>
          <w:rFonts w:hint="default" w:ascii="Times New Roman" w:hAnsi="Times New Roman" w:eastAsia="仿宋" w:cs="Times New Roman"/>
          <w:color w:val="auto"/>
          <w:sz w:val="32"/>
          <w:szCs w:val="32"/>
          <w:highlight w:val="none"/>
          <w:lang w:val="en-US" w:eastAsia="zh-CN"/>
        </w:rPr>
        <w:t>111</w:t>
      </w:r>
      <w:r>
        <w:rPr>
          <w:rFonts w:hint="default" w:ascii="Times New Roman" w:hAnsi="Times New Roman" w:eastAsia="仿宋" w:cs="Times New Roman"/>
          <w:color w:val="auto"/>
          <w:sz w:val="32"/>
          <w:szCs w:val="32"/>
        </w:rPr>
        <w:t>个，面积占比32.02</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%。近岸海域共划</w:t>
      </w:r>
      <w:r>
        <w:rPr>
          <w:rFonts w:hint="default" w:ascii="Times New Roman" w:hAnsi="Times New Roman" w:eastAsia="仿宋" w:cs="Times New Roman"/>
          <w:color w:val="auto"/>
          <w:sz w:val="32"/>
          <w:szCs w:val="32"/>
          <w:lang w:eastAsia="zh-CN"/>
        </w:rPr>
        <w:t>分</w:t>
      </w:r>
      <w:r>
        <w:rPr>
          <w:rFonts w:hint="default" w:ascii="Times New Roman" w:hAnsi="Times New Roman" w:eastAsia="仿宋" w:cs="Times New Roman"/>
          <w:color w:val="auto"/>
          <w:sz w:val="32"/>
          <w:szCs w:val="32"/>
        </w:rPr>
        <w:t>为212个环境管控单元</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其中，优先保护单元101个，面积占比12.6</w:t>
      </w: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val="0"/>
          <w:i w:val="0"/>
          <w:caps w:val="0"/>
          <w:color w:val="auto"/>
          <w:spacing w:val="0"/>
          <w:w w:val="100"/>
          <w:sz w:val="32"/>
          <w:szCs w:val="32"/>
          <w:highlight w:val="none"/>
          <w:lang w:val="en-US" w:eastAsia="zh-CN" w:bidi="ar"/>
        </w:rPr>
        <w:t>重点管控单元72个，面积占比5.60%；一般管控单元39个，面积占比81.73%。详见广西壮族自治区生态环境分区管控单元更新调整结果表和分类图。</w:t>
      </w:r>
    </w:p>
    <w:p w14:paraId="25A0818A">
      <w:pPr>
        <w:keepNext w:val="0"/>
        <w:keepLines w:val="0"/>
        <w:pageBreakBefore w:val="0"/>
        <w:widowControl w:val="0"/>
        <w:shd w:val="clear" w:color="auto" w:fill="auto"/>
        <w:kinsoku/>
        <w:wordWrap/>
        <w:overflowPunct/>
        <w:topLinePunct w:val="0"/>
        <w:bidi w:val="0"/>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依据现行的国家、自治区相关法律法规、政策文件等管理要求，更新全区陆域、近岸海域以及四大板块总体</w:t>
      </w:r>
      <w:r>
        <w:rPr>
          <w:rFonts w:hint="eastAsia" w:ascii="Times New Roman" w:hAnsi="Times New Roman" w:eastAsia="仿宋" w:cs="Times New Roman"/>
          <w:color w:val="auto"/>
          <w:sz w:val="32"/>
          <w:szCs w:val="32"/>
          <w:lang w:val="en-US" w:eastAsia="zh-CN"/>
        </w:rPr>
        <w:t>生态环境</w:t>
      </w:r>
      <w:r>
        <w:rPr>
          <w:rFonts w:hint="default" w:ascii="Times New Roman" w:hAnsi="Times New Roman" w:eastAsia="仿宋" w:cs="Times New Roman"/>
          <w:color w:val="auto"/>
          <w:sz w:val="32"/>
          <w:szCs w:val="32"/>
          <w:lang w:val="en-US" w:eastAsia="zh-CN"/>
        </w:rPr>
        <w:t>准入</w:t>
      </w:r>
      <w:r>
        <w:rPr>
          <w:rFonts w:hint="eastAsia" w:ascii="Times New Roman" w:hAnsi="Times New Roman" w:eastAsia="仿宋" w:cs="Times New Roman"/>
          <w:color w:val="auto"/>
          <w:sz w:val="32"/>
          <w:szCs w:val="32"/>
          <w:lang w:val="en-US" w:eastAsia="zh-CN"/>
        </w:rPr>
        <w:t>及管控</w:t>
      </w:r>
      <w:r>
        <w:rPr>
          <w:rFonts w:hint="default" w:ascii="Times New Roman" w:hAnsi="Times New Roman" w:eastAsia="仿宋" w:cs="Times New Roman"/>
          <w:color w:val="auto"/>
          <w:sz w:val="32"/>
          <w:szCs w:val="32"/>
          <w:lang w:val="en-US" w:eastAsia="zh-CN"/>
        </w:rPr>
        <w:t>要求。详见广西壮族自治区生态环境准入清单（2023年）。</w:t>
      </w:r>
    </w:p>
    <w:p w14:paraId="7C3F3394">
      <w:pPr>
        <w:rPr>
          <w:rFonts w:hint="default" w:ascii="Times New Roman" w:hAnsi="Times New Roman" w:cs="Times New Roman"/>
        </w:rPr>
        <w:sectPr>
          <w:headerReference r:id="rId3" w:type="default"/>
          <w:footerReference r:id="rId4" w:type="default"/>
          <w:pgSz w:w="11906" w:h="16838"/>
          <w:pgMar w:top="1440" w:right="1361" w:bottom="1701" w:left="1474" w:header="1134" w:footer="1304" w:gutter="0"/>
          <w:pgNumType w:fmt="decimal" w:start="3"/>
          <w:cols w:space="720" w:num="1"/>
          <w:docGrid w:type="lines" w:linePitch="312" w:charSpace="0"/>
        </w:sectPr>
      </w:pPr>
    </w:p>
    <w:p w14:paraId="43B87FBB">
      <w:pPr>
        <w:widowControl w:val="0"/>
        <w:shd w:val="clear" w:color="auto" w:fill="auto"/>
        <w:autoSpaceDE w:val="0"/>
        <w:autoSpaceDN w:val="0"/>
        <w:adjustRightInd w:val="0"/>
        <w:jc w:val="both"/>
        <w:textAlignment w:val="baseline"/>
        <w:rPr>
          <w:rFonts w:hint="eastAsia" w:ascii="方正小标宋_GBK" w:hAnsi="方正小标宋_GBK" w:eastAsia="方正小标宋_GBK" w:cs="Times New Roman"/>
          <w:color w:val="000000"/>
          <w:kern w:val="2"/>
          <w:sz w:val="24"/>
          <w:szCs w:val="24"/>
          <w:lang w:val="en-US" w:eastAsia="zh-CN" w:bidi="ar-SA"/>
        </w:rPr>
      </w:pPr>
    </w:p>
    <w:p w14:paraId="50171F78">
      <w:pPr>
        <w:keepNext w:val="0"/>
        <w:keepLines w:val="0"/>
        <w:pageBreakBefore w:val="0"/>
        <w:widowControl w:val="0"/>
        <w:shd w:val="clear" w:color="auto" w:fill="auto"/>
        <w:kinsoku/>
        <w:wordWrap/>
        <w:overflowPunct/>
        <w:topLinePunct w:val="0"/>
        <w:autoSpaceDE w:val="0"/>
        <w:autoSpaceDN w:val="0"/>
        <w:bidi w:val="0"/>
        <w:adjustRightInd w:val="0"/>
        <w:snapToGrid/>
        <w:spacing w:line="580" w:lineRule="exact"/>
        <w:jc w:val="center"/>
        <w:textAlignment w:val="auto"/>
        <w:outlineLvl w:val="9"/>
        <w:rPr>
          <w:rFonts w:ascii="黑体" w:hAnsi="黑体" w:eastAsia="黑体" w:cs="黑体"/>
          <w:color w:val="000000"/>
          <w:sz w:val="32"/>
          <w:szCs w:val="32"/>
          <w:lang w:bidi="ar"/>
        </w:rPr>
      </w:pPr>
      <w:r>
        <w:rPr>
          <w:rFonts w:hint="eastAsia" w:ascii="黑体" w:hAnsi="黑体" w:eastAsia="黑体" w:cs="黑体"/>
          <w:color w:val="000000"/>
          <w:sz w:val="32"/>
          <w:szCs w:val="32"/>
          <w:lang w:bidi="ar"/>
        </w:rPr>
        <w:t>广西壮族自治区</w:t>
      </w:r>
      <w:r>
        <w:rPr>
          <w:rFonts w:hint="eastAsia" w:ascii="黑体" w:hAnsi="黑体" w:eastAsia="黑体" w:cs="黑体"/>
          <w:color w:val="000000"/>
          <w:sz w:val="32"/>
          <w:szCs w:val="32"/>
          <w:highlight w:val="none"/>
          <w:lang w:eastAsia="zh-CN" w:bidi="ar"/>
        </w:rPr>
        <w:t>生态</w:t>
      </w:r>
      <w:r>
        <w:rPr>
          <w:rFonts w:hint="eastAsia" w:ascii="黑体" w:hAnsi="黑体" w:eastAsia="黑体" w:cs="黑体"/>
          <w:color w:val="000000"/>
          <w:sz w:val="32"/>
          <w:szCs w:val="32"/>
          <w:highlight w:val="none"/>
          <w:lang w:bidi="ar"/>
        </w:rPr>
        <w:t>环境</w:t>
      </w:r>
      <w:r>
        <w:rPr>
          <w:rFonts w:hint="eastAsia" w:ascii="黑体" w:hAnsi="黑体" w:eastAsia="黑体" w:cs="黑体"/>
          <w:color w:val="000000"/>
          <w:sz w:val="32"/>
          <w:szCs w:val="32"/>
          <w:highlight w:val="none"/>
          <w:lang w:eastAsia="zh-CN" w:bidi="ar"/>
        </w:rPr>
        <w:t>管控</w:t>
      </w:r>
      <w:r>
        <w:rPr>
          <w:rFonts w:hint="eastAsia" w:ascii="黑体" w:hAnsi="黑体" w:eastAsia="黑体" w:cs="黑体"/>
          <w:color w:val="000000"/>
          <w:sz w:val="32"/>
          <w:szCs w:val="32"/>
          <w:highlight w:val="none"/>
          <w:lang w:bidi="ar"/>
        </w:rPr>
        <w:t>单元</w:t>
      </w:r>
      <w:r>
        <w:rPr>
          <w:rFonts w:hint="eastAsia" w:ascii="黑体" w:hAnsi="黑体" w:eastAsia="黑体" w:cs="黑体"/>
          <w:color w:val="000000"/>
          <w:sz w:val="32"/>
          <w:szCs w:val="32"/>
          <w:highlight w:val="none"/>
          <w:lang w:eastAsia="zh-CN" w:bidi="ar"/>
        </w:rPr>
        <w:t>更新</w:t>
      </w:r>
      <w:r>
        <w:rPr>
          <w:rFonts w:hint="eastAsia" w:ascii="黑体" w:hAnsi="黑体" w:eastAsia="黑体" w:cs="黑体"/>
          <w:color w:val="000000"/>
          <w:sz w:val="32"/>
          <w:szCs w:val="32"/>
          <w:lang w:eastAsia="zh-CN" w:bidi="ar"/>
        </w:rPr>
        <w:t>调整结果</w:t>
      </w:r>
      <w:r>
        <w:rPr>
          <w:rFonts w:hint="eastAsia" w:ascii="黑体" w:hAnsi="黑体" w:eastAsia="黑体" w:cs="黑体"/>
          <w:color w:val="000000"/>
          <w:sz w:val="32"/>
          <w:szCs w:val="32"/>
          <w:lang w:bidi="ar"/>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300"/>
        <w:gridCol w:w="1350"/>
        <w:gridCol w:w="1155"/>
        <w:gridCol w:w="1204"/>
        <w:gridCol w:w="1286"/>
        <w:gridCol w:w="1035"/>
        <w:gridCol w:w="980"/>
        <w:gridCol w:w="1157"/>
        <w:gridCol w:w="1050"/>
        <w:gridCol w:w="1408"/>
      </w:tblGrid>
      <w:tr w14:paraId="74FB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restart"/>
            <w:noWrap w:val="0"/>
            <w:vAlign w:val="center"/>
          </w:tcPr>
          <w:p w14:paraId="282764A4">
            <w:pPr>
              <w:shd w:val="clear" w:color="auto" w:fill="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单元类别</w:t>
            </w:r>
          </w:p>
        </w:tc>
        <w:tc>
          <w:tcPr>
            <w:tcW w:w="3805" w:type="dxa"/>
            <w:gridSpan w:val="3"/>
            <w:noWrap w:val="0"/>
            <w:vAlign w:val="center"/>
          </w:tcPr>
          <w:p w14:paraId="7A6B05E5">
            <w:pPr>
              <w:shd w:val="clear" w:color="auto" w:fill="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优先保护单元</w:t>
            </w:r>
            <w:r>
              <w:rPr>
                <w:rFonts w:hint="eastAsia" w:ascii="Times New Roman" w:hAnsi="Times New Roman" w:eastAsia="宋体" w:cs="Times New Roman"/>
                <w:b/>
                <w:bCs/>
                <w:sz w:val="28"/>
                <w:szCs w:val="28"/>
                <w:vertAlign w:val="superscript"/>
              </w:rPr>
              <w:t>1,4</w:t>
            </w:r>
          </w:p>
        </w:tc>
        <w:tc>
          <w:tcPr>
            <w:tcW w:w="3525" w:type="dxa"/>
            <w:gridSpan w:val="3"/>
            <w:noWrap w:val="0"/>
            <w:vAlign w:val="center"/>
          </w:tcPr>
          <w:p w14:paraId="0290F61D">
            <w:pPr>
              <w:shd w:val="clear" w:color="auto" w:fill="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重点管控单元</w:t>
            </w:r>
            <w:r>
              <w:rPr>
                <w:rFonts w:hint="eastAsia" w:ascii="Times New Roman" w:hAnsi="Times New Roman" w:eastAsia="宋体" w:cs="Times New Roman"/>
                <w:b/>
                <w:bCs/>
                <w:sz w:val="28"/>
                <w:szCs w:val="28"/>
                <w:vertAlign w:val="superscript"/>
              </w:rPr>
              <w:t>5</w:t>
            </w:r>
          </w:p>
        </w:tc>
        <w:tc>
          <w:tcPr>
            <w:tcW w:w="3187" w:type="dxa"/>
            <w:gridSpan w:val="3"/>
            <w:noWrap w:val="0"/>
            <w:vAlign w:val="center"/>
          </w:tcPr>
          <w:p w14:paraId="6471334D">
            <w:pPr>
              <w:shd w:val="clear" w:color="auto" w:fill="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一般管控单元</w:t>
            </w:r>
          </w:p>
        </w:tc>
        <w:tc>
          <w:tcPr>
            <w:tcW w:w="1408" w:type="dxa"/>
            <w:vMerge w:val="restart"/>
            <w:noWrap w:val="0"/>
            <w:vAlign w:val="center"/>
          </w:tcPr>
          <w:p w14:paraId="0952C316">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数量</w:t>
            </w:r>
            <w:r>
              <w:rPr>
                <w:rFonts w:hint="eastAsia" w:ascii="Times New Roman" w:hAnsi="Times New Roman" w:eastAsia="宋体" w:cs="Times New Roman"/>
                <w:b/>
                <w:bCs/>
                <w:sz w:val="28"/>
                <w:szCs w:val="28"/>
              </w:rPr>
              <w:t>总计</w:t>
            </w:r>
            <w:r>
              <w:rPr>
                <w:rFonts w:hint="eastAsia" w:ascii="Times New Roman" w:hAnsi="Times New Roman" w:eastAsia="宋体" w:cs="Times New Roman"/>
                <w:b/>
                <w:bCs/>
                <w:sz w:val="28"/>
                <w:szCs w:val="28"/>
                <w:lang w:eastAsia="zh-CN"/>
              </w:rPr>
              <w:t>（个）</w:t>
            </w:r>
          </w:p>
        </w:tc>
      </w:tr>
      <w:tr w14:paraId="5E94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noWrap w:val="0"/>
            <w:vAlign w:val="center"/>
          </w:tcPr>
          <w:p w14:paraId="58EA030C">
            <w:pPr>
              <w:shd w:val="clear" w:color="auto" w:fill="auto"/>
              <w:jc w:val="center"/>
              <w:rPr>
                <w:rFonts w:ascii="Times New Roman" w:hAnsi="Times New Roman" w:eastAsia="宋体" w:cs="Times New Roman"/>
                <w:b/>
                <w:bCs/>
                <w:sz w:val="28"/>
                <w:szCs w:val="28"/>
              </w:rPr>
            </w:pPr>
          </w:p>
        </w:tc>
        <w:tc>
          <w:tcPr>
            <w:tcW w:w="1300" w:type="dxa"/>
            <w:noWrap w:val="0"/>
            <w:vAlign w:val="center"/>
          </w:tcPr>
          <w:p w14:paraId="7D1A2058">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数量（个）</w:t>
            </w:r>
          </w:p>
        </w:tc>
        <w:tc>
          <w:tcPr>
            <w:tcW w:w="1350" w:type="dxa"/>
            <w:noWrap w:val="0"/>
            <w:vAlign w:val="center"/>
          </w:tcPr>
          <w:p w14:paraId="06652EC8">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面积</w:t>
            </w:r>
          </w:p>
          <w:p w14:paraId="45C589C0">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（km</w:t>
            </w:r>
            <w:r>
              <w:rPr>
                <w:rFonts w:hint="eastAsia" w:ascii="Times New Roman" w:hAnsi="Times New Roman" w:eastAsia="宋体" w:cs="Times New Roman"/>
                <w:b/>
                <w:bCs/>
                <w:sz w:val="28"/>
                <w:szCs w:val="28"/>
                <w:vertAlign w:val="superscript"/>
              </w:rPr>
              <w:t>2</w:t>
            </w:r>
            <w:r>
              <w:rPr>
                <w:rFonts w:hint="eastAsia" w:ascii="Times New Roman" w:hAnsi="Times New Roman" w:eastAsia="宋体" w:cs="Times New Roman"/>
                <w:b/>
                <w:bCs/>
                <w:sz w:val="28"/>
                <w:szCs w:val="28"/>
              </w:rPr>
              <w:t>）</w:t>
            </w:r>
          </w:p>
        </w:tc>
        <w:tc>
          <w:tcPr>
            <w:tcW w:w="1155" w:type="dxa"/>
            <w:noWrap w:val="0"/>
            <w:vAlign w:val="center"/>
          </w:tcPr>
          <w:p w14:paraId="7DAF477C">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占比</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lang w:val="en-US" w:eastAsia="zh-CN"/>
              </w:rPr>
              <w:t>）</w:t>
            </w:r>
          </w:p>
        </w:tc>
        <w:tc>
          <w:tcPr>
            <w:tcW w:w="1204" w:type="dxa"/>
            <w:noWrap w:val="0"/>
            <w:vAlign w:val="center"/>
          </w:tcPr>
          <w:p w14:paraId="12F2B3A9">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数量（个）</w:t>
            </w:r>
          </w:p>
        </w:tc>
        <w:tc>
          <w:tcPr>
            <w:tcW w:w="1286" w:type="dxa"/>
            <w:noWrap w:val="0"/>
            <w:vAlign w:val="center"/>
          </w:tcPr>
          <w:p w14:paraId="57809421">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面积</w:t>
            </w:r>
          </w:p>
          <w:p w14:paraId="66EA3A36">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（km</w:t>
            </w:r>
            <w:r>
              <w:rPr>
                <w:rFonts w:hint="eastAsia" w:ascii="Times New Roman" w:hAnsi="Times New Roman" w:eastAsia="宋体" w:cs="Times New Roman"/>
                <w:b/>
                <w:bCs/>
                <w:sz w:val="28"/>
                <w:szCs w:val="28"/>
                <w:vertAlign w:val="superscript"/>
              </w:rPr>
              <w:t>2</w:t>
            </w:r>
            <w:r>
              <w:rPr>
                <w:rFonts w:hint="eastAsia" w:ascii="Times New Roman" w:hAnsi="Times New Roman" w:eastAsia="宋体" w:cs="Times New Roman"/>
                <w:b/>
                <w:bCs/>
                <w:sz w:val="28"/>
                <w:szCs w:val="28"/>
              </w:rPr>
              <w:t>）</w:t>
            </w:r>
          </w:p>
        </w:tc>
        <w:tc>
          <w:tcPr>
            <w:tcW w:w="1035" w:type="dxa"/>
            <w:noWrap w:val="0"/>
            <w:vAlign w:val="center"/>
          </w:tcPr>
          <w:p w14:paraId="0BFCA5CE">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占比</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lang w:val="en-US" w:eastAsia="zh-CN"/>
              </w:rPr>
              <w:t>）</w:t>
            </w:r>
          </w:p>
        </w:tc>
        <w:tc>
          <w:tcPr>
            <w:tcW w:w="980" w:type="dxa"/>
            <w:noWrap w:val="0"/>
            <w:vAlign w:val="center"/>
          </w:tcPr>
          <w:p w14:paraId="0AC8D75A">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数量（个）</w:t>
            </w:r>
          </w:p>
        </w:tc>
        <w:tc>
          <w:tcPr>
            <w:tcW w:w="1157" w:type="dxa"/>
            <w:noWrap w:val="0"/>
            <w:vAlign w:val="center"/>
          </w:tcPr>
          <w:p w14:paraId="2ACA2476">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面积</w:t>
            </w:r>
          </w:p>
          <w:p w14:paraId="066DA95D">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（km</w:t>
            </w:r>
            <w:r>
              <w:rPr>
                <w:rFonts w:hint="eastAsia" w:ascii="Times New Roman" w:hAnsi="Times New Roman" w:eastAsia="宋体" w:cs="Times New Roman"/>
                <w:b/>
                <w:bCs/>
                <w:sz w:val="28"/>
                <w:szCs w:val="28"/>
                <w:vertAlign w:val="superscript"/>
              </w:rPr>
              <w:t>2</w:t>
            </w:r>
            <w:r>
              <w:rPr>
                <w:rFonts w:hint="eastAsia" w:ascii="Times New Roman" w:hAnsi="Times New Roman" w:eastAsia="宋体" w:cs="Times New Roman"/>
                <w:b/>
                <w:bCs/>
                <w:sz w:val="28"/>
                <w:szCs w:val="28"/>
              </w:rPr>
              <w:t>）</w:t>
            </w:r>
          </w:p>
        </w:tc>
        <w:tc>
          <w:tcPr>
            <w:tcW w:w="1050" w:type="dxa"/>
            <w:noWrap w:val="0"/>
            <w:vAlign w:val="center"/>
          </w:tcPr>
          <w:p w14:paraId="42D27D0D">
            <w:pPr>
              <w:keepNext w:val="0"/>
              <w:keepLines w:val="0"/>
              <w:pageBreakBefore w:val="0"/>
              <w:widowControl w:val="0"/>
              <w:shd w:val="clear" w:color="auto" w:fill="auto"/>
              <w:kinsoku/>
              <w:wordWrap/>
              <w:overflowPunct/>
              <w:topLinePunct w:val="0"/>
              <w:autoSpaceDE/>
              <w:autoSpaceDN/>
              <w:bidi w:val="0"/>
              <w:adjustRightInd w:val="0"/>
              <w:snapToGrid w:val="0"/>
              <w:jc w:val="center"/>
              <w:textAlignment w:val="auto"/>
              <w:rPr>
                <w:rFonts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占比</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lang w:val="en-US" w:eastAsia="zh-CN"/>
              </w:rPr>
              <w:t>）</w:t>
            </w:r>
          </w:p>
        </w:tc>
        <w:tc>
          <w:tcPr>
            <w:tcW w:w="1408" w:type="dxa"/>
            <w:vMerge w:val="continue"/>
            <w:noWrap w:val="0"/>
            <w:vAlign w:val="center"/>
          </w:tcPr>
          <w:p w14:paraId="4A2E127E">
            <w:pPr>
              <w:shd w:val="clear" w:color="auto" w:fill="auto"/>
              <w:jc w:val="center"/>
              <w:rPr>
                <w:rFonts w:ascii="Times New Roman" w:hAnsi="Times New Roman" w:eastAsia="宋体" w:cs="Times New Roman"/>
                <w:b/>
                <w:bCs/>
                <w:sz w:val="28"/>
                <w:szCs w:val="28"/>
              </w:rPr>
            </w:pPr>
          </w:p>
        </w:tc>
      </w:tr>
      <w:tr w14:paraId="0AC7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noWrap w:val="0"/>
            <w:vAlign w:val="center"/>
          </w:tcPr>
          <w:p w14:paraId="68FFCFCB">
            <w:pPr>
              <w:shd w:val="clear" w:color="auto" w:fill="auto"/>
              <w:jc w:val="center"/>
              <w:rPr>
                <w:rFonts w:ascii="Times New Roman" w:hAnsi="Times New Roman" w:eastAsia="宋体" w:cs="Times New Roman"/>
                <w:sz w:val="28"/>
                <w:szCs w:val="28"/>
              </w:rPr>
            </w:pPr>
            <w:r>
              <w:rPr>
                <w:rFonts w:ascii="Times New Roman" w:hAnsi="Times New Roman" w:eastAsia="宋体" w:cs="Times New Roman"/>
                <w:sz w:val="28"/>
                <w:szCs w:val="28"/>
              </w:rPr>
              <w:t>陆域</w:t>
            </w:r>
          </w:p>
        </w:tc>
        <w:tc>
          <w:tcPr>
            <w:tcW w:w="1300" w:type="dxa"/>
            <w:noWrap w:val="0"/>
            <w:vAlign w:val="center"/>
          </w:tcPr>
          <w:p w14:paraId="0294A983">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831</w:t>
            </w:r>
          </w:p>
        </w:tc>
        <w:tc>
          <w:tcPr>
            <w:tcW w:w="1350" w:type="dxa"/>
            <w:noWrap w:val="0"/>
            <w:vAlign w:val="center"/>
          </w:tcPr>
          <w:p w14:paraId="39F1420D">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113302</w:t>
            </w:r>
          </w:p>
        </w:tc>
        <w:tc>
          <w:tcPr>
            <w:tcW w:w="1155" w:type="dxa"/>
            <w:noWrap w:val="0"/>
            <w:vAlign w:val="center"/>
          </w:tcPr>
          <w:p w14:paraId="41317B03">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47.86</w:t>
            </w:r>
          </w:p>
        </w:tc>
        <w:tc>
          <w:tcPr>
            <w:tcW w:w="1204" w:type="dxa"/>
            <w:noWrap w:val="0"/>
            <w:vAlign w:val="center"/>
          </w:tcPr>
          <w:p w14:paraId="48636A9D">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519</w:t>
            </w:r>
          </w:p>
        </w:tc>
        <w:tc>
          <w:tcPr>
            <w:tcW w:w="1286" w:type="dxa"/>
            <w:noWrap w:val="0"/>
            <w:vAlign w:val="center"/>
          </w:tcPr>
          <w:p w14:paraId="25E71CE5">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4763</w:t>
            </w:r>
            <w:r>
              <w:rPr>
                <w:rFonts w:hint="eastAsia" w:ascii="Times New Roman" w:hAnsi="Times New Roman" w:eastAsia="宋体" w:cs="Times New Roman"/>
                <w:sz w:val="28"/>
                <w:szCs w:val="28"/>
                <w:lang w:val="en-US" w:eastAsia="zh-CN"/>
              </w:rPr>
              <w:t>1</w:t>
            </w:r>
          </w:p>
        </w:tc>
        <w:tc>
          <w:tcPr>
            <w:tcW w:w="1035" w:type="dxa"/>
            <w:noWrap w:val="0"/>
            <w:vAlign w:val="center"/>
          </w:tcPr>
          <w:p w14:paraId="12181FBA">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20.12</w:t>
            </w:r>
          </w:p>
        </w:tc>
        <w:tc>
          <w:tcPr>
            <w:tcW w:w="980" w:type="dxa"/>
            <w:noWrap w:val="0"/>
            <w:vAlign w:val="center"/>
          </w:tcPr>
          <w:p w14:paraId="767E8B0D">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111</w:t>
            </w:r>
          </w:p>
        </w:tc>
        <w:tc>
          <w:tcPr>
            <w:tcW w:w="1157" w:type="dxa"/>
            <w:noWrap w:val="0"/>
            <w:vAlign w:val="center"/>
          </w:tcPr>
          <w:p w14:paraId="54CB5521">
            <w:pPr>
              <w:shd w:val="clear" w:color="auto" w:fill="auto"/>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7579</w:t>
            </w:r>
            <w:r>
              <w:rPr>
                <w:rFonts w:hint="eastAsia" w:ascii="Times New Roman" w:hAnsi="Times New Roman" w:eastAsia="宋体" w:cs="Times New Roman"/>
                <w:sz w:val="28"/>
                <w:szCs w:val="28"/>
                <w:lang w:val="en-US" w:eastAsia="zh-CN"/>
              </w:rPr>
              <w:t>7</w:t>
            </w:r>
          </w:p>
        </w:tc>
        <w:tc>
          <w:tcPr>
            <w:tcW w:w="1050" w:type="dxa"/>
            <w:noWrap w:val="0"/>
            <w:vAlign w:val="center"/>
          </w:tcPr>
          <w:p w14:paraId="5D1FDC2A">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32.02</w:t>
            </w:r>
          </w:p>
        </w:tc>
        <w:tc>
          <w:tcPr>
            <w:tcW w:w="1408" w:type="dxa"/>
            <w:noWrap w:val="0"/>
            <w:vAlign w:val="center"/>
          </w:tcPr>
          <w:p w14:paraId="6E4F339B">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1461</w:t>
            </w:r>
          </w:p>
        </w:tc>
      </w:tr>
      <w:tr w14:paraId="09C2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noWrap w:val="0"/>
            <w:vAlign w:val="center"/>
          </w:tcPr>
          <w:p w14:paraId="34A4936B">
            <w:pPr>
              <w:shd w:val="clear" w:color="auto" w:fill="auto"/>
              <w:jc w:val="center"/>
              <w:rPr>
                <w:rFonts w:ascii="Times New Roman" w:hAnsi="Times New Roman" w:eastAsia="宋体" w:cs="Times New Roman"/>
                <w:sz w:val="28"/>
                <w:szCs w:val="28"/>
              </w:rPr>
            </w:pPr>
            <w:r>
              <w:rPr>
                <w:rFonts w:ascii="Times New Roman" w:hAnsi="Times New Roman" w:eastAsia="宋体" w:cs="Times New Roman"/>
                <w:sz w:val="28"/>
                <w:szCs w:val="28"/>
              </w:rPr>
              <w:t>近岸海域</w:t>
            </w:r>
          </w:p>
        </w:tc>
        <w:tc>
          <w:tcPr>
            <w:tcW w:w="1300" w:type="dxa"/>
            <w:noWrap w:val="0"/>
            <w:vAlign w:val="center"/>
          </w:tcPr>
          <w:p w14:paraId="67286A26">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101</w:t>
            </w:r>
          </w:p>
        </w:tc>
        <w:tc>
          <w:tcPr>
            <w:tcW w:w="1350" w:type="dxa"/>
            <w:noWrap w:val="0"/>
            <w:vAlign w:val="center"/>
          </w:tcPr>
          <w:p w14:paraId="7BFBBC20">
            <w:pPr>
              <w:shd w:val="clear" w:color="auto" w:fill="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1711</w:t>
            </w:r>
          </w:p>
        </w:tc>
        <w:tc>
          <w:tcPr>
            <w:tcW w:w="1155" w:type="dxa"/>
            <w:noWrap w:val="0"/>
            <w:vAlign w:val="center"/>
          </w:tcPr>
          <w:p w14:paraId="55799B2C">
            <w:pPr>
              <w:shd w:val="clear" w:color="auto" w:fill="auto"/>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12.6</w:t>
            </w:r>
            <w:r>
              <w:rPr>
                <w:rFonts w:hint="eastAsia" w:ascii="Times New Roman" w:hAnsi="Times New Roman" w:cs="Times New Roman"/>
                <w:sz w:val="28"/>
                <w:szCs w:val="28"/>
                <w:lang w:val="en-US" w:eastAsia="zh-CN"/>
              </w:rPr>
              <w:t>7</w:t>
            </w:r>
          </w:p>
        </w:tc>
        <w:tc>
          <w:tcPr>
            <w:tcW w:w="1204" w:type="dxa"/>
            <w:noWrap w:val="0"/>
            <w:vAlign w:val="center"/>
          </w:tcPr>
          <w:p w14:paraId="737F334B">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72</w:t>
            </w:r>
          </w:p>
        </w:tc>
        <w:tc>
          <w:tcPr>
            <w:tcW w:w="1286" w:type="dxa"/>
            <w:noWrap w:val="0"/>
            <w:vAlign w:val="center"/>
          </w:tcPr>
          <w:p w14:paraId="4BA746A8">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757</w:t>
            </w:r>
          </w:p>
        </w:tc>
        <w:tc>
          <w:tcPr>
            <w:tcW w:w="1035" w:type="dxa"/>
            <w:noWrap w:val="0"/>
            <w:vAlign w:val="center"/>
          </w:tcPr>
          <w:p w14:paraId="78306ED6">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5.60</w:t>
            </w:r>
          </w:p>
        </w:tc>
        <w:tc>
          <w:tcPr>
            <w:tcW w:w="980" w:type="dxa"/>
            <w:noWrap w:val="0"/>
            <w:vAlign w:val="center"/>
          </w:tcPr>
          <w:p w14:paraId="7A663054">
            <w:pPr>
              <w:shd w:val="clear" w:color="auto" w:fill="auto"/>
              <w:jc w:val="center"/>
              <w:rPr>
                <w:rFonts w:ascii="Times New Roman" w:hAnsi="Times New Roman" w:eastAsia="宋体" w:cs="Times New Roman"/>
                <w:sz w:val="28"/>
                <w:szCs w:val="28"/>
              </w:rPr>
            </w:pPr>
            <w:r>
              <w:rPr>
                <w:rFonts w:ascii="Times New Roman" w:hAnsi="Times New Roman" w:eastAsia="宋体" w:cs="Times New Roman"/>
                <w:sz w:val="28"/>
                <w:szCs w:val="28"/>
              </w:rPr>
              <w:t>39</w:t>
            </w:r>
          </w:p>
        </w:tc>
        <w:tc>
          <w:tcPr>
            <w:tcW w:w="1157" w:type="dxa"/>
            <w:noWrap w:val="0"/>
            <w:vAlign w:val="center"/>
          </w:tcPr>
          <w:p w14:paraId="4DA19D4B">
            <w:pPr>
              <w:shd w:val="clear" w:color="auto" w:fill="auto"/>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1104</w:t>
            </w:r>
            <w:r>
              <w:rPr>
                <w:rFonts w:hint="eastAsia" w:ascii="Times New Roman" w:hAnsi="Times New Roman" w:eastAsia="宋体" w:cs="Times New Roman"/>
                <w:sz w:val="28"/>
                <w:szCs w:val="28"/>
                <w:lang w:val="en-US" w:eastAsia="zh-CN"/>
              </w:rPr>
              <w:t>3</w:t>
            </w:r>
          </w:p>
        </w:tc>
        <w:tc>
          <w:tcPr>
            <w:tcW w:w="1050" w:type="dxa"/>
            <w:noWrap w:val="0"/>
            <w:vAlign w:val="center"/>
          </w:tcPr>
          <w:p w14:paraId="45DE3910">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81.73</w:t>
            </w:r>
          </w:p>
        </w:tc>
        <w:tc>
          <w:tcPr>
            <w:tcW w:w="1408" w:type="dxa"/>
            <w:noWrap w:val="0"/>
            <w:vAlign w:val="center"/>
          </w:tcPr>
          <w:p w14:paraId="0C6B49D5">
            <w:pPr>
              <w:shd w:val="clear" w:color="auto" w:fill="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212</w:t>
            </w:r>
          </w:p>
        </w:tc>
      </w:tr>
      <w:tr w14:paraId="56F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noWrap w:val="0"/>
            <w:vAlign w:val="center"/>
          </w:tcPr>
          <w:p w14:paraId="282ADBDC">
            <w:pPr>
              <w:shd w:val="clear" w:color="auto" w:fill="auto"/>
              <w:jc w:val="center"/>
              <w:rPr>
                <w:rFonts w:ascii="Times New Roman" w:hAnsi="Times New Roman" w:eastAsia="宋体" w:cs="Times New Roman"/>
                <w:sz w:val="28"/>
                <w:szCs w:val="28"/>
              </w:rPr>
            </w:pPr>
            <w:r>
              <w:rPr>
                <w:rFonts w:ascii="Times New Roman" w:hAnsi="Times New Roman" w:eastAsia="宋体" w:cs="Times New Roman"/>
                <w:sz w:val="28"/>
                <w:szCs w:val="28"/>
              </w:rPr>
              <w:t>合计</w:t>
            </w:r>
          </w:p>
        </w:tc>
        <w:tc>
          <w:tcPr>
            <w:tcW w:w="1300" w:type="dxa"/>
            <w:noWrap w:val="0"/>
            <w:vAlign w:val="center"/>
          </w:tcPr>
          <w:p w14:paraId="254A160C">
            <w:pPr>
              <w:shd w:val="clear" w:color="auto" w:fill="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9</w:t>
            </w:r>
            <w:r>
              <w:rPr>
                <w:rFonts w:hint="eastAsia" w:ascii="Times New Roman" w:hAnsi="Times New Roman" w:eastAsia="宋体" w:cs="Times New Roman"/>
                <w:sz w:val="28"/>
                <w:szCs w:val="28"/>
                <w:lang w:val="en-US" w:eastAsia="zh-CN"/>
              </w:rPr>
              <w:t>32</w:t>
            </w:r>
          </w:p>
        </w:tc>
        <w:tc>
          <w:tcPr>
            <w:tcW w:w="1350" w:type="dxa"/>
            <w:noWrap w:val="0"/>
            <w:vAlign w:val="center"/>
          </w:tcPr>
          <w:p w14:paraId="3826DB22">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1155" w:type="dxa"/>
            <w:noWrap w:val="0"/>
            <w:vAlign w:val="center"/>
          </w:tcPr>
          <w:p w14:paraId="44FEF7E5">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1204" w:type="dxa"/>
            <w:noWrap w:val="0"/>
            <w:vAlign w:val="center"/>
          </w:tcPr>
          <w:p w14:paraId="13AD74BA">
            <w:pPr>
              <w:shd w:val="clear" w:color="auto" w:fill="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591</w:t>
            </w:r>
          </w:p>
        </w:tc>
        <w:tc>
          <w:tcPr>
            <w:tcW w:w="1286" w:type="dxa"/>
            <w:noWrap w:val="0"/>
            <w:vAlign w:val="center"/>
          </w:tcPr>
          <w:p w14:paraId="73AAE7CB">
            <w:pPr>
              <w:shd w:val="clear" w:color="auto" w:fill="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1035" w:type="dxa"/>
            <w:noWrap w:val="0"/>
            <w:vAlign w:val="center"/>
          </w:tcPr>
          <w:p w14:paraId="0D48305E">
            <w:pPr>
              <w:shd w:val="clear" w:color="auto" w:fill="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980" w:type="dxa"/>
            <w:noWrap w:val="0"/>
            <w:vAlign w:val="center"/>
          </w:tcPr>
          <w:p w14:paraId="27559555">
            <w:pPr>
              <w:shd w:val="clear" w:color="auto" w:fill="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50</w:t>
            </w:r>
          </w:p>
        </w:tc>
        <w:tc>
          <w:tcPr>
            <w:tcW w:w="1157" w:type="dxa"/>
            <w:noWrap w:val="0"/>
            <w:vAlign w:val="center"/>
          </w:tcPr>
          <w:p w14:paraId="30D0237A">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1050" w:type="dxa"/>
            <w:noWrap w:val="0"/>
            <w:vAlign w:val="center"/>
          </w:tcPr>
          <w:p w14:paraId="6C49132D">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p>
        </w:tc>
        <w:tc>
          <w:tcPr>
            <w:tcW w:w="1408" w:type="dxa"/>
            <w:noWrap w:val="0"/>
            <w:vAlign w:val="center"/>
          </w:tcPr>
          <w:p w14:paraId="1B3610C3">
            <w:pPr>
              <w:shd w:val="clear" w:color="auto" w:fill="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16</w:t>
            </w:r>
            <w:r>
              <w:rPr>
                <w:rFonts w:hint="eastAsia" w:ascii="Times New Roman" w:hAnsi="Times New Roman" w:eastAsia="宋体" w:cs="Times New Roman"/>
                <w:sz w:val="28"/>
                <w:szCs w:val="28"/>
                <w:lang w:val="en-US" w:eastAsia="zh-CN"/>
              </w:rPr>
              <w:t>73</w:t>
            </w:r>
          </w:p>
        </w:tc>
      </w:tr>
    </w:tbl>
    <w:p w14:paraId="764FF505">
      <w:pPr>
        <w:shd w:val="clear" w:color="auto" w:fill="auto"/>
      </w:pPr>
    </w:p>
    <w:p w14:paraId="530FF3CA">
      <w:pPr>
        <w:widowControl w:val="0"/>
        <w:shd w:val="clear" w:color="auto" w:fill="auto"/>
        <w:snapToGrid w:val="0"/>
        <w:jc w:val="left"/>
        <w:rPr>
          <w:rFonts w:hint="default" w:ascii="Times New Roman" w:hAnsi="Times New Roman" w:eastAsia="楷体" w:cs="Times New Roman"/>
          <w:b/>
          <w:bCs/>
          <w:color w:val="auto"/>
          <w:kern w:val="2"/>
          <w:sz w:val="24"/>
          <w:szCs w:val="24"/>
          <w:highlight w:val="none"/>
          <w:lang w:val="en-US" w:eastAsia="zh-CN" w:bidi="ar-SA"/>
        </w:rPr>
      </w:pPr>
      <w:r>
        <w:rPr>
          <w:rFonts w:hint="default" w:ascii="Times New Roman" w:hAnsi="Times New Roman" w:eastAsia="楷体" w:cs="Times New Roman"/>
          <w:b/>
          <w:bCs/>
          <w:color w:val="auto"/>
          <w:kern w:val="2"/>
          <w:sz w:val="24"/>
          <w:szCs w:val="24"/>
          <w:highlight w:val="none"/>
          <w:lang w:val="en-US" w:eastAsia="zh-CN" w:bidi="ar-SA"/>
        </w:rPr>
        <w:t>注释：</w:t>
      </w:r>
    </w:p>
    <w:p w14:paraId="1E14BB12">
      <w:pPr>
        <w:widowControl w:val="0"/>
        <w:shd w:val="clear" w:color="auto" w:fill="auto"/>
        <w:snapToGrid w:val="0"/>
        <w:jc w:val="left"/>
        <w:rPr>
          <w:rFonts w:hint="eastAsia"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1.全区生态保护红线采用</w:t>
      </w:r>
      <w:r>
        <w:rPr>
          <w:rFonts w:hint="eastAsia" w:ascii="Times New Roman" w:hAnsi="Times New Roman" w:eastAsia="楷体" w:cs="Times New Roman"/>
          <w:color w:val="auto"/>
          <w:kern w:val="2"/>
          <w:sz w:val="24"/>
          <w:szCs w:val="24"/>
          <w:highlight w:val="none"/>
          <w:lang w:val="en-US" w:eastAsia="zh-CN" w:bidi="ar-SA"/>
        </w:rPr>
        <w:t>《自然资源部办公厅关于北京等省（区、市）启用“三区三线”划定成果作为报批建设项目用地用海依据的函》（自然资办函〔2022〕2207 号）批复启用的数据。今后如生态保护红线范围及管控要求发生变化，则相关内容随即自动更新调整；一般生态空间与生态保护红线、各类法定保护地、国土空间规划等进行衔接更新调整。</w:t>
      </w:r>
    </w:p>
    <w:p w14:paraId="346BF560">
      <w:pPr>
        <w:widowControl w:val="0"/>
        <w:shd w:val="clear" w:color="auto" w:fill="auto"/>
        <w:snapToGrid w:val="0"/>
        <w:jc w:val="left"/>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2.环境质量底线2025</w:t>
      </w:r>
      <w:r>
        <w:rPr>
          <w:rFonts w:hint="eastAsia" w:ascii="Times New Roman" w:hAnsi="Times New Roman" w:eastAsia="楷体" w:cs="Times New Roman"/>
          <w:color w:val="auto"/>
          <w:kern w:val="2"/>
          <w:sz w:val="24"/>
          <w:szCs w:val="24"/>
          <w:highlight w:val="none"/>
          <w:lang w:val="en-US" w:eastAsia="zh-CN" w:bidi="ar-SA"/>
        </w:rPr>
        <w:t xml:space="preserve"> </w:t>
      </w:r>
      <w:r>
        <w:rPr>
          <w:rFonts w:hint="default" w:ascii="Times New Roman" w:hAnsi="Times New Roman" w:eastAsia="楷体" w:cs="Times New Roman"/>
          <w:color w:val="auto"/>
          <w:kern w:val="2"/>
          <w:sz w:val="24"/>
          <w:szCs w:val="24"/>
          <w:highlight w:val="none"/>
          <w:lang w:val="en-US" w:eastAsia="zh-CN" w:bidi="ar-SA"/>
        </w:rPr>
        <w:t>年国家地表水考核断面水质优良率（Ⅲ类及以上）达到9</w:t>
      </w:r>
      <w:r>
        <w:rPr>
          <w:rFonts w:hint="eastAsia" w:ascii="Times New Roman" w:hAnsi="Times New Roman" w:eastAsia="楷体" w:cs="Times New Roman"/>
          <w:color w:val="auto"/>
          <w:kern w:val="2"/>
          <w:sz w:val="24"/>
          <w:szCs w:val="24"/>
          <w:highlight w:val="none"/>
          <w:lang w:val="en-US" w:eastAsia="zh-CN" w:bidi="ar-SA"/>
        </w:rPr>
        <w:t xml:space="preserve">8.2 </w:t>
      </w:r>
      <w:r>
        <w:rPr>
          <w:rFonts w:hint="default" w:ascii="Times New Roman" w:hAnsi="Times New Roman" w:eastAsia="楷体" w:cs="Times New Roman"/>
          <w:color w:val="auto"/>
          <w:kern w:val="2"/>
          <w:sz w:val="24"/>
          <w:szCs w:val="24"/>
          <w:highlight w:val="none"/>
          <w:lang w:val="en-US" w:eastAsia="zh-CN" w:bidi="ar-SA"/>
        </w:rPr>
        <w:t>%，近岸海域优良（一、二类）水质面积比例</w:t>
      </w:r>
      <w:r>
        <w:rPr>
          <w:rFonts w:hint="eastAsia" w:ascii="Times New Roman" w:hAnsi="Times New Roman" w:eastAsia="楷体" w:cs="Times New Roman"/>
          <w:color w:val="auto"/>
          <w:kern w:val="2"/>
          <w:sz w:val="24"/>
          <w:szCs w:val="24"/>
          <w:highlight w:val="none"/>
          <w:lang w:val="en-US" w:eastAsia="zh-CN" w:bidi="ar-SA"/>
        </w:rPr>
        <w:t>达</w:t>
      </w:r>
      <w:r>
        <w:rPr>
          <w:rFonts w:hint="default" w:ascii="Times New Roman" w:hAnsi="Times New Roman" w:eastAsia="楷体" w:cs="Times New Roman"/>
          <w:color w:val="auto"/>
          <w:kern w:val="2"/>
          <w:sz w:val="24"/>
          <w:szCs w:val="24"/>
          <w:highlight w:val="none"/>
          <w:lang w:val="en-US" w:eastAsia="zh-CN" w:bidi="ar-SA"/>
        </w:rPr>
        <w:t>93.0</w:t>
      </w:r>
      <w:r>
        <w:rPr>
          <w:rFonts w:hint="eastAsia" w:ascii="Times New Roman" w:hAnsi="Times New Roman" w:eastAsia="楷体" w:cs="Times New Roman"/>
          <w:color w:val="auto"/>
          <w:kern w:val="2"/>
          <w:sz w:val="24"/>
          <w:szCs w:val="24"/>
          <w:highlight w:val="none"/>
          <w:lang w:val="en-US" w:eastAsia="zh-CN" w:bidi="ar-SA"/>
        </w:rPr>
        <w:t xml:space="preserve"> </w:t>
      </w:r>
      <w:r>
        <w:rPr>
          <w:rFonts w:hint="default" w:ascii="Times New Roman" w:hAnsi="Times New Roman" w:eastAsia="楷体" w:cs="Times New Roman"/>
          <w:color w:val="auto"/>
          <w:kern w:val="2"/>
          <w:sz w:val="24"/>
          <w:szCs w:val="24"/>
          <w:highlight w:val="none"/>
          <w:lang w:val="en-US" w:eastAsia="zh-CN" w:bidi="ar-SA"/>
        </w:rPr>
        <w:t>%</w:t>
      </w:r>
      <w:r>
        <w:rPr>
          <w:rFonts w:hint="eastAsia" w:ascii="Times New Roman" w:hAnsi="Times New Roman" w:eastAsia="楷体" w:cs="Times New Roman"/>
          <w:color w:val="auto"/>
          <w:kern w:val="2"/>
          <w:sz w:val="24"/>
          <w:szCs w:val="24"/>
          <w:highlight w:val="none"/>
          <w:lang w:val="en-US" w:eastAsia="zh-CN" w:bidi="ar-SA"/>
        </w:rPr>
        <w:t>，</w:t>
      </w:r>
      <w:r>
        <w:rPr>
          <w:rFonts w:hint="default" w:ascii="Times New Roman" w:hAnsi="Times New Roman" w:eastAsia="楷体" w:cs="Times New Roman"/>
          <w:color w:val="auto"/>
          <w:kern w:val="2"/>
          <w:sz w:val="24"/>
          <w:szCs w:val="24"/>
          <w:highlight w:val="none"/>
          <w:lang w:val="en-US" w:eastAsia="zh-CN" w:bidi="ar-SA"/>
        </w:rPr>
        <w:t>细颗粒物（PM</w:t>
      </w:r>
      <w:r>
        <w:rPr>
          <w:rFonts w:hint="default" w:ascii="Times New Roman" w:hAnsi="Times New Roman" w:eastAsia="楷体" w:cs="Times New Roman"/>
          <w:color w:val="auto"/>
          <w:kern w:val="2"/>
          <w:sz w:val="24"/>
          <w:szCs w:val="24"/>
          <w:highlight w:val="none"/>
          <w:vertAlign w:val="subscript"/>
          <w:lang w:val="en-US" w:eastAsia="zh-CN" w:bidi="ar-SA"/>
        </w:rPr>
        <w:t>2.5</w:t>
      </w:r>
      <w:r>
        <w:rPr>
          <w:rFonts w:hint="default" w:ascii="Times New Roman" w:hAnsi="Times New Roman" w:eastAsia="楷体" w:cs="Times New Roman"/>
          <w:color w:val="auto"/>
          <w:kern w:val="2"/>
          <w:sz w:val="24"/>
          <w:szCs w:val="24"/>
          <w:highlight w:val="none"/>
          <w:lang w:val="en-US" w:eastAsia="zh-CN" w:bidi="ar-SA"/>
        </w:rPr>
        <w:t>）平均浓度达到</w:t>
      </w:r>
      <w:r>
        <w:rPr>
          <w:rFonts w:hint="eastAsia" w:ascii="Times New Roman" w:hAnsi="Times New Roman" w:eastAsia="楷体" w:cs="Times New Roman"/>
          <w:color w:val="auto"/>
          <w:kern w:val="2"/>
          <w:sz w:val="24"/>
          <w:szCs w:val="24"/>
          <w:highlight w:val="none"/>
          <w:lang w:val="en-US" w:eastAsia="zh-CN" w:bidi="ar-SA"/>
        </w:rPr>
        <w:t xml:space="preserve">26.5 </w:t>
      </w:r>
      <w:r>
        <w:rPr>
          <w:rFonts w:hint="default" w:ascii="Times New Roman" w:hAnsi="Times New Roman" w:eastAsia="楷体" w:cs="Times New Roman"/>
          <w:color w:val="auto"/>
          <w:kern w:val="2"/>
          <w:sz w:val="24"/>
          <w:szCs w:val="24"/>
          <w:highlight w:val="none"/>
          <w:lang w:val="en-US" w:eastAsia="zh-CN" w:bidi="ar-SA"/>
        </w:rPr>
        <w:t>微克/立方米，环境质量底线以国家最终下达或调整目标为准。</w:t>
      </w:r>
    </w:p>
    <w:p w14:paraId="3342629F">
      <w:pPr>
        <w:widowControl w:val="0"/>
        <w:shd w:val="clear" w:color="auto" w:fill="auto"/>
        <w:snapToGrid w:val="0"/>
        <w:jc w:val="left"/>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3.资源利用上线涉及的水资源（用水总量、万元地区GDP用水量降幅、万元工业增加值用水量降幅、农田灌溉水有效利用系数）、土地资源（耕地保有量、永久基本农田保护目标、建设用地总规模、城乡建设用地规模）、岸线资源（海洋岸线自然岸线保有率）、能源消耗（总量和强度双控目标）等达到或优于国家、自治区下达的控制目标要求。</w:t>
      </w:r>
    </w:p>
    <w:p w14:paraId="34852BD9">
      <w:pPr>
        <w:widowControl w:val="0"/>
        <w:shd w:val="clear" w:color="auto" w:fill="auto"/>
        <w:snapToGrid w:val="0"/>
        <w:jc w:val="left"/>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4.饮用水水源保护区采用截至202</w:t>
      </w:r>
      <w:r>
        <w:rPr>
          <w:rFonts w:hint="eastAsia" w:ascii="Times New Roman" w:hAnsi="Times New Roman" w:eastAsia="楷体" w:cs="Times New Roman"/>
          <w:color w:val="auto"/>
          <w:kern w:val="2"/>
          <w:sz w:val="24"/>
          <w:szCs w:val="24"/>
          <w:highlight w:val="none"/>
          <w:lang w:val="en-US" w:eastAsia="zh-CN" w:bidi="ar-SA"/>
        </w:rPr>
        <w:t>3</w:t>
      </w:r>
      <w:r>
        <w:rPr>
          <w:rFonts w:hint="default" w:ascii="Times New Roman" w:hAnsi="Times New Roman" w:eastAsia="楷体" w:cs="Times New Roman"/>
          <w:color w:val="auto"/>
          <w:kern w:val="2"/>
          <w:sz w:val="24"/>
          <w:szCs w:val="24"/>
          <w:highlight w:val="none"/>
          <w:lang w:val="en-US" w:eastAsia="zh-CN" w:bidi="ar-SA"/>
        </w:rPr>
        <w:t>年6月已批复的县级以上地表水饮用水水源保护区数据，今后如县级以上饮用水水源保护区范围及管控要求发生变化，则相关内容随即自动更新调整。</w:t>
      </w:r>
    </w:p>
    <w:p w14:paraId="07213FDF">
      <w:pPr>
        <w:shd w:val="clear" w:color="auto" w:fill="auto"/>
      </w:pPr>
      <w:r>
        <w:rPr>
          <w:rFonts w:hint="default" w:ascii="Times New Roman" w:hAnsi="Times New Roman" w:eastAsia="楷体" w:cs="Times New Roman"/>
          <w:color w:val="auto"/>
          <w:sz w:val="24"/>
          <w:szCs w:val="24"/>
          <w:highlight w:val="none"/>
        </w:rPr>
        <w:t>5.工业园区采用截至202</w:t>
      </w: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rPr>
        <w:t>年</w:t>
      </w:r>
      <w:r>
        <w:rPr>
          <w:rFonts w:hint="eastAsia" w:ascii="Times New Roman" w:hAnsi="Times New Roman" w:eastAsia="楷体" w:cs="Times New Roman"/>
          <w:color w:val="auto"/>
          <w:sz w:val="24"/>
          <w:szCs w:val="24"/>
          <w:highlight w:val="none"/>
          <w:lang w:val="en-US" w:eastAsia="zh-CN"/>
        </w:rPr>
        <w:t>7</w:t>
      </w:r>
      <w:r>
        <w:rPr>
          <w:rFonts w:hint="default" w:ascii="Times New Roman" w:hAnsi="Times New Roman" w:eastAsia="楷体" w:cs="Times New Roman"/>
          <w:color w:val="auto"/>
          <w:sz w:val="24"/>
          <w:szCs w:val="24"/>
          <w:highlight w:val="none"/>
        </w:rPr>
        <w:t>月合法园区的范围数据，合法园区单独命名重点管控单元</w:t>
      </w:r>
      <w:r>
        <w:rPr>
          <w:rFonts w:hint="eastAsia" w:ascii="Times New Roman" w:hAnsi="Times New Roman" w:eastAsia="楷体" w:cs="Times New Roman"/>
          <w:color w:val="auto"/>
          <w:sz w:val="24"/>
          <w:szCs w:val="24"/>
          <w:highlight w:val="none"/>
          <w:lang w:eastAsia="zh-CN"/>
        </w:rPr>
        <w:t>。</w:t>
      </w:r>
      <w:r>
        <w:rPr>
          <w:rFonts w:hint="default" w:ascii="Times New Roman" w:hAnsi="Times New Roman" w:eastAsia="楷体" w:cs="Times New Roman"/>
          <w:color w:val="auto"/>
          <w:sz w:val="24"/>
          <w:szCs w:val="24"/>
          <w:highlight w:val="none"/>
        </w:rPr>
        <w:t>今后合法工业园区范围及管控要求发生变化，则相关内容再进行更新调整。</w:t>
      </w:r>
    </w:p>
    <w:p w14:paraId="62B68F46">
      <w:pPr>
        <w:sectPr>
          <w:footerReference r:id="rId5" w:type="default"/>
          <w:pgSz w:w="16838" w:h="11906" w:orient="landscape"/>
          <w:pgMar w:top="1440" w:right="1080" w:bottom="1440" w:left="1080" w:header="851" w:footer="964" w:gutter="0"/>
          <w:cols w:space="720" w:num="1"/>
          <w:docGrid w:type="lines" w:linePitch="312" w:charSpace="0"/>
        </w:sectPr>
      </w:pPr>
    </w:p>
    <w:p w14:paraId="7219D439">
      <w:pPr>
        <w:shd w:val="clear" w:color="auto" w:fill="auto"/>
        <w:jc w:val="center"/>
        <w:rPr>
          <w:rFonts w:ascii="Times New Roman" w:hAnsi="Times New Roman" w:eastAsia="仿宋" w:cs="Times New Roman"/>
          <w:b/>
          <w:bCs/>
          <w:sz w:val="32"/>
          <w:szCs w:val="32"/>
        </w:rPr>
      </w:pPr>
      <w:r>
        <w:rPr>
          <w:rFonts w:hint="eastAsia" w:ascii="黑体" w:hAnsi="黑体" w:eastAsia="黑体" w:cs="黑体"/>
          <w:color w:val="000000"/>
          <w:sz w:val="32"/>
          <w:szCs w:val="32"/>
          <w:highlight w:val="none"/>
          <w:lang w:bidi="ar"/>
        </w:rPr>
        <w:drawing>
          <wp:inline distT="0" distB="0" distL="114300" distR="114300">
            <wp:extent cx="8303895" cy="5871210"/>
            <wp:effectExtent l="0" t="0" r="1905" b="15240"/>
            <wp:docPr id="3" name="图片 1" descr="e5322b4b17b6016d0cfe54266659d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5322b4b17b6016d0cfe54266659d3bf"/>
                    <pic:cNvPicPr>
                      <a:picLocks noChangeAspect="1"/>
                    </pic:cNvPicPr>
                  </pic:nvPicPr>
                  <pic:blipFill>
                    <a:blip r:embed="rId15"/>
                    <a:stretch>
                      <a:fillRect/>
                    </a:stretch>
                  </pic:blipFill>
                  <pic:spPr>
                    <a:xfrm>
                      <a:off x="0" y="0"/>
                      <a:ext cx="8303895" cy="5871210"/>
                    </a:xfrm>
                    <a:prstGeom prst="rect">
                      <a:avLst/>
                    </a:prstGeom>
                    <a:noFill/>
                    <a:ln>
                      <a:noFill/>
                    </a:ln>
                  </pic:spPr>
                </pic:pic>
              </a:graphicData>
            </a:graphic>
          </wp:inline>
        </w:drawing>
      </w:r>
    </w:p>
    <w:p w14:paraId="6682636B">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黑体" w:hAnsi="黑体" w:eastAsia="黑体" w:cs="黑体"/>
          <w:color w:val="000000"/>
          <w:sz w:val="32"/>
          <w:szCs w:val="32"/>
          <w:highlight w:val="none"/>
          <w:lang w:eastAsia="zh-CN" w:bidi="ar"/>
        </w:rPr>
        <w:sectPr>
          <w:pgSz w:w="16838" w:h="11906" w:orient="landscape"/>
          <w:pgMar w:top="720" w:right="720" w:bottom="720" w:left="720" w:header="851" w:footer="624" w:gutter="0"/>
          <w:cols w:space="720" w:num="1"/>
          <w:docGrid w:type="lines" w:linePitch="312" w:charSpace="0"/>
        </w:sectPr>
      </w:pPr>
      <w:r>
        <w:rPr>
          <w:rFonts w:hint="eastAsia" w:ascii="黑体" w:hAnsi="黑体" w:eastAsia="黑体" w:cs="黑体"/>
          <w:color w:val="000000"/>
          <w:sz w:val="32"/>
          <w:szCs w:val="32"/>
          <w:highlight w:val="none"/>
          <w:lang w:bidi="ar"/>
        </w:rPr>
        <w:t>广西壮族自治区</w:t>
      </w:r>
      <w:r>
        <w:rPr>
          <w:rFonts w:hint="eastAsia" w:ascii="黑体" w:hAnsi="黑体" w:eastAsia="黑体" w:cs="黑体"/>
          <w:color w:val="000000"/>
          <w:sz w:val="32"/>
          <w:szCs w:val="32"/>
          <w:highlight w:val="none"/>
          <w:lang w:eastAsia="zh-CN" w:bidi="ar"/>
        </w:rPr>
        <w:t>生态</w:t>
      </w:r>
      <w:r>
        <w:rPr>
          <w:rFonts w:hint="eastAsia" w:ascii="黑体" w:hAnsi="黑体" w:eastAsia="黑体" w:cs="黑体"/>
          <w:color w:val="000000"/>
          <w:sz w:val="32"/>
          <w:szCs w:val="32"/>
          <w:highlight w:val="none"/>
          <w:lang w:bidi="ar"/>
        </w:rPr>
        <w:t>环境管控单元</w:t>
      </w:r>
      <w:r>
        <w:rPr>
          <w:rFonts w:hint="eastAsia" w:ascii="黑体" w:hAnsi="黑体" w:eastAsia="黑体" w:cs="黑体"/>
          <w:color w:val="000000"/>
          <w:sz w:val="32"/>
          <w:szCs w:val="32"/>
          <w:highlight w:val="none"/>
          <w:lang w:eastAsia="zh-CN" w:bidi="ar"/>
        </w:rPr>
        <w:t>分类图（</w:t>
      </w:r>
      <w:r>
        <w:rPr>
          <w:rFonts w:hint="default" w:ascii="Times New Roman" w:hAnsi="Times New Roman" w:eastAsia="黑体" w:cs="Times New Roman"/>
          <w:color w:val="000000"/>
          <w:sz w:val="32"/>
          <w:szCs w:val="32"/>
          <w:highlight w:val="none"/>
          <w:lang w:val="en-US" w:eastAsia="zh-CN" w:bidi="ar"/>
        </w:rPr>
        <w:t>2023</w:t>
      </w:r>
      <w:r>
        <w:rPr>
          <w:rFonts w:hint="eastAsia" w:ascii="黑体" w:hAnsi="黑体" w:eastAsia="黑体" w:cs="黑体"/>
          <w:color w:val="000000"/>
          <w:sz w:val="32"/>
          <w:szCs w:val="32"/>
          <w:highlight w:val="none"/>
          <w:lang w:val="en-US" w:eastAsia="zh-CN" w:bidi="ar"/>
        </w:rPr>
        <w:t>年</w:t>
      </w:r>
      <w:r>
        <w:rPr>
          <w:rFonts w:hint="eastAsia" w:ascii="黑体" w:hAnsi="黑体" w:eastAsia="黑体" w:cs="黑体"/>
          <w:color w:val="000000"/>
          <w:sz w:val="32"/>
          <w:szCs w:val="32"/>
          <w:highlight w:val="none"/>
          <w:lang w:eastAsia="zh-CN" w:bidi="ar"/>
        </w:rPr>
        <w:t>）</w:t>
      </w:r>
    </w:p>
    <w:p w14:paraId="2D9798D8">
      <w:pPr>
        <w:pStyle w:val="2"/>
      </w:pPr>
    </w:p>
    <w:p w14:paraId="08E1BAC3">
      <w:pPr>
        <w:shd w:val="clear" w:color="auto" w:fill="auto"/>
        <w:adjustRightInd w:val="0"/>
        <w:snapToGrid w:val="0"/>
        <w:spacing w:line="480" w:lineRule="auto"/>
        <w:jc w:val="center"/>
        <w:rPr>
          <w:rFonts w:ascii="Times New Roman" w:hAnsi="Times New Roman" w:eastAsia="黑体" w:cs="Times New Roman"/>
          <w:b/>
          <w:bCs/>
          <w:color w:val="auto"/>
          <w:sz w:val="72"/>
          <w:szCs w:val="48"/>
          <w:highlight w:val="none"/>
          <w:u w:val="none"/>
        </w:rPr>
      </w:pPr>
    </w:p>
    <w:p w14:paraId="467ADB26">
      <w:pPr>
        <w:shd w:val="clear" w:color="auto" w:fill="auto"/>
        <w:adjustRightInd w:val="0"/>
        <w:snapToGrid w:val="0"/>
        <w:spacing w:line="480" w:lineRule="auto"/>
        <w:jc w:val="center"/>
        <w:rPr>
          <w:rFonts w:hint="eastAsia" w:ascii="Times New Roman" w:hAnsi="Times New Roman" w:eastAsia="黑体" w:cs="Times New Roman"/>
          <w:b/>
          <w:bCs/>
          <w:color w:val="auto"/>
          <w:sz w:val="72"/>
          <w:szCs w:val="48"/>
          <w:highlight w:val="none"/>
          <w:u w:val="none"/>
          <w:lang w:eastAsia="zh-CN"/>
        </w:rPr>
      </w:pPr>
      <w:r>
        <w:rPr>
          <w:rFonts w:hint="eastAsia" w:ascii="Times New Roman" w:hAnsi="Times New Roman" w:eastAsia="黑体" w:cs="Times New Roman"/>
          <w:b/>
          <w:bCs/>
          <w:color w:val="auto"/>
          <w:sz w:val="72"/>
          <w:szCs w:val="48"/>
          <w:highlight w:val="none"/>
          <w:u w:val="none"/>
          <w:lang w:eastAsia="zh-CN"/>
        </w:rPr>
        <w:t>广西壮族自治区</w:t>
      </w:r>
      <w:r>
        <w:rPr>
          <w:rFonts w:ascii="Times New Roman" w:hAnsi="Times New Roman" w:eastAsia="黑体" w:cs="Times New Roman"/>
          <w:b/>
          <w:bCs/>
          <w:color w:val="auto"/>
          <w:sz w:val="72"/>
          <w:szCs w:val="48"/>
          <w:highlight w:val="none"/>
          <w:u w:val="none"/>
        </w:rPr>
        <w:t>生态环境准入清单</w:t>
      </w:r>
      <w:r>
        <w:rPr>
          <w:rFonts w:hint="eastAsia" w:ascii="Times New Roman" w:hAnsi="Times New Roman" w:eastAsia="黑体" w:cs="Times New Roman"/>
          <w:b/>
          <w:bCs/>
          <w:color w:val="auto"/>
          <w:sz w:val="72"/>
          <w:szCs w:val="48"/>
          <w:highlight w:val="none"/>
          <w:u w:val="none"/>
          <w:lang w:eastAsia="zh-CN"/>
        </w:rPr>
        <w:t>（</w:t>
      </w:r>
      <w:r>
        <w:rPr>
          <w:rFonts w:hint="eastAsia" w:ascii="Times New Roman" w:hAnsi="Times New Roman" w:eastAsia="黑体" w:cs="Times New Roman"/>
          <w:b/>
          <w:bCs/>
          <w:color w:val="auto"/>
          <w:sz w:val="72"/>
          <w:szCs w:val="48"/>
          <w:highlight w:val="none"/>
          <w:u w:val="none"/>
          <w:lang w:val="en-US" w:eastAsia="zh-CN"/>
        </w:rPr>
        <w:t>2023年</w:t>
      </w:r>
      <w:r>
        <w:rPr>
          <w:rFonts w:hint="eastAsia" w:ascii="Times New Roman" w:hAnsi="Times New Roman" w:eastAsia="黑体" w:cs="Times New Roman"/>
          <w:b/>
          <w:bCs/>
          <w:color w:val="auto"/>
          <w:sz w:val="72"/>
          <w:szCs w:val="48"/>
          <w:highlight w:val="none"/>
          <w:u w:val="none"/>
          <w:lang w:eastAsia="zh-CN"/>
        </w:rPr>
        <w:t>）</w:t>
      </w:r>
    </w:p>
    <w:p w14:paraId="6CC6B789">
      <w:pPr>
        <w:shd w:val="clear" w:color="auto" w:fill="auto"/>
        <w:adjustRightInd w:val="0"/>
        <w:snapToGrid w:val="0"/>
        <w:spacing w:line="480" w:lineRule="auto"/>
        <w:rPr>
          <w:rFonts w:ascii="Times New Roman" w:hAnsi="Times New Roman" w:eastAsia="黑体" w:cs="Times New Roman"/>
          <w:b/>
          <w:bCs/>
          <w:color w:val="auto"/>
          <w:sz w:val="52"/>
          <w:szCs w:val="36"/>
          <w:highlight w:val="none"/>
          <w:u w:val="none"/>
        </w:rPr>
      </w:pPr>
    </w:p>
    <w:p w14:paraId="0A4907A9">
      <w:pPr>
        <w:shd w:val="clear" w:color="auto" w:fill="auto"/>
        <w:adjustRightInd w:val="0"/>
        <w:snapToGrid w:val="0"/>
        <w:spacing w:line="480" w:lineRule="auto"/>
        <w:rPr>
          <w:rFonts w:ascii="Times New Roman" w:hAnsi="Times New Roman" w:eastAsia="黑体" w:cs="Times New Roman"/>
          <w:b/>
          <w:bCs/>
          <w:color w:val="auto"/>
          <w:sz w:val="52"/>
          <w:szCs w:val="36"/>
          <w:highlight w:val="none"/>
          <w:u w:val="none"/>
        </w:rPr>
      </w:pPr>
    </w:p>
    <w:p w14:paraId="10FD73D1">
      <w:pPr>
        <w:widowControl w:val="0"/>
        <w:autoSpaceDE w:val="0"/>
        <w:autoSpaceDN w:val="0"/>
        <w:adjustRightInd w:val="0"/>
        <w:jc w:val="both"/>
        <w:textAlignment w:val="baseline"/>
        <w:rPr>
          <w:rFonts w:hint="default" w:ascii="方正小标宋_GBK" w:hAnsi="方正小标宋_GBK" w:eastAsia="方正小标宋_GBK" w:cs="Times New Roman"/>
          <w:color w:val="auto"/>
          <w:kern w:val="2"/>
          <w:sz w:val="24"/>
          <w:szCs w:val="24"/>
          <w:highlight w:val="none"/>
          <w:u w:val="none"/>
          <w:lang w:val="en-US" w:eastAsia="zh-CN" w:bidi="ar-SA"/>
        </w:rPr>
      </w:pPr>
    </w:p>
    <w:p w14:paraId="58ACB362">
      <w:pPr>
        <w:shd w:val="clear" w:color="auto" w:fill="auto"/>
        <w:adjustRightInd w:val="0"/>
        <w:snapToGrid w:val="0"/>
        <w:spacing w:line="480" w:lineRule="auto"/>
        <w:jc w:val="center"/>
        <w:rPr>
          <w:rFonts w:hint="eastAsia" w:ascii="Times New Roman" w:hAnsi="Times New Roman" w:eastAsia="黑体" w:cs="Times New Roman"/>
          <w:b/>
          <w:bCs/>
          <w:color w:val="auto"/>
          <w:sz w:val="52"/>
          <w:szCs w:val="36"/>
          <w:highlight w:val="none"/>
          <w:u w:val="none"/>
        </w:rPr>
      </w:pPr>
    </w:p>
    <w:p w14:paraId="667F3DF9">
      <w:pPr>
        <w:widowControl w:val="0"/>
        <w:autoSpaceDE w:val="0"/>
        <w:autoSpaceDN w:val="0"/>
        <w:adjustRightInd w:val="0"/>
        <w:jc w:val="both"/>
        <w:textAlignment w:val="baseline"/>
        <w:rPr>
          <w:rFonts w:hint="eastAsia" w:ascii="方正小标宋_GBK" w:hAnsi="方正小标宋_GBK" w:eastAsia="方正小标宋_GBK" w:cs="Times New Roman"/>
          <w:color w:val="auto"/>
          <w:kern w:val="2"/>
          <w:sz w:val="24"/>
          <w:szCs w:val="24"/>
          <w:highlight w:val="none"/>
          <w:u w:val="none"/>
          <w:lang w:val="en-US" w:eastAsia="zh-CN" w:bidi="ar-SA"/>
        </w:rPr>
      </w:pPr>
    </w:p>
    <w:p w14:paraId="758EF696">
      <w:pPr>
        <w:adjustRightInd w:val="0"/>
        <w:snapToGrid w:val="0"/>
        <w:spacing w:line="360" w:lineRule="auto"/>
        <w:jc w:val="center"/>
        <w:rPr>
          <w:rFonts w:ascii="Times New Roman" w:hAnsi="Times New Roman" w:cs="Times New Roman"/>
          <w:color w:val="auto"/>
          <w:highlight w:val="none"/>
          <w:u w:val="none"/>
        </w:rPr>
        <w:sectPr>
          <w:footerReference r:id="rId6" w:type="default"/>
          <w:pgSz w:w="23814" w:h="16839" w:orient="landscape"/>
          <w:pgMar w:top="1797" w:right="1440" w:bottom="1797" w:left="1440" w:header="851" w:footer="992" w:gutter="0"/>
          <w:cols w:space="720" w:num="1"/>
          <w:docGrid w:type="lines" w:linePitch="312" w:charSpace="0"/>
        </w:sectPr>
      </w:pPr>
    </w:p>
    <w:p w14:paraId="7D1152B6">
      <w:pPr>
        <w:widowControl/>
        <w:tabs>
          <w:tab w:val="left" w:pos="440"/>
          <w:tab w:val="right" w:leader="dot" w:pos="10244"/>
        </w:tabs>
        <w:spacing w:after="100" w:line="276" w:lineRule="auto"/>
        <w:jc w:val="center"/>
        <w:outlineLvl w:val="0"/>
        <w:rPr>
          <w:rFonts w:ascii="Times New Roman" w:hAnsi="Times New Roman" w:eastAsia="宋体" w:cs="Times New Roman"/>
          <w:b/>
          <w:bCs/>
          <w:color w:val="auto"/>
          <w:kern w:val="0"/>
          <w:sz w:val="44"/>
          <w:szCs w:val="44"/>
          <w:highlight w:val="none"/>
          <w:u w:val="none"/>
        </w:rPr>
        <w:sectPr>
          <w:headerReference r:id="rId7" w:type="default"/>
          <w:footerReference r:id="rId9" w:type="default"/>
          <w:headerReference r:id="rId8" w:type="even"/>
          <w:footerReference r:id="rId10" w:type="even"/>
          <w:pgSz w:w="23814" w:h="16839" w:orient="landscape"/>
          <w:pgMar w:top="1797" w:right="1440" w:bottom="1797" w:left="1440" w:header="851" w:footer="992" w:gutter="0"/>
          <w:pgNumType w:fmt="upperRoman" w:start="1"/>
          <w:cols w:space="720" w:num="1"/>
          <w:docGrid w:type="lines" w:linePitch="312" w:charSpace="0"/>
        </w:sectPr>
      </w:pPr>
      <w:bookmarkStart w:id="0" w:name="_Toc22610"/>
      <w:bookmarkStart w:id="1" w:name="_Toc15140"/>
      <w:bookmarkStart w:id="2" w:name="_Toc14269"/>
      <w:bookmarkStart w:id="3" w:name="_Toc30620"/>
      <w:r>
        <w:rPr>
          <w:rFonts w:ascii="Times New Roman" w:hAnsi="宋体" w:eastAsia="宋体" w:cs="Times New Roman"/>
          <w:b/>
          <w:bCs/>
          <w:color w:val="auto"/>
          <w:kern w:val="0"/>
          <w:sz w:val="44"/>
          <w:szCs w:val="44"/>
          <w:highlight w:val="none"/>
          <w:u w:val="none"/>
        </w:rPr>
        <w:t>目</w:t>
      </w:r>
      <w:r>
        <w:rPr>
          <w:rFonts w:ascii="Times New Roman" w:hAnsi="Times New Roman" w:eastAsia="宋体" w:cs="Times New Roman"/>
          <w:b/>
          <w:bCs/>
          <w:color w:val="auto"/>
          <w:kern w:val="0"/>
          <w:sz w:val="44"/>
          <w:szCs w:val="44"/>
          <w:highlight w:val="none"/>
          <w:u w:val="none"/>
        </w:rPr>
        <w:t xml:space="preserve">  </w:t>
      </w:r>
      <w:r>
        <w:rPr>
          <w:rFonts w:ascii="Times New Roman" w:hAnsi="宋体" w:eastAsia="宋体" w:cs="Times New Roman"/>
          <w:b/>
          <w:bCs/>
          <w:color w:val="auto"/>
          <w:kern w:val="0"/>
          <w:sz w:val="44"/>
          <w:szCs w:val="44"/>
          <w:highlight w:val="none"/>
          <w:u w:val="none"/>
        </w:rPr>
        <w:t>录</w:t>
      </w:r>
      <w:bookmarkEnd w:id="0"/>
      <w:bookmarkEnd w:id="1"/>
      <w:bookmarkEnd w:id="2"/>
      <w:bookmarkEnd w:id="3"/>
    </w:p>
    <w:p w14:paraId="34A58BCE">
      <w:pPr>
        <w:pStyle w:val="10"/>
        <w:tabs>
          <w:tab w:val="right" w:leader="dot" w:pos="20934"/>
        </w:tabs>
        <w:rPr>
          <w:rFonts w:ascii="Times New Roman" w:hAnsi="Times New Roman" w:eastAsia="宋体" w:cs="Times New Roman"/>
          <w:b/>
          <w:bCs/>
          <w:color w:val="auto"/>
          <w:sz w:val="24"/>
          <w:szCs w:val="24"/>
          <w:highlight w:val="none"/>
          <w:u w:val="none"/>
          <w:lang w:bidi="ar-SA"/>
        </w:rPr>
      </w:pPr>
      <w:r>
        <w:rPr>
          <w:rFonts w:ascii="Times New Roman" w:hAnsi="Times New Roman" w:eastAsia="宋体" w:cs="Times New Roman"/>
          <w:b/>
          <w:bCs/>
          <w:color w:val="auto"/>
          <w:sz w:val="24"/>
          <w:szCs w:val="24"/>
          <w:highlight w:val="none"/>
          <w:u w:val="none"/>
          <w:lang w:bidi="ar-SA"/>
        </w:rPr>
        <w:fldChar w:fldCharType="begin"/>
      </w:r>
      <w:r>
        <w:rPr>
          <w:rFonts w:ascii="Times New Roman" w:hAnsi="Times New Roman" w:eastAsia="宋体" w:cs="Times New Roman"/>
          <w:b/>
          <w:bCs/>
          <w:color w:val="auto"/>
          <w:sz w:val="24"/>
          <w:szCs w:val="24"/>
          <w:highlight w:val="none"/>
          <w:u w:val="none"/>
          <w:lang w:bidi="ar-SA"/>
        </w:rPr>
        <w:instrText xml:space="preserve">TOC \o "1-1" \h \u </w:instrText>
      </w:r>
      <w:r>
        <w:rPr>
          <w:rFonts w:ascii="Times New Roman" w:hAnsi="Times New Roman" w:eastAsia="宋体" w:cs="Times New Roman"/>
          <w:b/>
          <w:bCs/>
          <w:color w:val="auto"/>
          <w:sz w:val="24"/>
          <w:szCs w:val="24"/>
          <w:highlight w:val="none"/>
          <w:u w:val="none"/>
          <w:lang w:bidi="ar-SA"/>
        </w:rPr>
        <w:fldChar w:fldCharType="separate"/>
      </w:r>
    </w:p>
    <w:p w14:paraId="6126F8A4">
      <w:pPr>
        <w:pStyle w:val="15"/>
        <w:tabs>
          <w:tab w:val="right" w:leader="dot" w:pos="20934"/>
        </w:tabs>
        <w:rPr>
          <w:rFonts w:ascii="Calibri" w:hAnsi="Calibri" w:eastAsia="宋体" w:cs="Times New Roman"/>
          <w:b/>
        </w:rPr>
      </w:pPr>
      <w:r>
        <w:rPr>
          <w:rFonts w:ascii="Calibri" w:hAnsi="Calibri" w:eastAsia="宋体" w:cs="Times New Roman"/>
        </w:rPr>
        <w:fldChar w:fldCharType="begin"/>
      </w:r>
      <w:r>
        <w:rPr>
          <w:rFonts w:ascii="Calibri" w:hAnsi="Calibri" w:eastAsia="宋体" w:cs="Times New Roman"/>
        </w:rPr>
        <w:instrText xml:space="preserve">TOC \o "1-2" \h \u </w:instrText>
      </w:r>
      <w:r>
        <w:rPr>
          <w:rFonts w:ascii="Calibri" w:hAnsi="Calibri" w:eastAsia="宋体" w:cs="Times New Roman"/>
        </w:rPr>
        <w:fldChar w:fldCharType="separate"/>
      </w:r>
    </w:p>
    <w:p w14:paraId="7DF3B22C">
      <w:pPr>
        <w:pStyle w:val="15"/>
        <w:tabs>
          <w:tab w:val="right" w:leader="dot" w:pos="20934"/>
        </w:tabs>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_Toc1266 </w:instrText>
      </w:r>
      <w:r>
        <w:rPr>
          <w:rFonts w:ascii="Times New Roman" w:hAnsi="Times New Roman" w:eastAsia="宋体" w:cs="Times New Roman"/>
          <w:b/>
          <w:sz w:val="24"/>
          <w:szCs w:val="24"/>
        </w:rPr>
        <w:fldChar w:fldCharType="separate"/>
      </w:r>
      <w:r>
        <w:rPr>
          <w:rFonts w:hint="default" w:ascii="Times New Roman" w:hAnsi="Times New Roman" w:eastAsia="黑体" w:cs="Times New Roman"/>
          <w:b/>
          <w:sz w:val="24"/>
          <w:szCs w:val="44"/>
          <w:highlight w:val="none"/>
          <w:lang w:val="en-US" w:eastAsia="zh-CN"/>
        </w:rPr>
        <w:t>1</w:t>
      </w:r>
      <w:r>
        <w:rPr>
          <w:rFonts w:ascii="Times New Roman" w:hAnsi="Times New Roman" w:eastAsia="黑体" w:cs="Times New Roman"/>
          <w:b/>
          <w:sz w:val="24"/>
          <w:szCs w:val="44"/>
          <w:highlight w:val="none"/>
        </w:rPr>
        <w:t>自治区总体生态环境准入及管控要求</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_Toc1266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8</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14:paraId="6F5132F0">
      <w:pPr>
        <w:pStyle w:val="15"/>
        <w:tabs>
          <w:tab w:val="right" w:leader="dot" w:pos="20934"/>
        </w:tabs>
        <w:spacing w:line="360" w:lineRule="auto"/>
        <w:rPr>
          <w:rFonts w:hint="default" w:ascii="Times New Roman" w:hAnsi="Times New Roman" w:eastAsia="宋体" w:cs="Times New Roman"/>
          <w:b/>
          <w:sz w:val="24"/>
          <w:szCs w:val="24"/>
          <w:lang w:val="en-US" w:eastAsia="zh-CN"/>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_Toc27931 </w:instrText>
      </w:r>
      <w:r>
        <w:rPr>
          <w:rFonts w:ascii="Times New Roman" w:hAnsi="Times New Roman" w:eastAsia="宋体" w:cs="Times New Roman"/>
          <w:b/>
          <w:sz w:val="24"/>
          <w:szCs w:val="24"/>
        </w:rPr>
        <w:fldChar w:fldCharType="separate"/>
      </w:r>
      <w:r>
        <w:rPr>
          <w:rFonts w:hint="default" w:ascii="Times New Roman" w:hAnsi="Times New Roman" w:eastAsia="黑体" w:cs="Times New Roman"/>
          <w:b/>
          <w:sz w:val="24"/>
          <w:szCs w:val="44"/>
          <w:highlight w:val="none"/>
          <w:lang w:val="en-US" w:eastAsia="zh-CN"/>
        </w:rPr>
        <w:t>2四大板块生态环境准入及管控要求</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end"/>
      </w:r>
      <w:r>
        <w:rPr>
          <w:rFonts w:hint="eastAsia" w:ascii="Times New Roman" w:hAnsi="Times New Roman" w:cs="Times New Roman"/>
          <w:b/>
          <w:sz w:val="24"/>
          <w:szCs w:val="24"/>
          <w:lang w:val="en-US" w:eastAsia="zh-CN"/>
        </w:rPr>
        <w:t>24</w:t>
      </w:r>
    </w:p>
    <w:p w14:paraId="33F412FB">
      <w:pPr>
        <w:pStyle w:val="16"/>
        <w:tabs>
          <w:tab w:val="right" w:leader="dot" w:pos="20934"/>
        </w:tabs>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_Toc27325 </w:instrText>
      </w:r>
      <w:r>
        <w:rPr>
          <w:rFonts w:ascii="Times New Roman" w:hAnsi="Times New Roman" w:eastAsia="宋体" w:cs="Times New Roman"/>
          <w:sz w:val="24"/>
          <w:szCs w:val="24"/>
        </w:rPr>
        <w:fldChar w:fldCharType="separate"/>
      </w:r>
      <w:r>
        <w:rPr>
          <w:rFonts w:ascii="Times New Roman" w:hAnsi="Times New Roman" w:eastAsia="黑体" w:cs="Times New Roman"/>
          <w:sz w:val="24"/>
          <w:szCs w:val="40"/>
          <w:highlight w:val="none"/>
        </w:rPr>
        <w:t>2.1北部湾经济区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cs="Times New Roman"/>
          <w:sz w:val="24"/>
          <w:szCs w:val="24"/>
          <w:lang w:val="en-US" w:eastAsia="zh-CN"/>
        </w:rPr>
        <w:t>24</w:t>
      </w:r>
    </w:p>
    <w:p w14:paraId="27AC836E">
      <w:pPr>
        <w:pStyle w:val="16"/>
        <w:tabs>
          <w:tab w:val="right" w:leader="dot" w:pos="20934"/>
        </w:tabs>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_Toc10788 </w:instrText>
      </w:r>
      <w:r>
        <w:rPr>
          <w:rFonts w:ascii="Times New Roman" w:hAnsi="Times New Roman" w:eastAsia="宋体" w:cs="Times New Roman"/>
          <w:sz w:val="24"/>
          <w:szCs w:val="24"/>
        </w:rPr>
        <w:fldChar w:fldCharType="separate"/>
      </w:r>
      <w:r>
        <w:rPr>
          <w:rFonts w:ascii="Times New Roman" w:hAnsi="Times New Roman" w:eastAsia="黑体" w:cs="Times New Roman"/>
          <w:sz w:val="24"/>
          <w:szCs w:val="40"/>
          <w:highlight w:val="none"/>
        </w:rPr>
        <w:t>2.2左右江革命老区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cs="Times New Roman"/>
          <w:sz w:val="24"/>
          <w:szCs w:val="24"/>
          <w:lang w:val="en-US" w:eastAsia="zh-CN"/>
        </w:rPr>
        <w:t>25</w:t>
      </w:r>
    </w:p>
    <w:p w14:paraId="6E6CBB1A">
      <w:pPr>
        <w:pStyle w:val="16"/>
        <w:tabs>
          <w:tab w:val="right" w:leader="dot" w:pos="20934"/>
        </w:tabs>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_Toc3286 </w:instrText>
      </w:r>
      <w:r>
        <w:rPr>
          <w:rFonts w:ascii="Times New Roman" w:hAnsi="Times New Roman" w:eastAsia="宋体" w:cs="Times New Roman"/>
          <w:sz w:val="24"/>
          <w:szCs w:val="24"/>
        </w:rPr>
        <w:fldChar w:fldCharType="separate"/>
      </w:r>
      <w:r>
        <w:rPr>
          <w:rFonts w:ascii="Times New Roman" w:hAnsi="Times New Roman" w:eastAsia="黑体" w:cs="Times New Roman"/>
          <w:sz w:val="24"/>
          <w:szCs w:val="40"/>
          <w:highlight w:val="none"/>
        </w:rPr>
        <w:t>2.3西江经济带</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cs="Times New Roman"/>
          <w:sz w:val="24"/>
          <w:szCs w:val="24"/>
          <w:lang w:val="en-US" w:eastAsia="zh-CN"/>
        </w:rPr>
        <w:t>26</w:t>
      </w:r>
    </w:p>
    <w:p w14:paraId="6619B646">
      <w:pPr>
        <w:pStyle w:val="16"/>
        <w:tabs>
          <w:tab w:val="right" w:leader="dot" w:pos="20934"/>
        </w:tabs>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_Toc7213 </w:instrText>
      </w:r>
      <w:r>
        <w:rPr>
          <w:rFonts w:ascii="Times New Roman" w:hAnsi="Times New Roman" w:eastAsia="宋体" w:cs="Times New Roman"/>
          <w:sz w:val="24"/>
          <w:szCs w:val="24"/>
        </w:rPr>
        <w:fldChar w:fldCharType="separate"/>
      </w:r>
      <w:r>
        <w:rPr>
          <w:rFonts w:ascii="Times New Roman" w:hAnsi="Times New Roman" w:eastAsia="黑体" w:cs="Times New Roman"/>
          <w:sz w:val="24"/>
          <w:szCs w:val="40"/>
          <w:highlight w:val="none"/>
        </w:rPr>
        <w:t>2.4桂林国际旅游胜地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cs="Times New Roman"/>
          <w:sz w:val="24"/>
          <w:szCs w:val="24"/>
          <w:lang w:val="en-US" w:eastAsia="zh-CN"/>
        </w:rPr>
        <w:t>27</w:t>
      </w:r>
    </w:p>
    <w:p w14:paraId="6A8EF0B4">
      <w:pPr>
        <w:shd w:val="clear" w:color="auto" w:fill="auto"/>
      </w:pPr>
      <w:r>
        <w:rPr>
          <w:b/>
        </w:rPr>
        <w:fldChar w:fldCharType="end"/>
      </w:r>
    </w:p>
    <w:p w14:paraId="26B9841C">
      <w:pPr>
        <w:adjustRightInd w:val="0"/>
        <w:snapToGrid w:val="0"/>
        <w:spacing w:line="360" w:lineRule="auto"/>
        <w:rPr>
          <w:rFonts w:ascii="Times New Roman" w:hAnsi="Times New Roman" w:eastAsia="宋体" w:cs="Times New Roman"/>
          <w:bCs/>
          <w:color w:val="auto"/>
          <w:kern w:val="0"/>
          <w:sz w:val="24"/>
          <w:highlight w:val="none"/>
          <w:u w:val="none"/>
        </w:rPr>
        <w:sectPr>
          <w:type w:val="continuous"/>
          <w:pgSz w:w="23814" w:h="16839" w:orient="landscape"/>
          <w:pgMar w:top="1797" w:right="1440" w:bottom="1797" w:left="1440" w:header="851" w:footer="992" w:gutter="0"/>
          <w:pgNumType w:fmt="upperRoman" w:start="1"/>
          <w:cols w:space="720" w:num="1"/>
          <w:docGrid w:type="lines" w:linePitch="312" w:charSpace="0"/>
        </w:sectPr>
      </w:pPr>
      <w:r>
        <w:rPr>
          <w:rFonts w:ascii="Times New Roman" w:hAnsi="Times New Roman" w:eastAsia="宋体" w:cs="Times New Roman"/>
          <w:bCs/>
          <w:color w:val="auto"/>
          <w:highlight w:val="none"/>
          <w:u w:val="none"/>
        </w:rPr>
        <w:fldChar w:fldCharType="end"/>
      </w:r>
    </w:p>
    <w:p w14:paraId="2902EA68">
      <w:pPr>
        <w:pStyle w:val="5"/>
        <w:keepNext/>
        <w:keepLines/>
        <w:pageBreakBefore w:val="0"/>
        <w:widowControl w:val="0"/>
        <w:kinsoku/>
        <w:wordWrap/>
        <w:overflowPunct/>
        <w:topLinePunct w:val="0"/>
        <w:autoSpaceDE/>
        <w:autoSpaceDN/>
        <w:bidi w:val="0"/>
        <w:adjustRightInd w:val="0"/>
        <w:snapToGrid w:val="0"/>
        <w:spacing w:before="156" w:after="156"/>
        <w:jc w:val="both"/>
        <w:textAlignment w:val="auto"/>
        <w:rPr>
          <w:rFonts w:ascii="黑体" w:hAnsi="黑体" w:eastAsia="黑体" w:cs="Times New Roman"/>
          <w:color w:val="auto"/>
          <w:szCs w:val="32"/>
          <w:highlight w:val="none"/>
          <w:u w:val="none"/>
          <w:lang w:bidi="ar-SA"/>
        </w:rPr>
      </w:pPr>
      <w:bookmarkStart w:id="4" w:name="_Toc17757"/>
      <w:bookmarkStart w:id="5" w:name="_Toc18654"/>
      <w:bookmarkStart w:id="6" w:name="_Toc10644"/>
      <w:bookmarkStart w:id="7" w:name="_Toc9223"/>
      <w:bookmarkStart w:id="8" w:name="_Toc1266"/>
      <w:bookmarkStart w:id="9" w:name="_Toc20099"/>
      <w:bookmarkStart w:id="10" w:name="_Toc27601823"/>
      <w:r>
        <w:rPr>
          <w:rFonts w:hint="eastAsia" w:ascii="黑体" w:hAnsi="黑体" w:eastAsia="黑体" w:cs="Times New Roman"/>
          <w:color w:val="auto"/>
          <w:szCs w:val="32"/>
          <w:highlight w:val="none"/>
          <w:u w:val="none"/>
          <w:lang w:val="en-US" w:eastAsia="zh-CN" w:bidi="ar-SA"/>
        </w:rPr>
        <w:t>1</w:t>
      </w:r>
      <w:r>
        <w:rPr>
          <w:rFonts w:ascii="黑体" w:hAnsi="黑体" w:eastAsia="黑体" w:cs="Times New Roman"/>
          <w:color w:val="auto"/>
          <w:szCs w:val="32"/>
          <w:highlight w:val="none"/>
          <w:u w:val="none"/>
          <w:lang w:bidi="ar-SA"/>
        </w:rPr>
        <w:t>自治区总体生态环境准入及管控要求</w:t>
      </w:r>
      <w:bookmarkEnd w:id="4"/>
      <w:bookmarkEnd w:id="5"/>
      <w:bookmarkEnd w:id="6"/>
      <w:bookmarkEnd w:id="7"/>
      <w:bookmarkEnd w:id="8"/>
      <w:bookmarkEnd w:id="9"/>
    </w:p>
    <w:p w14:paraId="40763C89">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黑体" w:eastAsia="黑体" w:cs="Times New Roman"/>
          <w:color w:val="auto"/>
          <w:kern w:val="2"/>
          <w:sz w:val="24"/>
          <w:szCs w:val="24"/>
          <w:highlight w:val="none"/>
          <w:u w:val="none"/>
          <w:lang w:val="en-US" w:eastAsia="zh-CN" w:bidi="ar-SA"/>
        </w:rPr>
      </w:pPr>
      <w:bookmarkStart w:id="11" w:name="_Toc31023"/>
      <w:bookmarkStart w:id="12" w:name="_Toc26577"/>
      <w:bookmarkStart w:id="13" w:name="_Toc12381"/>
      <w:bookmarkStart w:id="14" w:name="_Toc13381"/>
      <w:bookmarkStart w:id="15" w:name="_Toc21566"/>
      <w:r>
        <w:rPr>
          <w:rFonts w:ascii="黑体" w:hAnsi="黑体" w:eastAsia="黑体" w:cs="Times New Roman"/>
          <w:color w:val="auto"/>
          <w:kern w:val="2"/>
          <w:sz w:val="24"/>
          <w:szCs w:val="24"/>
          <w:highlight w:val="none"/>
          <w:u w:val="none"/>
          <w:lang w:val="en-US" w:eastAsia="zh-CN" w:bidi="ar-SA"/>
        </w:rPr>
        <w:t>表1.1-1  陆域产业布局总体生态环境准入及管控要求</w:t>
      </w:r>
      <w:bookmarkEnd w:id="11"/>
      <w:bookmarkEnd w:id="12"/>
      <w:bookmarkEnd w:id="13"/>
      <w:bookmarkEnd w:id="14"/>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944"/>
        <w:gridCol w:w="2026"/>
        <w:gridCol w:w="15014"/>
      </w:tblGrid>
      <w:tr w14:paraId="73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87" w:type="dxa"/>
            <w:noWrap w:val="0"/>
            <w:vAlign w:val="center"/>
          </w:tcPr>
          <w:p w14:paraId="0E119A69">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适用分区</w:t>
            </w:r>
          </w:p>
        </w:tc>
        <w:tc>
          <w:tcPr>
            <w:tcW w:w="1944" w:type="dxa"/>
            <w:noWrap w:val="0"/>
            <w:vAlign w:val="center"/>
          </w:tcPr>
          <w:p w14:paraId="2A21F89A">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适用对象</w:t>
            </w:r>
          </w:p>
        </w:tc>
        <w:tc>
          <w:tcPr>
            <w:tcW w:w="2026" w:type="dxa"/>
            <w:noWrap w:val="0"/>
            <w:vAlign w:val="center"/>
          </w:tcPr>
          <w:p w14:paraId="717D52F3">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管控要求类别</w:t>
            </w:r>
          </w:p>
        </w:tc>
        <w:tc>
          <w:tcPr>
            <w:tcW w:w="15014" w:type="dxa"/>
            <w:noWrap w:val="0"/>
            <w:vAlign w:val="center"/>
          </w:tcPr>
          <w:p w14:paraId="139B77D6">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生态环境准入及管控要求</w:t>
            </w:r>
          </w:p>
        </w:tc>
      </w:tr>
      <w:tr w14:paraId="2663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6" w:hRule="atLeast"/>
          <w:jc w:val="center"/>
        </w:trPr>
        <w:tc>
          <w:tcPr>
            <w:tcW w:w="1587" w:type="dxa"/>
            <w:noWrap w:val="0"/>
            <w:vAlign w:val="center"/>
          </w:tcPr>
          <w:p w14:paraId="734518A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自治区</w:t>
            </w:r>
          </w:p>
        </w:tc>
        <w:tc>
          <w:tcPr>
            <w:tcW w:w="1944" w:type="dxa"/>
            <w:noWrap w:val="0"/>
            <w:vAlign w:val="center"/>
          </w:tcPr>
          <w:p w14:paraId="1051380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全自治区</w:t>
            </w:r>
          </w:p>
        </w:tc>
        <w:tc>
          <w:tcPr>
            <w:tcW w:w="2026" w:type="dxa"/>
            <w:noWrap w:val="0"/>
            <w:vAlign w:val="center"/>
          </w:tcPr>
          <w:p w14:paraId="2218F8A2">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5014" w:type="dxa"/>
            <w:noWrap w:val="0"/>
            <w:vAlign w:val="center"/>
          </w:tcPr>
          <w:p w14:paraId="7E5B19E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．新建、改建、扩建工业项目应按照国家、自治区相关行业建设项目环境影响评价文件审批原则入园。新建企业应符合批准实施的国土空间规划、</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十四五</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规划纲要和相关专项规划。</w:t>
            </w:r>
          </w:p>
          <w:p w14:paraId="6B713C1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新建、扩建现行《产业结构调整指导目录》《广西工业产业结构调整指导目录》明确的淘汰类、禁止类项目；</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引入不符合现行《市场准入负面清单》禁止准入类事项。新建项目要严格落实国家有关产业重大生产力规划布局要求，并符合广西优化主导产业布局、新发展格局下广西重点产业布局规划、广西制造强区建设中长期规划及相关产业规划布局。</w:t>
            </w:r>
          </w:p>
          <w:p w14:paraId="6A93702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．鼓励和引导新建涉挥发性有机物</w:t>
            </w:r>
            <w:r>
              <w:rPr>
                <w:rFonts w:ascii="Times New Roman" w:hAnsi="Times New Roman" w:eastAsia="宋体" w:cs="Times New Roman"/>
                <w:color w:val="auto"/>
                <w:szCs w:val="21"/>
                <w:highlight w:val="none"/>
                <w:u w:val="none"/>
              </w:rPr>
              <w:t>VOCs</w:t>
            </w:r>
            <w:r>
              <w:rPr>
                <w:rFonts w:ascii="Times New Roman" w:hAnsi="宋体" w:eastAsia="宋体" w:cs="Times New Roman"/>
                <w:color w:val="auto"/>
                <w:szCs w:val="21"/>
                <w:highlight w:val="none"/>
                <w:u w:val="none"/>
              </w:rPr>
              <w:t>排放的工业企业入园区（含工业园区、工业集中区、工业集聚区）。未纳入《石化产业规划布局方案》的新建炼化项目一律</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建设。</w:t>
            </w:r>
          </w:p>
          <w:p w14:paraId="0A52B5D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建设项目使用林地，应当按照《建设项目使用林地审核审批管理办法》审核和审批，严格保护和合理利用林地，促进生态林业和民生林业发展。公益林、天然林依据《中华人民共和国森林法》《中华人民共和国森林法实施条例》《国家级公益林管理办法》《国家级公益林区划界定办法》《天然林保护修复制度方案》等国家和自治区有关规定进行管理。</w:t>
            </w:r>
          </w:p>
          <w:p w14:paraId="1424FB8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．建设项目使用草地，应当按照《草原征占用审核审批管理规范》审核和审批，严格保护和合理利用草地。</w:t>
            </w:r>
          </w:p>
          <w:p w14:paraId="36A4461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．严格执行能耗</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双控</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、碳排放强度、碳达峰和碳中和目标要求，新建项目能源利用效率应达到国内先进水平。</w:t>
            </w:r>
          </w:p>
          <w:p w14:paraId="439AA609">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．新建、改建、扩建</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两高</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项目须符合生态环境保护法律法规和相关法定规划，满足重点污染物排放总量控制、碳排放达峰目标、生态环境准入清单、相关规划环评和相应行业建设项目环境准入条件、环评文件审批原则要求。拟建、在建项目，应对照能效标杆水平建设实施；能效介于标杆水平和基准水平之间的存量项目，鼓励加强绿色低碳工艺技术装备应用，引导企业应改尽改、应提尽提；能效低于基准水平的存量项目，有序开展节能降碳技术改造或淘汰退出。</w:t>
            </w:r>
          </w:p>
          <w:p w14:paraId="0FA63720">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石化、煤化工、燃煤发电（含热电）、钢铁、有色金属冶炼、制浆造纸行业新增主要污染物排放量的建设项目，应满足区域、流域控制单元环境质量改善目标管理要求，主要污染物实行区域倍量削减或等量削减；市级生态环境主管部门审批的编制环境影响报告书的重点行业建设项目可参照执行。</w:t>
            </w:r>
          </w:p>
          <w:p w14:paraId="260F7EC8">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．依据国土空间规划和</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三区三线</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，明确减污降碳重点管控区域和相关管控要求，将碳达峰碳中和要求纳入</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三线一单</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（生态保护红线、环境质量底线、资源利用上线和生态环境准入清单）分区管控体系。</w:t>
            </w:r>
          </w:p>
          <w:p w14:paraId="014166EA">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10</w:t>
            </w:r>
            <w:r>
              <w:rPr>
                <w:rFonts w:ascii="Times New Roman" w:hAnsi="宋体" w:eastAsia="宋体" w:cs="Times New Roman"/>
                <w:color w:val="auto"/>
                <w:szCs w:val="21"/>
                <w:highlight w:val="none"/>
                <w:u w:val="none"/>
              </w:rPr>
              <w:t>．增强区域环境质量改善目标对能源和产业布局的引导作用。加大污染严重地区结构调整和布局优化力度，依法依规加快推动重点区域、重点流域落后和过剩产能退出。依法加快城市建成区重污染企业搬迁改造或关闭退出。</w:t>
            </w:r>
          </w:p>
          <w:p w14:paraId="65165D60">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11</w:t>
            </w:r>
            <w:r>
              <w:rPr>
                <w:rFonts w:ascii="Times New Roman" w:hAnsi="宋体" w:eastAsia="宋体" w:cs="Times New Roman"/>
                <w:color w:val="auto"/>
                <w:szCs w:val="21"/>
                <w:highlight w:val="none"/>
                <w:u w:val="none"/>
              </w:rPr>
              <w:t>．严格执行《广西生态保护正面清单（</w:t>
            </w:r>
            <w:r>
              <w:rPr>
                <w:rFonts w:ascii="Times New Roman" w:hAnsi="Times New Roman" w:eastAsia="宋体" w:cs="Times New Roman"/>
                <w:color w:val="auto"/>
                <w:szCs w:val="21"/>
                <w:highlight w:val="none"/>
                <w:u w:val="none"/>
              </w:rPr>
              <w:t>2022</w:t>
            </w:r>
            <w:r>
              <w:rPr>
                <w:rFonts w:ascii="Times New Roman" w:hAnsi="宋体" w:eastAsia="宋体" w:cs="Times New Roman"/>
                <w:color w:val="auto"/>
                <w:szCs w:val="21"/>
                <w:highlight w:val="none"/>
                <w:u w:val="none"/>
              </w:rPr>
              <w:t>）》和《广西生态保护禁止事项清单（</w:t>
            </w:r>
            <w:r>
              <w:rPr>
                <w:rFonts w:ascii="Times New Roman" w:hAnsi="Times New Roman" w:eastAsia="宋体" w:cs="Times New Roman"/>
                <w:color w:val="auto"/>
                <w:szCs w:val="21"/>
                <w:highlight w:val="none"/>
                <w:u w:val="none"/>
              </w:rPr>
              <w:t>2022</w:t>
            </w:r>
            <w:r>
              <w:rPr>
                <w:rFonts w:ascii="Times New Roman" w:hAnsi="宋体" w:eastAsia="宋体" w:cs="Times New Roman"/>
                <w:color w:val="auto"/>
                <w:szCs w:val="21"/>
                <w:highlight w:val="none"/>
                <w:u w:val="none"/>
              </w:rPr>
              <w:t>）》。</w:t>
            </w:r>
          </w:p>
          <w:p w14:paraId="64D1E6C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12</w:t>
            </w:r>
            <w:r>
              <w:rPr>
                <w:rFonts w:ascii="Times New Roman" w:hAnsi="宋体" w:eastAsia="宋体" w:cs="Times New Roman"/>
                <w:color w:val="auto"/>
                <w:szCs w:val="21"/>
                <w:highlight w:val="none"/>
                <w:u w:val="none"/>
              </w:rPr>
              <w:t>．</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准入及管控要求</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涉及跨省（市）界有协议或相关规定的，从其规定。</w:t>
            </w:r>
          </w:p>
          <w:p w14:paraId="3A05F25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13</w:t>
            </w:r>
            <w:r>
              <w:rPr>
                <w:rFonts w:ascii="Times New Roman" w:hAnsi="宋体" w:eastAsia="宋体" w:cs="Times New Roman"/>
                <w:color w:val="auto"/>
                <w:szCs w:val="21"/>
                <w:highlight w:val="none"/>
                <w:u w:val="none"/>
              </w:rPr>
              <w:t>．</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准入及管控要求</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规定依据的法规、规章等发生变更的，从其规定。</w:t>
            </w:r>
          </w:p>
        </w:tc>
      </w:tr>
    </w:tbl>
    <w:p w14:paraId="39E3022E">
      <w:pPr>
        <w:widowControl/>
        <w:shd w:val="clear" w:color="auto" w:fill="auto"/>
        <w:jc w:val="left"/>
        <w:rPr>
          <w:rFonts w:ascii="Times New Roman" w:hAnsi="Times New Roman" w:eastAsia="宋体" w:cs="Times New Roman"/>
          <w:color w:val="auto"/>
          <w:szCs w:val="21"/>
          <w:highlight w:val="none"/>
          <w:u w:val="none"/>
        </w:rPr>
      </w:pPr>
    </w:p>
    <w:p w14:paraId="6DFFC21D">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r>
        <w:rPr>
          <w:rFonts w:ascii="黑体" w:hAnsi="Times New Roman" w:eastAsia="黑体" w:cs="Times New Roman"/>
          <w:color w:val="auto"/>
          <w:kern w:val="2"/>
          <w:sz w:val="24"/>
          <w:szCs w:val="24"/>
          <w:highlight w:val="none"/>
          <w:u w:val="none"/>
          <w:lang w:val="en-US" w:eastAsia="zh-CN" w:bidi="ar-SA"/>
        </w:rPr>
        <w:br w:type="page"/>
      </w:r>
      <w:bookmarkStart w:id="16" w:name="_Toc5571"/>
      <w:bookmarkStart w:id="17" w:name="_Toc7719"/>
      <w:bookmarkStart w:id="18" w:name="_Toc28876"/>
      <w:bookmarkStart w:id="19" w:name="_Toc31967"/>
      <w:bookmarkStart w:id="20" w:name="_Toc4462"/>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1.1-2  </w:t>
      </w:r>
      <w:r>
        <w:rPr>
          <w:rFonts w:ascii="黑体" w:hAnsi="黑体" w:eastAsia="黑体" w:cs="Times New Roman"/>
          <w:color w:val="auto"/>
          <w:kern w:val="2"/>
          <w:sz w:val="24"/>
          <w:szCs w:val="24"/>
          <w:highlight w:val="none"/>
          <w:u w:val="none"/>
          <w:lang w:val="en-US" w:eastAsia="zh-CN" w:bidi="ar-SA"/>
        </w:rPr>
        <w:t>陆域生态空间总体生态环境准入及管控要求</w:t>
      </w:r>
      <w:bookmarkEnd w:id="16"/>
      <w:bookmarkEnd w:id="17"/>
      <w:bookmarkEnd w:id="18"/>
      <w:bookmarkEnd w:id="19"/>
      <w:bookmarkEnd w:id="2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969"/>
        <w:gridCol w:w="963"/>
        <w:gridCol w:w="2039"/>
        <w:gridCol w:w="14977"/>
      </w:tblGrid>
      <w:tr w14:paraId="4FA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95" w:type="dxa"/>
            <w:noWrap w:val="0"/>
            <w:vAlign w:val="center"/>
          </w:tcPr>
          <w:p w14:paraId="78F05B45">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适用分区</w:t>
            </w:r>
          </w:p>
        </w:tc>
        <w:tc>
          <w:tcPr>
            <w:tcW w:w="1932" w:type="dxa"/>
            <w:gridSpan w:val="2"/>
            <w:noWrap w:val="0"/>
            <w:vAlign w:val="center"/>
          </w:tcPr>
          <w:p w14:paraId="32DB5B94">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适用对象</w:t>
            </w:r>
          </w:p>
        </w:tc>
        <w:tc>
          <w:tcPr>
            <w:tcW w:w="2039" w:type="dxa"/>
            <w:noWrap w:val="0"/>
            <w:vAlign w:val="center"/>
          </w:tcPr>
          <w:p w14:paraId="23B9BCD2">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管控要求类别</w:t>
            </w:r>
          </w:p>
        </w:tc>
        <w:tc>
          <w:tcPr>
            <w:tcW w:w="14977" w:type="dxa"/>
            <w:noWrap w:val="0"/>
            <w:vAlign w:val="center"/>
          </w:tcPr>
          <w:p w14:paraId="054EE3F9">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生态环境准入及管控要求</w:t>
            </w:r>
          </w:p>
        </w:tc>
      </w:tr>
      <w:tr w14:paraId="7DBB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jc w:val="center"/>
        </w:trPr>
        <w:tc>
          <w:tcPr>
            <w:tcW w:w="1595" w:type="dxa"/>
            <w:vMerge w:val="restart"/>
            <w:noWrap w:val="0"/>
            <w:vAlign w:val="center"/>
          </w:tcPr>
          <w:p w14:paraId="47BAFCC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优先保护单元</w:t>
            </w:r>
          </w:p>
        </w:tc>
        <w:tc>
          <w:tcPr>
            <w:tcW w:w="1932" w:type="dxa"/>
            <w:gridSpan w:val="2"/>
            <w:noWrap w:val="0"/>
            <w:vAlign w:val="center"/>
          </w:tcPr>
          <w:p w14:paraId="0F2AA68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陆域生态保护红线</w:t>
            </w:r>
          </w:p>
        </w:tc>
        <w:tc>
          <w:tcPr>
            <w:tcW w:w="2039" w:type="dxa"/>
            <w:noWrap w:val="0"/>
            <w:vAlign w:val="center"/>
          </w:tcPr>
          <w:p w14:paraId="7820D86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6C5F3A7E">
            <w:pPr>
              <w:numPr>
                <w:ilvl w:val="0"/>
                <w:numId w:val="0"/>
              </w:numPr>
              <w:shd w:val="clear" w:color="auto" w:fill="auto"/>
              <w:adjustRightInd w:val="0"/>
              <w:snapToGrid w:val="0"/>
              <w:rPr>
                <w:rFonts w:ascii="Times New Roman" w:hAnsi="宋体" w:eastAsia="宋体" w:cs="Times New Roman"/>
                <w:bCs/>
                <w:color w:val="auto"/>
                <w:szCs w:val="21"/>
                <w:highlight w:val="none"/>
                <w:u w:val="none"/>
              </w:rPr>
            </w:pPr>
            <w:r>
              <w:rPr>
                <w:rFonts w:hint="eastAsia" w:ascii="Times New Roman" w:hAnsi="宋体" w:cs="Times New Roman"/>
                <w:bCs/>
                <w:color w:val="auto"/>
                <w:szCs w:val="21"/>
                <w:highlight w:val="none"/>
                <w:u w:val="none"/>
                <w:lang w:val="en-US" w:eastAsia="zh-CN"/>
              </w:rPr>
              <w:t>1</w:t>
            </w:r>
            <w:r>
              <w:rPr>
                <w:rFonts w:ascii="Times New Roman" w:hAnsi="宋体" w:eastAsia="宋体" w:cs="Times New Roman"/>
                <w:bCs/>
                <w:color w:val="auto"/>
                <w:szCs w:val="21"/>
                <w:highlight w:val="none"/>
                <w:u w:val="none"/>
              </w:rPr>
              <w:t>．生态保护红线内，自然保护地核心保护区内原则上</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人为活动，自然保护地核心保护区外，</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开发性、生产性建设活动，在符合法律法规的前提下，仅允许对生态功能不造成破坏的有限人为活动。</w:t>
            </w:r>
          </w:p>
          <w:p w14:paraId="44BC0DEF">
            <w:pPr>
              <w:numPr>
                <w:ilvl w:val="0"/>
                <w:numId w:val="0"/>
              </w:num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．有限人为活动包括：</w:t>
            </w:r>
          </w:p>
          <w:p w14:paraId="1A1E3F9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）管</w:t>
            </w:r>
            <w:r>
              <w:rPr>
                <w:rFonts w:hint="eastAsia" w:ascii="Times New Roman" w:hAnsi="宋体" w:cs="Times New Roman"/>
                <w:color w:val="auto"/>
                <w:szCs w:val="21"/>
                <w:highlight w:val="none"/>
                <w:u w:val="none"/>
                <w:lang w:eastAsia="zh-CN"/>
              </w:rPr>
              <w:t>护巡</w:t>
            </w:r>
            <w:r>
              <w:rPr>
                <w:rFonts w:ascii="Times New Roman" w:hAnsi="宋体" w:eastAsia="宋体" w:cs="Times New Roman"/>
                <w:color w:val="auto"/>
                <w:szCs w:val="21"/>
                <w:highlight w:val="none"/>
                <w:u w:val="none"/>
              </w:rPr>
              <w:t>查、保护执法、科学研究、调查监测、测绘导航、防灾减灾救灾、军事国防、疫情防控等活动及相关的必要设施修筑。</w:t>
            </w:r>
          </w:p>
          <w:p w14:paraId="61759BB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原住居民和其他合法权益主体，允许在不扩大现有建设用地、用海用岛、耕地、水产养殖规模和放牧强度的前提下，开展种植、放牧、捕捞、养殖（不包括投礁型海洋牧场、围海养殖）等活动，修筑必须的生产生活设施。</w:t>
            </w:r>
          </w:p>
          <w:p w14:paraId="6C9A7EA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）按规定对人工商品林进行抚育采伐、择伐、果实采摘、更新改造，或以提升森林质量、优化栖息地、建设生物防火隔离带、林业有害生物防治等为目的的树种更新，依法开展的竹林采伐经营。</w:t>
            </w:r>
          </w:p>
          <w:p w14:paraId="02432C0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地质调查与矿产资源勘查开采。包括：基础地质调查和战略性矿产资源远景调查等公益性工作、铀矿勘查开采活动、已依法设立的油气探矿权继续勘查活动、已依法设立的油气采矿权不扩大用地用海范围、已依法设立的矿泉水和地热采矿权、已依法设立和新立铬、铜、镍、锂、钴、锆、钾盐、重稀土矿等战略性矿产探矿权开展勘查活动以及因国家战略需要开展的开采活动。</w:t>
            </w:r>
          </w:p>
          <w:p w14:paraId="541E625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）经依法批准的考古调查发掘、古生物化石调查发掘、标本采集和文物保护活动。</w:t>
            </w:r>
          </w:p>
          <w:p w14:paraId="3BB2D54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）不破坏生态功能的适度参观旅游、科普宣教及符合相关规划的配套性服务设施和相关的必要公共设施建设及维护。</w:t>
            </w:r>
          </w:p>
          <w:p w14:paraId="6DF9DC3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）必须且无法避让、符合县级以上国土空间规划的线性基础设施、通讯和防洪（潮）、供水设施建设和船舶航行、航道疏浚清淤等活动；已有的合法水利、交通运输等设施运行维护改造。</w:t>
            </w:r>
          </w:p>
          <w:p w14:paraId="446FF2E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）依据县级以上国土空间规划和生态保护修复专项规划开展的生态修复，包括山水林田湖草海湿地生态保护修复、废弃矿山生态修复等。</w:t>
            </w:r>
          </w:p>
          <w:p w14:paraId="2BBA796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）根据我国相关法律法规和与邻国签署的国界管理制度协定（条约）开展的边界边境通视道清理以及界务工程的修建、维护和拆除工作。</w:t>
            </w:r>
          </w:p>
          <w:p w14:paraId="57D9147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10</w:t>
            </w:r>
            <w:r>
              <w:rPr>
                <w:rFonts w:ascii="Times New Roman" w:hAnsi="宋体" w:eastAsia="宋体" w:cs="Times New Roman"/>
                <w:color w:val="auto"/>
                <w:szCs w:val="21"/>
                <w:highlight w:val="none"/>
                <w:u w:val="none"/>
              </w:rPr>
              <w:t>）法律法规规定允许的其他人为活动。</w:t>
            </w:r>
          </w:p>
          <w:p w14:paraId="7D35DB2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w:t>
            </w:r>
            <w:r>
              <w:rPr>
                <w:rFonts w:ascii="Times New Roman" w:hAnsi="宋体" w:eastAsia="宋体" w:cs="Times New Roman"/>
                <w:color w:val="auto"/>
                <w:szCs w:val="21"/>
                <w:highlight w:val="none"/>
                <w:u w:val="none"/>
              </w:rPr>
              <w:t>生态保护红线内自然保护区、森林公园、重要湿地、湿地公园、饮用水水源保护区、风景名胜区等区域，依照法律法规执行。</w:t>
            </w:r>
          </w:p>
        </w:tc>
      </w:tr>
      <w:tr w14:paraId="441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jc w:val="center"/>
        </w:trPr>
        <w:tc>
          <w:tcPr>
            <w:tcW w:w="1595" w:type="dxa"/>
            <w:vMerge w:val="continue"/>
            <w:noWrap w:val="0"/>
            <w:vAlign w:val="center"/>
          </w:tcPr>
          <w:p w14:paraId="5AB45A58">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74FA59F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所有陆域</w:t>
            </w:r>
          </w:p>
          <w:p w14:paraId="7E4D1EE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一般生态空间</w:t>
            </w:r>
          </w:p>
        </w:tc>
        <w:tc>
          <w:tcPr>
            <w:tcW w:w="2039" w:type="dxa"/>
            <w:noWrap w:val="0"/>
            <w:vAlign w:val="center"/>
          </w:tcPr>
          <w:p w14:paraId="58441879">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4E3C9628">
            <w:pPr>
              <w:shd w:val="clear" w:color="auto" w:fill="auto"/>
              <w:adjustRightInd w:val="0"/>
              <w:snapToGrid w:val="0"/>
              <w:rPr>
                <w:rFonts w:ascii="Times New Roman" w:hAnsi="Times New Roman" w:eastAsia="宋体" w:cs="Times New Roman"/>
                <w:b/>
                <w:bCs/>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．生态保护红线外的一般生态空间，除符合国土空间规划建设和布局要求、符合矿产资源总体规划、能源开发利用规划外，原则上按限制开发区域的要求进行管理。</w:t>
            </w:r>
          </w:p>
          <w:p w14:paraId="7E36570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．从严控制生态空间转为城镇空间和农业空间。生态空间与城镇空间、农业空间的相互转化利用，应符合国土空间规划用地布局和用途管制要求或符合国土空间规划修改的条件。</w:t>
            </w:r>
          </w:p>
          <w:p w14:paraId="46F0F9E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．一般生态空间内符合区域准入条件的建设项目，涉及占用生态空间中的林地、草原等，按有关法律法规规定办理；涉及占用生态空间中其他未作明确规定的用地，应当加强论证和管理。</w:t>
            </w:r>
          </w:p>
          <w:p w14:paraId="521EE96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．生态保护红线外的耕地，除符合国家生态退耕条件，并纳入国家生态退耕总体安排，或因国家重大生态工程建设需要外，</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随意转用。</w:t>
            </w:r>
          </w:p>
          <w:p w14:paraId="39D79D0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．科学规划、统筹安排荒地、荒漠等生态脆弱地区的生态建设，因各类生态建设规划和工程需要调整用途的，依照有关法律法规办理转用审批手续。</w:t>
            </w:r>
          </w:p>
          <w:p w14:paraId="232B22E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．在不改变利用方式的前提下，依据资源环境承载能力，对依法保护的生态空间实行承载力控制，防止过度垦殖、放牧、采伐、取水、渔猎、旅游等活动对生态功能造成损害，确保自然生态系统的稳定。</w:t>
            </w:r>
          </w:p>
          <w:p w14:paraId="18AAF8F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．鼓励各地依据生态保护需要和规划，结合土地综合整治、工矿废弃地复垦利用、矿山环境恢复治理等各类工程实施，因地制宜促进生态空间内建设用地逐步有序退出。</w:t>
            </w:r>
          </w:p>
          <w:p w14:paraId="5169B54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．生态保护红线外的一般生态空间，可依据《中华人民共和国森林法》有关规定开展正常的林业生产经营活动。</w:t>
            </w:r>
          </w:p>
        </w:tc>
      </w:tr>
      <w:tr w14:paraId="448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1595" w:type="dxa"/>
            <w:vMerge w:val="continue"/>
            <w:noWrap w:val="0"/>
            <w:vAlign w:val="center"/>
          </w:tcPr>
          <w:p w14:paraId="7580BA73">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67291B4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自然保护区</w:t>
            </w:r>
          </w:p>
        </w:tc>
        <w:tc>
          <w:tcPr>
            <w:tcW w:w="2039" w:type="dxa"/>
            <w:noWrap w:val="0"/>
            <w:vAlign w:val="center"/>
          </w:tcPr>
          <w:p w14:paraId="11B4B06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2456D1F7">
            <w:pPr>
              <w:shd w:val="clear" w:color="auto" w:fill="auto"/>
              <w:adjustRightInd w:val="0"/>
              <w:snapToGrid w:val="0"/>
              <w:rPr>
                <w:rFonts w:ascii="Times New Roman" w:hAnsi="Times New Roman" w:eastAsia="宋体" w:cs="Times New Roman"/>
                <w:b/>
                <w:bCs/>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．自然保护区核心保护区原则上</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人为活动。</w:t>
            </w:r>
          </w:p>
          <w:p w14:paraId="7E47D0F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．自然保护区核心保护区外，</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开发性、生产性建设活动，在符合法律法规前提下，除国家重大战略项目外，仅允许对生态功能不造成破坏的有限人为活动，主要包括：</w:t>
            </w:r>
          </w:p>
          <w:p w14:paraId="378732F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）管</w:t>
            </w:r>
            <w:r>
              <w:rPr>
                <w:rFonts w:hint="eastAsia" w:ascii="Times New Roman" w:hAnsi="宋体" w:cs="Times New Roman"/>
                <w:color w:val="auto"/>
                <w:szCs w:val="21"/>
                <w:highlight w:val="none"/>
                <w:u w:val="none"/>
                <w:lang w:eastAsia="zh-CN"/>
              </w:rPr>
              <w:t>护巡</w:t>
            </w:r>
            <w:r>
              <w:rPr>
                <w:rFonts w:ascii="Times New Roman" w:hAnsi="宋体" w:eastAsia="宋体" w:cs="Times New Roman"/>
                <w:color w:val="auto"/>
                <w:szCs w:val="21"/>
                <w:highlight w:val="none"/>
                <w:u w:val="none"/>
              </w:rPr>
              <w:t>查、保护执法、科学研究、调查监测、测绘导航、防灾减灾救灾、军事国防、疫情防控等活动及相关的必要设施修筑。</w:t>
            </w:r>
          </w:p>
          <w:p w14:paraId="5AF2B4E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原住居民和其他合法权益主体，允许在不扩大现有建设用地、用海用岛、耕地、水产养殖规模和放牧强度的前提下，开展种植、放牧、捕捞、养殖（不包括投礁型海洋牧场、围海养殖）等活动，修筑必须的生产生活设施。</w:t>
            </w:r>
          </w:p>
          <w:p w14:paraId="1DC4DFE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）按规定对人工商品林进行果实采摘，或以提升森林质量、优化栖息地、建设生物防火隔离带、林业有害生物防治等为目的的树种更新，依法开展的竹林采伐经营。</w:t>
            </w:r>
          </w:p>
          <w:p w14:paraId="7861BA7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）地质调查与矿产资源勘查开采。</w:t>
            </w:r>
          </w:p>
          <w:p w14:paraId="51B51D2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）经依法批准的考古调查发掘、古生物化石调查发掘、标本采集和文物保护活动。</w:t>
            </w:r>
          </w:p>
          <w:p w14:paraId="0A544AA6">
            <w:pPr>
              <w:shd w:val="clear" w:color="auto" w:fill="auto"/>
              <w:adjustRightInd w:val="0"/>
              <w:snapToGrid w:val="0"/>
              <w:rPr>
                <w:rFonts w:hint="eastAsia" w:ascii="Times New Roman" w:hAnsi="Times New Roman" w:eastAsia="宋体" w:cs="Times New Roman"/>
                <w:color w:val="auto"/>
                <w:szCs w:val="21"/>
                <w:highlight w:val="none"/>
                <w:u w:val="none"/>
                <w:lang w:eastAsia="zh-CN"/>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）不破坏生态功能的适度参观旅游、科普宣教及符合相关规划的配套性服务设施和相关的必要公共设施建设及维护</w:t>
            </w:r>
            <w:r>
              <w:rPr>
                <w:rFonts w:hint="eastAsia" w:ascii="Times New Roman" w:hAnsi="宋体" w:eastAsia="宋体" w:cs="Times New Roman"/>
                <w:color w:val="auto"/>
                <w:szCs w:val="21"/>
                <w:highlight w:val="none"/>
                <w:u w:val="none"/>
                <w:lang w:eastAsia="zh-CN"/>
              </w:rPr>
              <w:t>。</w:t>
            </w:r>
          </w:p>
          <w:p w14:paraId="7BCCF30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）必须且无法避让、符合县级以上国土空间规划的线性基础设施、通讯和防洪（潮）、供水设施建设和船舶航行、航道疏浚清淤等活动；已有的合法水利、交通运输等设施运行维护改造。</w:t>
            </w:r>
          </w:p>
          <w:p w14:paraId="752983F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）依据县级以上国土空间规划和生态保护修复专项规划开展的生态修复，包括山水林田湖草海湿地生态保护修复、废弃矿山生态修复等。</w:t>
            </w:r>
          </w:p>
          <w:p w14:paraId="13E9945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）根据我国相关法律法规和与邻国签署的国界管理制度协定（条约）开展的边界边境通视道清理以及界务工程的修建、维护和拆除工作。</w:t>
            </w:r>
          </w:p>
          <w:p w14:paraId="79F4957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10</w:t>
            </w:r>
            <w:r>
              <w:rPr>
                <w:rFonts w:ascii="Times New Roman" w:hAnsi="宋体" w:eastAsia="宋体" w:cs="Times New Roman"/>
                <w:color w:val="auto"/>
                <w:szCs w:val="21"/>
                <w:highlight w:val="none"/>
                <w:u w:val="none"/>
              </w:rPr>
              <w:t>）法律法规规定允许的其他人为活动。</w:t>
            </w:r>
          </w:p>
          <w:p w14:paraId="38DA0D1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．地质遗迹类自然保护区人为活动应符合《中华人民共和国自然保护区条例》《地质遗迹保护管理规定》等准入要求。</w:t>
            </w:r>
          </w:p>
        </w:tc>
      </w:tr>
      <w:tr w14:paraId="7DD6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jc w:val="center"/>
        </w:trPr>
        <w:tc>
          <w:tcPr>
            <w:tcW w:w="1595" w:type="dxa"/>
            <w:vMerge w:val="continue"/>
            <w:noWrap w:val="0"/>
            <w:vAlign w:val="center"/>
          </w:tcPr>
          <w:p w14:paraId="676B074F">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restart"/>
            <w:noWrap w:val="0"/>
            <w:vAlign w:val="center"/>
          </w:tcPr>
          <w:p w14:paraId="4DAF58C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饮用水水源保护区</w:t>
            </w:r>
          </w:p>
        </w:tc>
        <w:tc>
          <w:tcPr>
            <w:tcW w:w="963" w:type="dxa"/>
            <w:vMerge w:val="restart"/>
            <w:noWrap w:val="0"/>
            <w:vAlign w:val="center"/>
          </w:tcPr>
          <w:p w14:paraId="0370BEA8">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饮用水地表水源</w:t>
            </w:r>
          </w:p>
        </w:tc>
        <w:tc>
          <w:tcPr>
            <w:tcW w:w="2039" w:type="dxa"/>
            <w:vMerge w:val="restart"/>
            <w:noWrap w:val="0"/>
            <w:vAlign w:val="center"/>
          </w:tcPr>
          <w:p w14:paraId="7D72C1C3">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50F9F25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．一级保护区内：</w:t>
            </w:r>
          </w:p>
          <w:p w14:paraId="215ACC2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新建、改建、扩建与供水设施和保护水源无关的建设项目或者设施，已建成的与供水设施和保护水源无关的建设项目或设施，由县级以上人民政府责令拆除或者关闭；</w:t>
            </w:r>
          </w:p>
          <w:p w14:paraId="36AAE54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向水域排放污水，已设置的排污口必须拆除；</w:t>
            </w:r>
          </w:p>
          <w:p w14:paraId="494C9B8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不得</w:t>
            </w:r>
            <w:r>
              <w:rPr>
                <w:rFonts w:ascii="Times New Roman" w:hAnsi="宋体" w:eastAsia="宋体" w:cs="Times New Roman"/>
                <w:bCs/>
                <w:color w:val="auto"/>
                <w:szCs w:val="21"/>
                <w:highlight w:val="none"/>
                <w:u w:val="none"/>
              </w:rPr>
              <w:t>设置</w:t>
            </w:r>
            <w:r>
              <w:rPr>
                <w:rFonts w:ascii="Times New Roman" w:hAnsi="宋体" w:eastAsia="宋体" w:cs="Times New Roman"/>
                <w:color w:val="auto"/>
                <w:szCs w:val="21"/>
                <w:highlight w:val="none"/>
                <w:u w:val="none"/>
              </w:rPr>
              <w:t>与供水需要无关的码头，</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停泊油船和危险化学品船舶；</w:t>
            </w:r>
          </w:p>
          <w:p w14:paraId="5A42B61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堆放或填埋工业固体废物、生活垃圾、医疗废物和其他废物；</w:t>
            </w:r>
          </w:p>
          <w:p w14:paraId="5DDCC7D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设置油库；</w:t>
            </w:r>
          </w:p>
          <w:p w14:paraId="68BCC6B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养殖畜禽、旅游、游泳、垂钓；</w:t>
            </w:r>
          </w:p>
          <w:p w14:paraId="33B17DF1">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使用化肥、农药以及其他可能污染水源水体的化学物品；</w:t>
            </w:r>
          </w:p>
          <w:p w14:paraId="7A92E0E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从船舶向水体排放残油、废油，</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倾倒垃圾或者违反规定排放含油污水、生活污水等污染物；</w:t>
            </w:r>
          </w:p>
          <w:p w14:paraId="6587031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向水体排放含重金属、油类、酸碱类等有毒有害废液或者含病原体的污水，</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在水体清洗装贮过油类或者有毒有害物品的运输工具、容器；</w:t>
            </w:r>
          </w:p>
          <w:p w14:paraId="5818613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修建墓地、丢弃或者掩埋畜禽尸体以及含病原体的其他废物；</w:t>
            </w:r>
          </w:p>
          <w:p w14:paraId="1D296FA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毁林开垦、全垦整地、炼山；</w:t>
            </w:r>
          </w:p>
          <w:p w14:paraId="792CF00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严重影响水质的矿产资源勘查、开山采石、采矿、选冶和非疏浚性采砂；</w:t>
            </w:r>
          </w:p>
          <w:p w14:paraId="7FAC68B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向水体倾倒工业固体废物、生活垃圾以及其他废物；</w:t>
            </w:r>
          </w:p>
          <w:p w14:paraId="4D3A48D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严重影响水质的船舶水上拆解、打捞或者其他水上水下施工作业；</w:t>
            </w:r>
          </w:p>
          <w:p w14:paraId="66D5FDD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非更新、非低产低效林改造、非抚育采伐和其他破坏饮用水水源涵养林、护岸林以及其他植被的行为；</w:t>
            </w:r>
          </w:p>
          <w:p w14:paraId="4FA9685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新种植轮伐期不足十年的用材林；</w:t>
            </w:r>
          </w:p>
          <w:p w14:paraId="15CD618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法律法规规定的其他可能污染饮用水水源的行为。</w:t>
            </w:r>
          </w:p>
        </w:tc>
      </w:tr>
      <w:tr w14:paraId="787E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1595" w:type="dxa"/>
            <w:vMerge w:val="continue"/>
            <w:noWrap w:val="0"/>
            <w:vAlign w:val="center"/>
          </w:tcPr>
          <w:p w14:paraId="54421438">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58D47DF8">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6650C1BA">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20450850">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5EEE5EF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．二级保护区内：</w:t>
            </w:r>
          </w:p>
          <w:p w14:paraId="07745DE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设置排污口；</w:t>
            </w:r>
          </w:p>
          <w:p w14:paraId="261D950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新建、改建、扩建屠宰场、高尔夫球场、制胶、制糖、化工以及其他排放污染物的建设项目或者设施；</w:t>
            </w:r>
          </w:p>
          <w:p w14:paraId="6FD5E84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堆放、倾倒或者填埋化工原料、危险化学品、矿物油类以及有毒有害矿产品；</w:t>
            </w:r>
          </w:p>
          <w:p w14:paraId="6CF507C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建设垃圾填埋场、垃圾堆肥场、垃圾焚烧炉等垃圾处理设施；</w:t>
            </w:r>
          </w:p>
          <w:p w14:paraId="395030F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使用国家和自治区限制使用的农药；</w:t>
            </w:r>
          </w:p>
          <w:p w14:paraId="6CD62F7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使用含磷洗涤剂、高毒农药，</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滥用化肥；</w:t>
            </w:r>
          </w:p>
          <w:p w14:paraId="6A97528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从船舶向水体排放残油、废油，倾倒垃圾或者违反规定排放含油污水、生活污水等污染物；</w:t>
            </w:r>
          </w:p>
          <w:p w14:paraId="30813BF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向水体排放含重金属、油类、酸碱类等有毒有害废液或者含病原体的污水，</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在水体清洗装贮过油类或者有毒有害物品的运输工具、容器；</w:t>
            </w:r>
          </w:p>
          <w:p w14:paraId="15C2541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修建墓地、丢弃或者掩埋畜禽尸体以及含病原体的其他废物；</w:t>
            </w:r>
          </w:p>
          <w:p w14:paraId="62A6C5E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严重影响水质的矿产资源勘查、开山采石、采矿、选冶和非疏浚性采砂；</w:t>
            </w:r>
          </w:p>
          <w:p w14:paraId="749F135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向水体倾倒工业固体废物、生活垃圾以及其他废物；</w:t>
            </w:r>
          </w:p>
          <w:p w14:paraId="31D4060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严重影响水质的船舶水上拆解、打捞或者其他水上水下施工作业；</w:t>
            </w:r>
          </w:p>
          <w:p w14:paraId="439C410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非更新、非低产低效林改造、非抚育采伐和其他破坏饮用水水源涵养林、护岸林以及其他植被的行为；</w:t>
            </w:r>
          </w:p>
          <w:p w14:paraId="6621EFB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新种植轮伐期不足十年的用材林；</w:t>
            </w:r>
          </w:p>
          <w:p w14:paraId="765FF64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毁林开垦、全垦整地、炼山；</w:t>
            </w:r>
          </w:p>
          <w:p w14:paraId="0CEC666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网箱养殖以及规模化畜禽养殖；</w:t>
            </w:r>
          </w:p>
          <w:p w14:paraId="719F824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设立装卸垃圾、粪便、油类和有毒物品的码头；</w:t>
            </w:r>
          </w:p>
          <w:p w14:paraId="3ABDE19C">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法律法规规定的其他可能污染饮用水水源的行为。</w:t>
            </w:r>
          </w:p>
        </w:tc>
      </w:tr>
      <w:tr w14:paraId="5CBA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1595" w:type="dxa"/>
            <w:vMerge w:val="continue"/>
            <w:noWrap w:val="0"/>
            <w:vAlign w:val="center"/>
          </w:tcPr>
          <w:p w14:paraId="04276A99">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19B1E2E7">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620B2D6F">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5E94A1F6">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252BDC7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．准保护区内：</w:t>
            </w:r>
          </w:p>
          <w:p w14:paraId="17F9D87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设置对水体污染严重的工业企业、集中式污水处理厂、规模化养殖场等的排污口；</w:t>
            </w:r>
          </w:p>
          <w:p w14:paraId="6DBB0E9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新建、扩建化工造纸、制革、印染、染料、炼焦、炼砷、炼油、电镀、农药等对水体污染严重的建设项目，</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改建增加排污量的建设项目；</w:t>
            </w:r>
          </w:p>
          <w:p w14:paraId="09B9C57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设置化工原料、矿物油类以及有毒有害矿产品及其废物的存放场所和转运站；</w:t>
            </w:r>
          </w:p>
          <w:p w14:paraId="0746BB9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向水体排放含重金属、油类、酸碱类等有毒有害废液或者含病原体的污水，</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在水体清洗装贮过油类或者有毒有害物品的运输工具、容器；</w:t>
            </w:r>
          </w:p>
          <w:p w14:paraId="4A56FAA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使用含磷洗涤剂、高毒农药，</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滥用化肥；</w:t>
            </w:r>
          </w:p>
          <w:p w14:paraId="04713AD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严重影响水质的矿产资源勘查、开山采石、采矿、选冶和非疏浚性采砂；</w:t>
            </w:r>
          </w:p>
          <w:p w14:paraId="76E51A0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向水体倾倒工业固体废物、生活垃圾以及其他废物；</w:t>
            </w:r>
          </w:p>
          <w:p w14:paraId="6A19C6A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严重影响水质的船舶水上拆解、打捞或者其他水上水下施工作业；</w:t>
            </w:r>
          </w:p>
          <w:p w14:paraId="4C4741B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非更新、非低产低效林改造、非抚育采伐和其他破坏饮用水水源涵养林、护岸林的行为；</w:t>
            </w:r>
          </w:p>
          <w:p w14:paraId="133574C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网箱养殖以及规模化畜禽养殖；</w:t>
            </w:r>
          </w:p>
          <w:p w14:paraId="06F8002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法律法规规定的其他可能污染饮用水水源的行为。</w:t>
            </w:r>
          </w:p>
        </w:tc>
      </w:tr>
      <w:tr w14:paraId="0715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6" w:hRule="atLeast"/>
          <w:jc w:val="center"/>
        </w:trPr>
        <w:tc>
          <w:tcPr>
            <w:tcW w:w="1595" w:type="dxa"/>
            <w:vMerge w:val="continue"/>
            <w:noWrap w:val="0"/>
            <w:vAlign w:val="center"/>
          </w:tcPr>
          <w:p w14:paraId="74F6C04F">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03BC35B8">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194BCA7D">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39FB1068">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2DB3EDCC">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．现有项目退出要求：</w:t>
            </w:r>
          </w:p>
          <w:p w14:paraId="26C7A70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）现有排污口：饮</w:t>
            </w:r>
            <w:r>
              <w:rPr>
                <w:rFonts w:ascii="Times New Roman" w:hAnsi="宋体" w:eastAsia="宋体" w:cs="Times New Roman"/>
                <w:color w:val="auto"/>
                <w:szCs w:val="21"/>
                <w:highlight w:val="none"/>
                <w:u w:val="none"/>
              </w:rPr>
              <w:t>用水水源保护区内的排污口应拆除或关闭。对雨污分流彻底的城市雨水排口、排涝口，在饮用水水源保护区内的可暂不拆除或关闭，同时加强监测监管，在非降雨季节保持干燥清洁；在降雨时，确保排水水质符合饮用水水源地水质保护要求，否则，应限期整改，逾期整改仍不符合要求的，限期拆除或关闭原排口。</w:t>
            </w:r>
          </w:p>
          <w:p w14:paraId="44B18D8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）现有工业企业：</w:t>
            </w:r>
            <w:r>
              <w:rPr>
                <w:rFonts w:ascii="Times New Roman" w:hAnsi="宋体" w:eastAsia="宋体" w:cs="Times New Roman"/>
                <w:color w:val="auto"/>
                <w:szCs w:val="21"/>
                <w:highlight w:val="none"/>
                <w:u w:val="none"/>
              </w:rPr>
              <w:t>饮用水水源保护区内排放污染物的工业企业应拆除或关闭。</w:t>
            </w:r>
          </w:p>
          <w:p w14:paraId="3F57C49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）现有码头：</w:t>
            </w:r>
            <w:r>
              <w:rPr>
                <w:rFonts w:ascii="Times New Roman" w:hAnsi="宋体" w:eastAsia="宋体" w:cs="Times New Roman"/>
                <w:color w:val="auto"/>
                <w:szCs w:val="21"/>
                <w:highlight w:val="none"/>
                <w:u w:val="none"/>
              </w:rPr>
              <w:t>饮用水水源保护区内凡从事危险化学品、煤炭、矿砂、水泥等装卸作业的货运码头应拆除或关闭。饮用水水源一级保护区内旅游码头和航运、海事等管理部门工作码头应拆除或关闭。二级保护区内旅游码头和航运、海事等管理部门工作码头的污水、垃圾应统一收集至保护区外处理排放。自来水厂取水趸船（码头）、水文趸船作为供水设施和保护水源有关的建设项目，可以在饮用水水源保护区内存在。</w:t>
            </w:r>
          </w:p>
          <w:p w14:paraId="4EE2A23D">
            <w:pPr>
              <w:pStyle w:val="18"/>
              <w:widowControl w:val="0"/>
              <w:jc w:val="both"/>
              <w:rPr>
                <w:rFonts w:eastAsia="宋体"/>
                <w:bCs/>
                <w:color w:val="auto"/>
                <w:kern w:val="2"/>
                <w:sz w:val="21"/>
                <w:highlight w:val="none"/>
                <w:u w:val="none"/>
                <w:lang w:bidi="ar-SA"/>
              </w:rPr>
            </w:pPr>
            <w:r>
              <w:rPr>
                <w:rFonts w:hAnsi="宋体" w:eastAsia="宋体"/>
                <w:bCs/>
                <w:color w:val="auto"/>
                <w:kern w:val="2"/>
                <w:sz w:val="21"/>
                <w:highlight w:val="none"/>
                <w:u w:val="none"/>
                <w:lang w:bidi="ar-SA"/>
              </w:rPr>
              <w:t>（</w:t>
            </w:r>
            <w:r>
              <w:rPr>
                <w:rFonts w:eastAsia="宋体"/>
                <w:bCs/>
                <w:color w:val="auto"/>
                <w:kern w:val="2"/>
                <w:sz w:val="21"/>
                <w:highlight w:val="none"/>
                <w:u w:val="none"/>
                <w:lang w:bidi="ar-SA"/>
              </w:rPr>
              <w:t>4</w:t>
            </w:r>
            <w:r>
              <w:rPr>
                <w:rFonts w:hAnsi="宋体" w:eastAsia="宋体"/>
                <w:bCs/>
                <w:color w:val="auto"/>
                <w:kern w:val="2"/>
                <w:sz w:val="21"/>
                <w:highlight w:val="none"/>
                <w:u w:val="none"/>
                <w:lang w:bidi="ar-SA"/>
              </w:rPr>
              <w:t>）现有旅游餐饮项目：饮用水水源</w:t>
            </w:r>
            <w:r>
              <w:rPr>
                <w:rFonts w:hAnsi="宋体" w:eastAsia="宋体"/>
                <w:color w:val="auto"/>
                <w:kern w:val="2"/>
                <w:sz w:val="21"/>
                <w:highlight w:val="none"/>
                <w:u w:val="none"/>
                <w:lang w:bidi="ar-SA"/>
              </w:rPr>
              <w:t>保护区</w:t>
            </w:r>
            <w:r>
              <w:rPr>
                <w:rFonts w:hAnsi="宋体" w:eastAsia="宋体"/>
                <w:bCs/>
                <w:color w:val="auto"/>
                <w:kern w:val="2"/>
                <w:sz w:val="21"/>
                <w:highlight w:val="none"/>
                <w:u w:val="none"/>
                <w:lang w:bidi="ar-SA"/>
              </w:rPr>
              <w:t>内农家乐、宾馆酒店、餐饮娱乐等项目应拆除或关闭。</w:t>
            </w:r>
          </w:p>
          <w:p w14:paraId="700209A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5</w:t>
            </w:r>
            <w:r>
              <w:rPr>
                <w:rFonts w:ascii="Times New Roman" w:hAnsi="宋体" w:eastAsia="宋体" w:cs="Times New Roman"/>
                <w:bCs/>
                <w:color w:val="auto"/>
                <w:szCs w:val="21"/>
                <w:highlight w:val="none"/>
                <w:u w:val="none"/>
              </w:rPr>
              <w:t>）现有加油站、加气站：</w:t>
            </w:r>
            <w:r>
              <w:rPr>
                <w:rFonts w:ascii="Times New Roman" w:hAnsi="宋体" w:eastAsia="宋体" w:cs="Times New Roman"/>
                <w:color w:val="auto"/>
                <w:szCs w:val="21"/>
                <w:highlight w:val="none"/>
                <w:u w:val="none"/>
              </w:rPr>
              <w:t>饮用水水源一级保护区内加油站和加气站应拆除或关闭；二级保护区内加油站应完成双层罐体改造。</w:t>
            </w:r>
          </w:p>
          <w:p w14:paraId="05B25F9F">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6</w:t>
            </w:r>
            <w:r>
              <w:rPr>
                <w:rFonts w:ascii="Times New Roman" w:hAnsi="宋体" w:eastAsia="宋体" w:cs="Times New Roman"/>
                <w:bCs/>
                <w:color w:val="auto"/>
                <w:szCs w:val="21"/>
                <w:highlight w:val="none"/>
                <w:u w:val="none"/>
              </w:rPr>
              <w:t>）现有农业面源污染：饮用水水源一级保护区内农业种植应严格控制农药、化肥等非点源污染，并逐步退出</w:t>
            </w:r>
            <w:r>
              <w:rPr>
                <w:rFonts w:ascii="Times New Roman" w:hAnsi="宋体" w:eastAsia="宋体" w:cs="Times New Roman"/>
                <w:color w:val="auto"/>
                <w:szCs w:val="21"/>
                <w:highlight w:val="none"/>
                <w:u w:val="none"/>
              </w:rPr>
              <w:t>；饮用水水源二级保护区内农业种植和经济林应实行科学种植和非点源污染防治。饮用水水源一级保护区内所有经营性的畜禽养殖活动应取缔，养殖设施应拆除。二级保护区内排放污染物的规模化畜禽养殖场应拆除或关闭；分散式畜禽养殖圈舍应做到养殖废物全部资源化利用，且尽量远离取水口，</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向水体直接倾倒畜禽粪便和排放养殖污水。饮用水水源二级保护区内网箱养殖、坑塘养殖、水面围网养殖等活动，未采取有效措施防止污染水体的应取缔。</w:t>
            </w:r>
          </w:p>
          <w:p w14:paraId="702ECE40">
            <w:pPr>
              <w:widowControl w:val="0"/>
              <w:autoSpaceDE w:val="0"/>
              <w:autoSpaceDN w:val="0"/>
              <w:adjustRightInd w:val="0"/>
              <w:jc w:val="both"/>
              <w:textAlignment w:val="baseline"/>
              <w:rPr>
                <w:rFonts w:hint="default" w:ascii="Times New Roman" w:hAnsi="Times New Roman" w:eastAsia="宋体" w:cs="Times New Roman"/>
                <w:bCs/>
                <w:color w:val="auto"/>
                <w:kern w:val="2"/>
                <w:sz w:val="21"/>
                <w:szCs w:val="21"/>
                <w:highlight w:val="none"/>
                <w:u w:val="none"/>
                <w:lang w:val="en-US" w:eastAsia="zh-CN" w:bidi="ar-SA"/>
              </w:rPr>
            </w:pPr>
            <w:r>
              <w:rPr>
                <w:rFonts w:hint="default" w:ascii="Times New Roman" w:hAnsi="宋体" w:eastAsia="宋体" w:cs="Times New Roman"/>
                <w:bCs/>
                <w:color w:val="auto"/>
                <w:kern w:val="2"/>
                <w:sz w:val="21"/>
                <w:szCs w:val="21"/>
                <w:highlight w:val="none"/>
                <w:u w:val="none"/>
                <w:lang w:val="en-US" w:eastAsia="zh-CN" w:bidi="ar-SA"/>
              </w:rPr>
              <w:t>（</w:t>
            </w:r>
            <w:r>
              <w:rPr>
                <w:rFonts w:hint="default" w:ascii="Times New Roman" w:hAnsi="Times New Roman" w:eastAsia="宋体" w:cs="Times New Roman"/>
                <w:bCs/>
                <w:color w:val="auto"/>
                <w:kern w:val="2"/>
                <w:sz w:val="21"/>
                <w:szCs w:val="21"/>
                <w:highlight w:val="none"/>
                <w:u w:val="none"/>
                <w:lang w:val="en-US" w:eastAsia="zh-CN" w:bidi="ar-SA"/>
              </w:rPr>
              <w:t>7</w:t>
            </w:r>
            <w:r>
              <w:rPr>
                <w:rFonts w:hint="default" w:ascii="Times New Roman" w:hAnsi="宋体" w:eastAsia="宋体" w:cs="Times New Roman"/>
                <w:bCs/>
                <w:color w:val="auto"/>
                <w:kern w:val="2"/>
                <w:sz w:val="21"/>
                <w:szCs w:val="21"/>
                <w:highlight w:val="none"/>
                <w:u w:val="none"/>
                <w:lang w:val="en-US" w:eastAsia="zh-CN" w:bidi="ar-SA"/>
              </w:rPr>
              <w:t>）现有生活面源污染：</w:t>
            </w:r>
            <w:r>
              <w:rPr>
                <w:rFonts w:hint="default" w:ascii="Times New Roman" w:hAnsi="宋体" w:eastAsia="宋体" w:cs="Times New Roman"/>
                <w:color w:val="auto"/>
                <w:kern w:val="2"/>
                <w:sz w:val="21"/>
                <w:szCs w:val="21"/>
                <w:highlight w:val="none"/>
                <w:u w:val="none"/>
                <w:lang w:val="en-US" w:eastAsia="zh-CN" w:bidi="ar-SA"/>
              </w:rPr>
              <w:t>原住居民住宅允许在饮用水水源保护区内保留，其生产的生活污水和垃圾必须收集处理；仅针对原住居民的非经营性新农村建设、安居工程建设项目，可以在饮用水水源二级保护区内保留，但产生的生活污水和垃圾必须进行收集处理。在上述情形配套建设的污染治理设施可以在饮用水水源保护区内保留，但处理后的污水原则上引到保护区外排放；不具备外引条件的，可通过农田灌溉、植树、造林等方式回用，或排入湿地进行二次处理。</w:t>
            </w:r>
          </w:p>
        </w:tc>
      </w:tr>
      <w:tr w14:paraId="7BC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1595" w:type="dxa"/>
            <w:vMerge w:val="continue"/>
            <w:noWrap w:val="0"/>
            <w:vAlign w:val="center"/>
          </w:tcPr>
          <w:p w14:paraId="0A1ABE2F">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restart"/>
            <w:noWrap w:val="0"/>
            <w:vAlign w:val="center"/>
          </w:tcPr>
          <w:p w14:paraId="2E57738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饮用水水源保护区</w:t>
            </w:r>
          </w:p>
        </w:tc>
        <w:tc>
          <w:tcPr>
            <w:tcW w:w="963" w:type="dxa"/>
            <w:vMerge w:val="restart"/>
            <w:noWrap w:val="0"/>
            <w:vAlign w:val="center"/>
          </w:tcPr>
          <w:p w14:paraId="31349F2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饮用水</w:t>
            </w:r>
          </w:p>
          <w:p w14:paraId="73F1C5E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地下水源</w:t>
            </w:r>
          </w:p>
        </w:tc>
        <w:tc>
          <w:tcPr>
            <w:tcW w:w="2039" w:type="dxa"/>
            <w:vMerge w:val="restart"/>
            <w:noWrap w:val="0"/>
            <w:vAlign w:val="center"/>
          </w:tcPr>
          <w:p w14:paraId="2C7936D2">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6600C817">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．一级保护区内：</w:t>
            </w:r>
          </w:p>
          <w:p w14:paraId="694B76F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建设与取水设施无关的建筑物或者构筑物；</w:t>
            </w:r>
          </w:p>
          <w:p w14:paraId="2010061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从事农牧业活动；</w:t>
            </w:r>
          </w:p>
          <w:p w14:paraId="1FB7E40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建设油库；</w:t>
            </w:r>
          </w:p>
          <w:p w14:paraId="7057F75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铺设输送污水、油类、有毒有害物品的管道；</w:t>
            </w:r>
          </w:p>
          <w:p w14:paraId="57DABC6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修建墓地、丢弃以及掩埋动物尸体等含病原体的其他废物；</w:t>
            </w:r>
          </w:p>
          <w:p w14:paraId="4208C9D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利用渗井、渗坑、裂隙或者溶洞排放、倾倒含有毒污染物的废水、含病原体的污水或者其他废物；</w:t>
            </w:r>
          </w:p>
          <w:p w14:paraId="62AA3A5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利用无防渗漏措施的沟渠、坑塘等输送或者存贮含有毒污染物的废水、含病原体的污水和其他废物；</w:t>
            </w:r>
          </w:p>
          <w:p w14:paraId="3DA8333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利用透水层孔隙、裂隙、溶洞和废弃矿坑储存油类、放射性物质、有毒有害化学物品、农药等；</w:t>
            </w:r>
          </w:p>
          <w:p w14:paraId="53F8CB8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设置化工原料、矿物油类以及有毒有害矿产品的贮存场所或者生活垃圾、工业固体废物以及危险废物的堆放场所和转运站；</w:t>
            </w:r>
          </w:p>
          <w:p w14:paraId="0987B66C">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倾倒工业废渣及城市垃圾、粪便和其他有害废弃物；</w:t>
            </w:r>
          </w:p>
          <w:p w14:paraId="2B162C7D">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可能严重影响水质的矿产资源勘查、开采、选冶等活动。</w:t>
            </w:r>
          </w:p>
        </w:tc>
      </w:tr>
      <w:tr w14:paraId="1C2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595" w:type="dxa"/>
            <w:vMerge w:val="continue"/>
            <w:noWrap w:val="0"/>
            <w:vAlign w:val="center"/>
          </w:tcPr>
          <w:p w14:paraId="4249E7C8">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303C14AE">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5F46F443">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2F13DAE7">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68B8831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．二级保护区内：</w:t>
            </w:r>
          </w:p>
          <w:p w14:paraId="1D17442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新建、改建、扩建排放污染物的建设项目；</w:t>
            </w:r>
          </w:p>
          <w:p w14:paraId="2670839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铺设输送污水、油类、有毒有害物品的管道；</w:t>
            </w:r>
          </w:p>
          <w:p w14:paraId="58CC31C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修建墓地、丢弃以及掩埋动物尸体等含病原体的其他废物；</w:t>
            </w:r>
          </w:p>
          <w:p w14:paraId="3907AF9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利用渗井、渗坑、裂隙或者溶洞排放、倾倒含有毒污染物的废水、含病原体的污水或者其他废物；</w:t>
            </w:r>
          </w:p>
          <w:p w14:paraId="4169B6D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利用无防渗漏措施的沟渠、坑塘等输送或者存贮含有毒污染物的废水、含病原体的污水和其他废物；</w:t>
            </w:r>
          </w:p>
          <w:p w14:paraId="3967661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利用透水层孔隙、裂隙、溶洞和废弃矿坑储存油类、放射性物质、有毒有害化学物品、农药等；</w:t>
            </w:r>
          </w:p>
          <w:p w14:paraId="5AFA279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设置化工原料、矿物油类以及有毒有害矿产品的贮存场所或者生活垃圾、工业固体废物以及危险废物的堆放场所和转运站；</w:t>
            </w:r>
          </w:p>
          <w:p w14:paraId="148A9FCE">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可能严重影响水质的矿产资源勘查、开采、选冶等活动。</w:t>
            </w:r>
          </w:p>
        </w:tc>
      </w:tr>
      <w:tr w14:paraId="216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595" w:type="dxa"/>
            <w:vMerge w:val="continue"/>
            <w:noWrap w:val="0"/>
            <w:vAlign w:val="center"/>
          </w:tcPr>
          <w:p w14:paraId="131B34A2">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7D7DD4FF">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6F679A12">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7D458285">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6317264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．准保护区内：</w:t>
            </w:r>
          </w:p>
          <w:p w14:paraId="633CBBC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利用渗井、渗坑、裂隙或者溶洞排放、倾倒含有毒污染物的废水、含病原体的污水或者其他废物；</w:t>
            </w:r>
          </w:p>
          <w:p w14:paraId="00FF555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利用无防渗漏措施的沟渠、坑塘等输送或者存贮含有毒污染物的废水、含病原体的污水和其他废物；</w:t>
            </w:r>
          </w:p>
          <w:p w14:paraId="0C8BF70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利用透水层孔隙、裂隙、溶洞和废弃矿坑储存油类、放射性物质、有毒有害化学物品、农药等；</w:t>
            </w:r>
          </w:p>
          <w:p w14:paraId="7288974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设置化工原料、矿物油类以及有毒有害矿产品的贮存场所或者生活垃圾、工业固体废物以及危险废物的堆放场所和转运站；</w:t>
            </w:r>
          </w:p>
          <w:p w14:paraId="578D1DA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可能严重影响水质的矿产资源勘查、开采、选冶等活动；</w:t>
            </w:r>
          </w:p>
          <w:p w14:paraId="543C62A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毁林开荒，</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非更新砍伐水源林。</w:t>
            </w:r>
          </w:p>
        </w:tc>
      </w:tr>
      <w:tr w14:paraId="56B4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1595" w:type="dxa"/>
            <w:vMerge w:val="continue"/>
            <w:noWrap w:val="0"/>
            <w:vAlign w:val="center"/>
          </w:tcPr>
          <w:p w14:paraId="34DE35A8">
            <w:pPr>
              <w:shd w:val="clear" w:color="auto" w:fill="auto"/>
              <w:adjustRightInd w:val="0"/>
              <w:snapToGrid w:val="0"/>
              <w:rPr>
                <w:rFonts w:ascii="Times New Roman" w:hAnsi="Times New Roman" w:eastAsia="宋体" w:cs="Times New Roman"/>
                <w:color w:val="auto"/>
                <w:szCs w:val="21"/>
                <w:highlight w:val="none"/>
                <w:u w:val="none"/>
              </w:rPr>
            </w:pPr>
          </w:p>
        </w:tc>
        <w:tc>
          <w:tcPr>
            <w:tcW w:w="969" w:type="dxa"/>
            <w:vMerge w:val="continue"/>
            <w:noWrap w:val="0"/>
            <w:vAlign w:val="center"/>
          </w:tcPr>
          <w:p w14:paraId="4512705C">
            <w:pPr>
              <w:shd w:val="clear" w:color="auto" w:fill="auto"/>
              <w:adjustRightInd w:val="0"/>
              <w:snapToGrid w:val="0"/>
              <w:rPr>
                <w:rFonts w:ascii="Times New Roman" w:hAnsi="Times New Roman" w:eastAsia="宋体" w:cs="Times New Roman"/>
                <w:color w:val="auto"/>
                <w:szCs w:val="21"/>
                <w:highlight w:val="none"/>
                <w:u w:val="none"/>
              </w:rPr>
            </w:pPr>
          </w:p>
        </w:tc>
        <w:tc>
          <w:tcPr>
            <w:tcW w:w="963" w:type="dxa"/>
            <w:vMerge w:val="continue"/>
            <w:noWrap w:val="0"/>
            <w:vAlign w:val="center"/>
          </w:tcPr>
          <w:p w14:paraId="64EBF29E">
            <w:pPr>
              <w:shd w:val="clear" w:color="auto" w:fill="auto"/>
              <w:adjustRightInd w:val="0"/>
              <w:snapToGrid w:val="0"/>
              <w:rPr>
                <w:rFonts w:ascii="Times New Roman" w:hAnsi="Times New Roman" w:eastAsia="宋体" w:cs="Times New Roman"/>
                <w:color w:val="auto"/>
                <w:szCs w:val="21"/>
                <w:highlight w:val="none"/>
                <w:u w:val="none"/>
              </w:rPr>
            </w:pPr>
          </w:p>
        </w:tc>
        <w:tc>
          <w:tcPr>
            <w:tcW w:w="2039" w:type="dxa"/>
            <w:vMerge w:val="continue"/>
            <w:noWrap w:val="0"/>
            <w:vAlign w:val="center"/>
          </w:tcPr>
          <w:p w14:paraId="0C1B0F46">
            <w:pPr>
              <w:shd w:val="clear" w:color="auto" w:fill="auto"/>
              <w:adjustRightInd w:val="0"/>
              <w:snapToGrid w:val="0"/>
              <w:rPr>
                <w:rFonts w:ascii="Times New Roman" w:hAnsi="Times New Roman" w:eastAsia="宋体" w:cs="Times New Roman"/>
                <w:color w:val="auto"/>
                <w:szCs w:val="21"/>
                <w:highlight w:val="none"/>
                <w:u w:val="none"/>
              </w:rPr>
            </w:pPr>
          </w:p>
        </w:tc>
        <w:tc>
          <w:tcPr>
            <w:tcW w:w="14977" w:type="dxa"/>
            <w:noWrap w:val="0"/>
            <w:vAlign w:val="center"/>
          </w:tcPr>
          <w:p w14:paraId="3FE0A1F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．现有项目退出要求：</w:t>
            </w:r>
          </w:p>
          <w:p w14:paraId="4280ED79">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现有排污口：饮用水水源保护区内的排污口应拆除或关闭。对雨污分流彻底的城市雨水排口、排涝口，在饮用水水源保护区内的可暂不拆除或关闭，同时加强监测监管，在非降雨季节保持干燥清洁；在降雨时，确保排水水质符合饮用水水源地水质保护要求，否则，应限期整改，逾期整改仍不符合要求的，限期拆除或关闭原排口。</w:t>
            </w:r>
          </w:p>
          <w:p w14:paraId="004E62E6">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）现有工业企业：饮用水水源保护区内排放污染物的工业企业应拆除或关闭。</w:t>
            </w:r>
          </w:p>
          <w:p w14:paraId="7C96F42E">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现有码头：饮用水水源保护区内凡从事危险化学品、煤炭、矿砂、水泥等装卸作业的货运码头应拆除或关闭。饮用水水源一级保护区内旅游码头和航运、海事等管理部门工作码头应拆除或关闭。二级保护区内旅游码头和航运、海事等管理部门工作码头的污水、垃圾应统一收集至保护区外处理排放。自来水厂取水趸船（码头）、水文趸船作为与供水设施和保护水源有关的建设项目，可以在饮用水水源保护区内存在。</w:t>
            </w:r>
          </w:p>
          <w:p w14:paraId="0C8E60E8">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4</w:t>
            </w:r>
            <w:r>
              <w:rPr>
                <w:rFonts w:ascii="Times New Roman" w:hAnsi="宋体" w:eastAsia="宋体" w:cs="Times New Roman"/>
                <w:bCs/>
                <w:color w:val="auto"/>
                <w:szCs w:val="21"/>
                <w:highlight w:val="none"/>
                <w:u w:val="none"/>
              </w:rPr>
              <w:t>）现有旅游餐饮项目：饮用水水源保护区内农家乐、宾馆酒店、餐饮娱乐等项目应拆除或关闭。</w:t>
            </w:r>
          </w:p>
          <w:p w14:paraId="313FE3CF">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5</w:t>
            </w:r>
            <w:r>
              <w:rPr>
                <w:rFonts w:ascii="Times New Roman" w:hAnsi="宋体" w:eastAsia="宋体" w:cs="Times New Roman"/>
                <w:bCs/>
                <w:color w:val="auto"/>
                <w:szCs w:val="21"/>
                <w:highlight w:val="none"/>
                <w:u w:val="none"/>
              </w:rPr>
              <w:t>）现有加油站、加气站：饮用水水源一级保护区内加油站和加气站应拆除或关闭；二级保护区内加油站应完成双层罐体改造。</w:t>
            </w:r>
          </w:p>
          <w:p w14:paraId="5C68D936">
            <w:pPr>
              <w:pStyle w:val="18"/>
              <w:widowControl w:val="0"/>
              <w:jc w:val="both"/>
              <w:rPr>
                <w:rFonts w:eastAsia="宋体"/>
                <w:bCs/>
                <w:color w:val="auto"/>
                <w:kern w:val="2"/>
                <w:sz w:val="21"/>
                <w:highlight w:val="none"/>
                <w:u w:val="none"/>
                <w:lang w:bidi="ar-SA"/>
              </w:rPr>
            </w:pPr>
            <w:r>
              <w:rPr>
                <w:rFonts w:hAnsi="宋体" w:eastAsia="宋体"/>
                <w:bCs/>
                <w:color w:val="auto"/>
                <w:kern w:val="2"/>
                <w:sz w:val="21"/>
                <w:highlight w:val="none"/>
                <w:u w:val="none"/>
                <w:lang w:bidi="ar-SA"/>
              </w:rPr>
              <w:t>（</w:t>
            </w:r>
            <w:r>
              <w:rPr>
                <w:rFonts w:eastAsia="宋体"/>
                <w:bCs/>
                <w:color w:val="auto"/>
                <w:kern w:val="2"/>
                <w:sz w:val="21"/>
                <w:highlight w:val="none"/>
                <w:u w:val="none"/>
                <w:lang w:bidi="ar-SA"/>
              </w:rPr>
              <w:t>6</w:t>
            </w:r>
            <w:r>
              <w:rPr>
                <w:rFonts w:hAnsi="宋体" w:eastAsia="宋体"/>
                <w:bCs/>
                <w:color w:val="auto"/>
                <w:kern w:val="2"/>
                <w:sz w:val="21"/>
                <w:highlight w:val="none"/>
                <w:u w:val="none"/>
                <w:lang w:bidi="ar-SA"/>
              </w:rPr>
              <w:t>）现有农业面源污染：</w:t>
            </w:r>
            <w:r>
              <w:rPr>
                <w:rFonts w:hAnsi="宋体" w:eastAsia="宋体"/>
                <w:color w:val="auto"/>
                <w:kern w:val="2"/>
                <w:sz w:val="21"/>
                <w:highlight w:val="none"/>
                <w:u w:val="none"/>
                <w:lang w:bidi="ar-SA"/>
              </w:rPr>
              <w:t>饮用水水源一级保护区内农业种植应严格控制农药、化肥等非点源污染，并逐步退出；饮用水水源二级保护区内农业种植和经济林应实行科学种植和非点源污染防治。饮用水水源一级保护区内所有经营性的畜禽养殖活动应取缔，养殖设施应拆除。二级保护区内排放污染物的规模化畜禽养殖场应拆除或关闭；分散式畜禽养殖圈舍应做到养殖废物全部资源</w:t>
            </w:r>
            <w:r>
              <w:rPr>
                <w:rFonts w:hAnsi="宋体" w:eastAsia="宋体"/>
                <w:bCs/>
                <w:color w:val="auto"/>
                <w:kern w:val="2"/>
                <w:sz w:val="21"/>
                <w:highlight w:val="none"/>
                <w:u w:val="none"/>
                <w:lang w:bidi="ar-SA"/>
              </w:rPr>
              <w:t>化利用，且尽量远离取水口，</w:t>
            </w:r>
            <w:r>
              <w:rPr>
                <w:rFonts w:hAnsi="宋体" w:eastAsia="宋体"/>
                <w:b/>
                <w:color w:val="auto"/>
                <w:kern w:val="2"/>
                <w:sz w:val="21"/>
                <w:highlight w:val="none"/>
                <w:u w:val="none"/>
                <w:lang w:bidi="ar-SA"/>
              </w:rPr>
              <w:t>不得</w:t>
            </w:r>
            <w:r>
              <w:rPr>
                <w:rFonts w:hAnsi="宋体" w:eastAsia="宋体"/>
                <w:bCs/>
                <w:color w:val="auto"/>
                <w:kern w:val="2"/>
                <w:sz w:val="21"/>
                <w:highlight w:val="none"/>
                <w:u w:val="none"/>
                <w:lang w:bidi="ar-SA"/>
              </w:rPr>
              <w:t>向水体直接倾倒畜禽粪便和排放养殖污水。饮用水水源二级保护区内网箱养殖、坑塘养殖、水面围网养殖等活动，未采取有效措施防止污染水体的应取缔。</w:t>
            </w:r>
          </w:p>
          <w:p w14:paraId="292D3D00">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7</w:t>
            </w:r>
            <w:r>
              <w:rPr>
                <w:rFonts w:ascii="Times New Roman" w:hAnsi="宋体" w:eastAsia="宋体" w:cs="Times New Roman"/>
                <w:bCs/>
                <w:color w:val="auto"/>
                <w:szCs w:val="21"/>
                <w:highlight w:val="none"/>
                <w:u w:val="none"/>
              </w:rPr>
              <w:t>）现有生活面源污染：原住居民住宅允许在饮用水水源保护区内保留，其生产的生活污水和垃圾必须收集处理；仅针对原住居民的非经营性新</w:t>
            </w:r>
            <w:r>
              <w:rPr>
                <w:rFonts w:ascii="Times New Roman" w:hAnsi="宋体" w:eastAsia="宋体" w:cs="Times New Roman"/>
                <w:color w:val="auto"/>
                <w:szCs w:val="21"/>
                <w:highlight w:val="none"/>
                <w:u w:val="none"/>
              </w:rPr>
              <w:t>农村建设、安居工程建设项目，可以在饮用水水源二级保护区内保留，但产生的生活污水和垃圾必须进行收集处理。为上述情形配套建设的污染治理设施可以在饮用水水源保护区内保留，但处理后的污水原则上引到保护区外排放；不具备外引条件的，可通过农田灌溉、植树、造林等方式回用，或排入湿地进行二次处理。</w:t>
            </w:r>
          </w:p>
        </w:tc>
      </w:tr>
      <w:tr w14:paraId="528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595" w:type="dxa"/>
            <w:vMerge w:val="continue"/>
            <w:noWrap w:val="0"/>
            <w:vAlign w:val="center"/>
          </w:tcPr>
          <w:p w14:paraId="5EB6007A">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vMerge w:val="restart"/>
            <w:noWrap w:val="0"/>
            <w:vAlign w:val="center"/>
          </w:tcPr>
          <w:p w14:paraId="40E7621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饮用水水源保护区</w:t>
            </w:r>
          </w:p>
        </w:tc>
        <w:tc>
          <w:tcPr>
            <w:tcW w:w="2039" w:type="dxa"/>
            <w:noWrap w:val="0"/>
            <w:vAlign w:val="center"/>
          </w:tcPr>
          <w:p w14:paraId="6DCC2F38">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污染物排放管控</w:t>
            </w:r>
          </w:p>
        </w:tc>
        <w:tc>
          <w:tcPr>
            <w:tcW w:w="14977" w:type="dxa"/>
            <w:noWrap w:val="0"/>
            <w:vAlign w:val="center"/>
          </w:tcPr>
          <w:p w14:paraId="0558DF1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．不能满足水质要求的地表水饮用水水源，准保护区或汇水区域采取水污染物容量总量控制措施，限期达标。</w:t>
            </w:r>
          </w:p>
          <w:p w14:paraId="7D22460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．准保护区内工业园区企业的第一类水污染物达到车间排放要求、常规污染物达到间接排放标准后，进入园区污水处理厂集中处理。</w:t>
            </w:r>
          </w:p>
        </w:tc>
      </w:tr>
      <w:tr w14:paraId="4832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595" w:type="dxa"/>
            <w:vMerge w:val="continue"/>
            <w:noWrap w:val="0"/>
            <w:vAlign w:val="center"/>
          </w:tcPr>
          <w:p w14:paraId="1C124655">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vMerge w:val="continue"/>
            <w:noWrap w:val="0"/>
            <w:vAlign w:val="center"/>
          </w:tcPr>
          <w:p w14:paraId="1C6BDC4D">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039" w:type="dxa"/>
            <w:noWrap w:val="0"/>
            <w:vAlign w:val="center"/>
          </w:tcPr>
          <w:p w14:paraId="4A94538D">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环境风险防控</w:t>
            </w:r>
          </w:p>
        </w:tc>
        <w:tc>
          <w:tcPr>
            <w:tcW w:w="14977" w:type="dxa"/>
            <w:noWrap w:val="0"/>
            <w:vAlign w:val="center"/>
          </w:tcPr>
          <w:p w14:paraId="0D0CE04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．一级保护区周边人类活动频繁的区域设置隔离防护设施。</w:t>
            </w:r>
          </w:p>
          <w:p w14:paraId="16E30E7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二级保护区内乡级及以下道路和景观步行道应做好与饮用水水体的隔离防护及设置必要的应急措施，避免人类活动对水质的影响。县级及以上公路、道路、铁路、桥梁等应严格限制有毒有害物质和危险化学品的运输，开展视频监控，跨越或与水体并行的路桥两侧建设防撞栏、桥面径流收集系统等事故应急防护工程设施。</w:t>
            </w:r>
          </w:p>
          <w:p w14:paraId="601308B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．穿越饮用水水源保护区的船只，应配备防治污染物散落、溢流、渗漏设施。</w:t>
            </w:r>
          </w:p>
          <w:p w14:paraId="17F0C66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．穿越饮用水水源保护区的输油、输气管道采取防泄漏措施，必要时设置事故导流槽。</w:t>
            </w:r>
          </w:p>
          <w:p w14:paraId="5330A5A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在饮用水水源保护区、河道内丢弃农药、农药包装物或者清洗施药器械。</w:t>
            </w:r>
            <w:r>
              <w:rPr>
                <w:rFonts w:ascii="Times New Roman" w:hAnsi="宋体" w:eastAsia="宋体" w:cs="Times New Roman"/>
                <w:b/>
                <w:bCs/>
                <w:color w:val="auto"/>
                <w:szCs w:val="21"/>
                <w:highlight w:val="none"/>
                <w:u w:val="none"/>
              </w:rPr>
              <w:t>严禁</w:t>
            </w:r>
            <w:r>
              <w:rPr>
                <w:rFonts w:ascii="Times New Roman" w:hAnsi="宋体" w:eastAsia="宋体" w:cs="Times New Roman"/>
                <w:color w:val="auto"/>
                <w:szCs w:val="21"/>
                <w:highlight w:val="none"/>
                <w:u w:val="none"/>
              </w:rPr>
              <w:t>在饮用水水源保护区内使用农药，</w:t>
            </w:r>
            <w:r>
              <w:rPr>
                <w:rFonts w:ascii="Times New Roman" w:hAnsi="宋体" w:eastAsia="宋体" w:cs="Times New Roman"/>
                <w:b/>
                <w:bCs/>
                <w:color w:val="auto"/>
                <w:szCs w:val="21"/>
                <w:highlight w:val="none"/>
                <w:u w:val="none"/>
              </w:rPr>
              <w:t>严禁</w:t>
            </w:r>
            <w:r>
              <w:rPr>
                <w:rFonts w:ascii="Times New Roman" w:hAnsi="宋体" w:eastAsia="宋体" w:cs="Times New Roman"/>
                <w:color w:val="auto"/>
                <w:szCs w:val="21"/>
                <w:highlight w:val="none"/>
                <w:u w:val="none"/>
              </w:rPr>
              <w:t>使用农药毒鱼、虾、鸟、兽等。</w:t>
            </w:r>
          </w:p>
        </w:tc>
      </w:tr>
      <w:tr w14:paraId="7764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595" w:type="dxa"/>
            <w:vMerge w:val="continue"/>
            <w:noWrap w:val="0"/>
            <w:vAlign w:val="center"/>
          </w:tcPr>
          <w:p w14:paraId="784B0A9C">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78B09639">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水产种质资源</w:t>
            </w:r>
          </w:p>
          <w:p w14:paraId="57D500CB">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保护区</w:t>
            </w:r>
          </w:p>
        </w:tc>
        <w:tc>
          <w:tcPr>
            <w:tcW w:w="2039" w:type="dxa"/>
            <w:noWrap w:val="0"/>
            <w:vAlign w:val="center"/>
          </w:tcPr>
          <w:p w14:paraId="5DF2E74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51CF3700">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．未经国务院渔业行政主管部门批准，任何单位或者个人</w:t>
            </w:r>
            <w:r>
              <w:rPr>
                <w:rFonts w:ascii="Times New Roman" w:hAnsi="宋体" w:eastAsia="宋体" w:cs="Times New Roman"/>
                <w:b/>
                <w:color w:val="auto"/>
                <w:szCs w:val="21"/>
                <w:highlight w:val="none"/>
                <w:u w:val="none"/>
              </w:rPr>
              <w:t>不得</w:t>
            </w:r>
            <w:r>
              <w:rPr>
                <w:rFonts w:ascii="Times New Roman" w:hAnsi="宋体" w:eastAsia="宋体" w:cs="Times New Roman"/>
                <w:bCs/>
                <w:color w:val="auto"/>
                <w:szCs w:val="21"/>
                <w:highlight w:val="none"/>
                <w:u w:val="none"/>
              </w:rPr>
              <w:t>在水产种质资源保护区内从事捕捞活动。</w:t>
            </w:r>
          </w:p>
          <w:p w14:paraId="3275E721">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在水产种质资源保护区内从事修建水利工程、疏浚航道、建闸筑坝、勘探和开采矿产资源、港口建设、桥梁工程等工程建设的，或者在水产种质资源保护区外从事可能损害保护区功能的工程建设活动的，应当按照国家有关规定编制建设项目对水产种质资源保护区的影响专题论证报告，并将其纳入环境影响评价报告书。</w:t>
            </w:r>
          </w:p>
          <w:p w14:paraId="275EA6E9">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．单位和个人在水产种质资源保护区内从事水生生物资源调查、科学研究、教学实习、参观游览、影视拍摄等活动，应当遵守有关法律法规和保护区管理制度，</w:t>
            </w:r>
            <w:r>
              <w:rPr>
                <w:rFonts w:ascii="Times New Roman" w:hAnsi="宋体" w:eastAsia="宋体" w:cs="Times New Roman"/>
                <w:b/>
                <w:color w:val="auto"/>
                <w:szCs w:val="21"/>
                <w:highlight w:val="none"/>
                <w:u w:val="none"/>
              </w:rPr>
              <w:t>不得</w:t>
            </w:r>
            <w:r>
              <w:rPr>
                <w:rFonts w:ascii="Times New Roman" w:hAnsi="宋体" w:eastAsia="宋体" w:cs="Times New Roman"/>
                <w:bCs/>
                <w:color w:val="auto"/>
                <w:szCs w:val="21"/>
                <w:highlight w:val="none"/>
                <w:u w:val="none"/>
              </w:rPr>
              <w:t>损害水产种质资源及其生存环境。</w:t>
            </w:r>
          </w:p>
          <w:p w14:paraId="1F66DA5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4</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在水产种质资源保护区内从事围湖造田。</w:t>
            </w:r>
          </w:p>
        </w:tc>
      </w:tr>
      <w:tr w14:paraId="398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jc w:val="center"/>
        </w:trPr>
        <w:tc>
          <w:tcPr>
            <w:tcW w:w="1595" w:type="dxa"/>
            <w:vMerge w:val="continue"/>
            <w:noWrap w:val="0"/>
            <w:vAlign w:val="center"/>
          </w:tcPr>
          <w:p w14:paraId="7544DD99">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790E0C53">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重要湿地</w:t>
            </w:r>
          </w:p>
        </w:tc>
        <w:tc>
          <w:tcPr>
            <w:tcW w:w="2039" w:type="dxa"/>
            <w:noWrap w:val="0"/>
            <w:vAlign w:val="center"/>
          </w:tcPr>
          <w:p w14:paraId="220DE08B">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7CCC39C3">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占用国家重要湿地，国家重大项目、防灾减灾项目、重要水利及保护设施项目、湿地保护项目等除外。</w:t>
            </w:r>
            <w:r>
              <w:rPr>
                <w:rFonts w:ascii="Times New Roman" w:hAnsi="宋体" w:eastAsia="宋体" w:cs="Times New Roman"/>
                <w:color w:val="auto"/>
                <w:szCs w:val="21"/>
                <w:highlight w:val="none"/>
                <w:u w:val="none"/>
              </w:rPr>
              <w:t>建设项目选址、选线应当避让湿地，无法避让的应当尽量减少占用。建设项目规划选址、选线审批或者核准时，涉及国家重要湿地的，应当征求国务院林业草原主管部门的意见；涉及省级重要湿地或者一般湿地的，应当按照管理权限，征求县级以上地方人民政府授权的部门的意见。</w:t>
            </w:r>
          </w:p>
          <w:p w14:paraId="47CD8760">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下列破坏湿地及其生态功能的行为：</w:t>
            </w:r>
          </w:p>
          <w:p w14:paraId="7CE35F00">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）开（围）垦、排干自然湿地，永久性截断自然湿地水源；</w:t>
            </w:r>
          </w:p>
          <w:p w14:paraId="5D3C1E0E">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）擅自填埋自然湿地，擅自采砂、采矿、取土；</w:t>
            </w:r>
          </w:p>
          <w:p w14:paraId="76B5B9F0">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）排放不符合水污染物排放标准的工业废水、生活污水及其他污染湿地的废水、污水，倾倒、堆放、丢弃、遗撒固体废物；</w:t>
            </w:r>
          </w:p>
          <w:p w14:paraId="4558640E">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4</w:t>
            </w:r>
            <w:r>
              <w:rPr>
                <w:rFonts w:ascii="Times New Roman" w:hAnsi="宋体" w:eastAsia="宋体" w:cs="Times New Roman"/>
                <w:bCs/>
                <w:color w:val="auto"/>
                <w:szCs w:val="21"/>
                <w:highlight w:val="none"/>
                <w:u w:val="none"/>
              </w:rPr>
              <w:t>）过度放牧或者滥采野生植物，过度捕捞或者灭绝式捕捞，过度施肥、投药、投放饵料等污染湿地的种植养殖行为；</w:t>
            </w:r>
          </w:p>
          <w:p w14:paraId="7E5B55BE">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宋体" w:eastAsia="宋体" w:cs="Times New Roman"/>
                <w:bCs/>
                <w:color w:val="auto"/>
                <w:szCs w:val="21"/>
                <w:highlight w:val="none"/>
                <w:u w:val="none"/>
              </w:rPr>
              <w:t>（</w:t>
            </w:r>
            <w:r>
              <w:rPr>
                <w:rFonts w:ascii="Times New Roman" w:hAnsi="Times New Roman" w:eastAsia="宋体" w:cs="Times New Roman"/>
                <w:bCs/>
                <w:color w:val="auto"/>
                <w:szCs w:val="21"/>
                <w:highlight w:val="none"/>
                <w:u w:val="none"/>
              </w:rPr>
              <w:t>5</w:t>
            </w:r>
            <w:r>
              <w:rPr>
                <w:rFonts w:ascii="Times New Roman" w:hAnsi="宋体" w:eastAsia="宋体" w:cs="Times New Roman"/>
                <w:bCs/>
                <w:color w:val="auto"/>
                <w:szCs w:val="21"/>
                <w:highlight w:val="none"/>
                <w:u w:val="none"/>
              </w:rPr>
              <w:t>）其他破坏湿地及其生态功能的行为。</w:t>
            </w:r>
          </w:p>
          <w:p w14:paraId="28FA0CFC">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向湿地引进和放生外来物种，确需引进的应当进行科学评估，并依法取得批准。</w:t>
            </w:r>
          </w:p>
          <w:p w14:paraId="691040C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4</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bCs/>
                <w:color w:val="auto"/>
                <w:szCs w:val="21"/>
                <w:highlight w:val="none"/>
                <w:u w:val="none"/>
              </w:rPr>
              <w:t>在以水鸟为保护对象的自然保护地及其他重要栖息地从事捕鱼、挖捕底栖生物、捡拾鸟蛋、破坏鸟巢等危及水鸟生存、繁衍的活动。</w:t>
            </w:r>
          </w:p>
          <w:p w14:paraId="23EAEEC8">
            <w:pPr>
              <w:pStyle w:val="7"/>
              <w:rPr>
                <w:rFonts w:ascii="Times New Roman" w:hAnsi="Times New Roman" w:eastAsia="宋体" w:cs="Times New Roman"/>
                <w:color w:val="auto"/>
                <w:kern w:val="2"/>
                <w:sz w:val="21"/>
                <w:szCs w:val="21"/>
                <w:highlight w:val="none"/>
                <w:u w:val="none"/>
                <w:lang w:val="en-US" w:bidi="ar-SA"/>
              </w:rPr>
            </w:pPr>
            <w:r>
              <w:rPr>
                <w:rFonts w:ascii="Times New Roman" w:hAnsi="Times New Roman" w:eastAsia="宋体" w:cs="Times New Roman"/>
                <w:color w:val="auto"/>
                <w:kern w:val="2"/>
                <w:sz w:val="21"/>
                <w:szCs w:val="21"/>
                <w:highlight w:val="none"/>
                <w:u w:val="none"/>
                <w:lang w:val="en-US" w:bidi="ar-SA"/>
              </w:rPr>
              <w:t>5</w:t>
            </w:r>
            <w:r>
              <w:rPr>
                <w:rFonts w:ascii="Times New Roman" w:hAnsi="宋体" w:eastAsia="宋体" w:cs="Times New Roman"/>
                <w:color w:val="auto"/>
                <w:kern w:val="2"/>
                <w:sz w:val="21"/>
                <w:szCs w:val="21"/>
                <w:highlight w:val="none"/>
                <w:u w:val="none"/>
                <w:lang w:val="en-US" w:bidi="ar-SA"/>
              </w:rPr>
              <w:t>．严格控制征占用滨海湿地的围填海工程，</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在重要水生生物的自然产卵场、繁殖场、索饵场和鸟类栖息地进行围填海活动。</w:t>
            </w:r>
          </w:p>
          <w:p w14:paraId="3F42DAF5">
            <w:pPr>
              <w:pStyle w:val="7"/>
              <w:rPr>
                <w:rFonts w:ascii="Times New Roman" w:hAnsi="Times New Roman" w:eastAsia="宋体" w:cs="Times New Roman"/>
                <w:color w:val="auto"/>
                <w:kern w:val="2"/>
                <w:sz w:val="21"/>
                <w:szCs w:val="21"/>
                <w:highlight w:val="none"/>
                <w:u w:val="none"/>
                <w:lang w:val="en-US" w:bidi="ar-SA"/>
              </w:rPr>
            </w:pPr>
            <w:r>
              <w:rPr>
                <w:rFonts w:ascii="Times New Roman" w:hAnsi="Times New Roman" w:eastAsia="宋体" w:cs="Times New Roman"/>
                <w:color w:val="auto"/>
                <w:kern w:val="2"/>
                <w:sz w:val="21"/>
                <w:szCs w:val="21"/>
                <w:highlight w:val="none"/>
                <w:u w:val="none"/>
                <w:lang w:val="en-US" w:bidi="ar-SA"/>
              </w:rPr>
              <w:t>6</w:t>
            </w:r>
            <w:r>
              <w:rPr>
                <w:rFonts w:ascii="Times New Roman" w:hAnsi="宋体" w:eastAsia="宋体" w:cs="Times New Roman"/>
                <w:color w:val="auto"/>
                <w:kern w:val="2"/>
                <w:sz w:val="21"/>
                <w:szCs w:val="21"/>
                <w:highlight w:val="none"/>
                <w:u w:val="none"/>
                <w:lang w:val="en-US" w:bidi="ar-SA"/>
              </w:rPr>
              <w:t>．</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占用红树林湿地。确因国家重大项目、防灾减灾等需要占用的，应当依照有关法律规定办理。</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在红树林湿地挖塘，</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采伐、采挖、移植红树林或者过度采摘红树林种子，</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投放、种植危害红树林生长的物种。因科研、医药或者红树林湿地保护等需要采伐、采挖、移植、采摘的，应当依照有关法律法规办理。</w:t>
            </w:r>
          </w:p>
          <w:p w14:paraId="12D8BAA5">
            <w:pPr>
              <w:pStyle w:val="7"/>
              <w:rPr>
                <w:rFonts w:ascii="Times New Roman" w:hAnsi="Times New Roman" w:eastAsia="宋体" w:cs="Times New Roman"/>
                <w:color w:val="auto"/>
                <w:kern w:val="2"/>
                <w:sz w:val="21"/>
                <w:szCs w:val="21"/>
                <w:highlight w:val="none"/>
                <w:u w:val="none"/>
                <w:lang w:val="en-US" w:bidi="ar-SA"/>
              </w:rPr>
            </w:pPr>
            <w:r>
              <w:rPr>
                <w:rFonts w:ascii="Times New Roman" w:hAnsi="Times New Roman" w:eastAsia="宋体" w:cs="Times New Roman"/>
                <w:color w:val="auto"/>
                <w:kern w:val="2"/>
                <w:sz w:val="21"/>
                <w:szCs w:val="21"/>
                <w:highlight w:val="none"/>
                <w:u w:val="none"/>
                <w:lang w:val="en-US" w:bidi="ar-SA"/>
              </w:rPr>
              <w:t>7</w:t>
            </w:r>
            <w:r>
              <w:rPr>
                <w:rFonts w:ascii="Times New Roman" w:hAnsi="宋体" w:eastAsia="宋体" w:cs="Times New Roman"/>
                <w:color w:val="auto"/>
                <w:kern w:val="2"/>
                <w:sz w:val="21"/>
                <w:szCs w:val="21"/>
                <w:highlight w:val="none"/>
                <w:u w:val="none"/>
                <w:lang w:val="en-US" w:bidi="ar-SA"/>
              </w:rPr>
              <w:t>．</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在泥炭沼泽湿地开采泥炭或者擅自开采地下水；</w:t>
            </w:r>
            <w:r>
              <w:rPr>
                <w:rFonts w:ascii="Times New Roman" w:hAnsi="宋体" w:eastAsia="宋体" w:cs="Times New Roman"/>
                <w:b/>
                <w:bCs/>
                <w:color w:val="auto"/>
                <w:kern w:val="2"/>
                <w:sz w:val="21"/>
                <w:szCs w:val="21"/>
                <w:highlight w:val="none"/>
                <w:u w:val="none"/>
                <w:lang w:val="en-US" w:bidi="ar-SA"/>
              </w:rPr>
              <w:t>禁止</w:t>
            </w:r>
            <w:r>
              <w:rPr>
                <w:rFonts w:ascii="Times New Roman" w:hAnsi="宋体" w:eastAsia="宋体" w:cs="Times New Roman"/>
                <w:color w:val="auto"/>
                <w:kern w:val="2"/>
                <w:sz w:val="21"/>
                <w:szCs w:val="21"/>
                <w:highlight w:val="none"/>
                <w:u w:val="none"/>
                <w:lang w:val="en-US" w:bidi="ar-SA"/>
              </w:rPr>
              <w:t>将泥炭沼泽湿地蓄水向外排放，因防灾减灾需要的除外。</w:t>
            </w:r>
          </w:p>
          <w:p w14:paraId="41AEAD1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8</w:t>
            </w:r>
            <w:r>
              <w:rPr>
                <w:rFonts w:ascii="Times New Roman" w:hAnsi="宋体" w:eastAsia="宋体" w:cs="Times New Roman"/>
                <w:bCs/>
                <w:color w:val="auto"/>
                <w:szCs w:val="21"/>
                <w:highlight w:val="none"/>
                <w:u w:val="none"/>
              </w:rPr>
              <w:t>．建设项目确需临时占用湿地的，</w:t>
            </w:r>
            <w:r>
              <w:rPr>
                <w:rFonts w:ascii="Times New Roman" w:hAnsi="宋体" w:eastAsia="宋体" w:cs="Times New Roman"/>
                <w:color w:val="auto"/>
                <w:szCs w:val="21"/>
                <w:highlight w:val="none"/>
                <w:u w:val="none"/>
              </w:rPr>
              <w:t>应当依照《中华人民共和国土地管理法</w:t>
            </w:r>
            <w:r>
              <w:rPr>
                <w:rFonts w:hint="eastAsia" w:ascii="Times New Roman" w:hAnsi="宋体" w:cs="Times New Roman"/>
                <w:color w:val="auto"/>
                <w:szCs w:val="21"/>
                <w:highlight w:val="none"/>
                <w:u w:val="none"/>
                <w:lang w:eastAsia="zh-CN"/>
              </w:rPr>
              <w:t>》《</w:t>
            </w:r>
            <w:r>
              <w:rPr>
                <w:rFonts w:ascii="Times New Roman" w:hAnsi="宋体" w:eastAsia="宋体" w:cs="Times New Roman"/>
                <w:color w:val="auto"/>
                <w:szCs w:val="21"/>
                <w:highlight w:val="none"/>
                <w:u w:val="none"/>
              </w:rPr>
              <w:t>中华人民共和国水法</w:t>
            </w:r>
            <w:r>
              <w:rPr>
                <w:rFonts w:hint="eastAsia" w:ascii="Times New Roman" w:hAnsi="宋体" w:cs="Times New Roman"/>
                <w:color w:val="auto"/>
                <w:szCs w:val="21"/>
                <w:highlight w:val="none"/>
                <w:u w:val="none"/>
                <w:lang w:eastAsia="zh-CN"/>
              </w:rPr>
              <w:t>》《</w:t>
            </w:r>
            <w:r>
              <w:rPr>
                <w:rFonts w:ascii="Times New Roman" w:hAnsi="宋体" w:eastAsia="宋体" w:cs="Times New Roman"/>
                <w:color w:val="auto"/>
                <w:szCs w:val="21"/>
                <w:highlight w:val="none"/>
                <w:u w:val="none"/>
              </w:rPr>
              <w:t>中华人民共和国森林法</w:t>
            </w:r>
            <w:r>
              <w:rPr>
                <w:rFonts w:hint="eastAsia" w:ascii="Times New Roman" w:hAnsi="宋体" w:cs="Times New Roman"/>
                <w:color w:val="auto"/>
                <w:szCs w:val="21"/>
                <w:highlight w:val="none"/>
                <w:u w:val="none"/>
                <w:lang w:eastAsia="zh-CN"/>
              </w:rPr>
              <w:t>》《</w:t>
            </w:r>
            <w:r>
              <w:rPr>
                <w:rFonts w:ascii="Times New Roman" w:hAnsi="宋体" w:eastAsia="宋体" w:cs="Times New Roman"/>
                <w:color w:val="auto"/>
                <w:szCs w:val="21"/>
                <w:highlight w:val="none"/>
                <w:u w:val="none"/>
              </w:rPr>
              <w:t>中华人民共和国草原法</w:t>
            </w:r>
            <w:r>
              <w:rPr>
                <w:rFonts w:hint="eastAsia" w:ascii="Times New Roman" w:hAnsi="宋体" w:cs="Times New Roman"/>
                <w:color w:val="auto"/>
                <w:szCs w:val="21"/>
                <w:highlight w:val="none"/>
                <w:u w:val="none"/>
                <w:lang w:eastAsia="zh-CN"/>
              </w:rPr>
              <w:t>》《</w:t>
            </w:r>
            <w:r>
              <w:rPr>
                <w:rFonts w:ascii="Times New Roman" w:hAnsi="宋体" w:eastAsia="宋体" w:cs="Times New Roman"/>
                <w:color w:val="auto"/>
                <w:szCs w:val="21"/>
                <w:highlight w:val="none"/>
                <w:u w:val="none"/>
              </w:rPr>
              <w:t>中华人民共和国海域使用管理法》等有关法律法规的规定办理。临时占用湿地的期限一般</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超过二年，并</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在临时占用的湿地上修建永久性建筑物；临时占用期满后一年内，用地单位或者个人应当恢复湿地面积和生态条件。</w:t>
            </w:r>
          </w:p>
        </w:tc>
      </w:tr>
      <w:tr w14:paraId="18EF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7" w:hRule="atLeast"/>
          <w:jc w:val="center"/>
        </w:trPr>
        <w:tc>
          <w:tcPr>
            <w:tcW w:w="1595" w:type="dxa"/>
            <w:vMerge w:val="continue"/>
            <w:noWrap w:val="0"/>
            <w:vAlign w:val="center"/>
          </w:tcPr>
          <w:p w14:paraId="6230DDA5">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40D7461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湿地公园</w:t>
            </w:r>
          </w:p>
        </w:tc>
        <w:tc>
          <w:tcPr>
            <w:tcW w:w="2039" w:type="dxa"/>
            <w:noWrap w:val="0"/>
            <w:vAlign w:val="center"/>
          </w:tcPr>
          <w:p w14:paraId="39276EF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1982F9E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保育区除开展保护、监测、科学研究等必需的保护管理活动外，</w:t>
            </w:r>
            <w:r>
              <w:rPr>
                <w:rFonts w:ascii="Times New Roman" w:hAnsi="宋体" w:eastAsia="宋体" w:cs="Times New Roman"/>
                <w:b/>
                <w:color w:val="auto"/>
                <w:szCs w:val="21"/>
                <w:highlight w:val="none"/>
                <w:u w:val="none"/>
              </w:rPr>
              <w:t>不得</w:t>
            </w:r>
            <w:r>
              <w:rPr>
                <w:rFonts w:ascii="Times New Roman" w:hAnsi="宋体" w:eastAsia="宋体" w:cs="Times New Roman"/>
                <w:bCs/>
                <w:color w:val="auto"/>
                <w:szCs w:val="21"/>
                <w:highlight w:val="none"/>
                <w:u w:val="none"/>
              </w:rPr>
              <w:t>进行任何与湿地生态系统保护和管理无关的其他活动。</w:t>
            </w:r>
            <w:r>
              <w:rPr>
                <w:rFonts w:ascii="Times New Roman" w:hAnsi="宋体" w:eastAsia="宋体" w:cs="Times New Roman"/>
                <w:color w:val="auto"/>
                <w:szCs w:val="21"/>
                <w:highlight w:val="none"/>
                <w:u w:val="none"/>
              </w:rPr>
              <w:t>恢复重建区应当开展培育和恢复湿地的相关活动。合理利用区应当开展以生态展示、科普教育为主的宣教活动，可开展不损害湿地生态系统功能的生态体验及管理服务等活动。</w:t>
            </w:r>
          </w:p>
          <w:p w14:paraId="2DC96F1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擅自征收、占用湿地公园的土地。确需征收、占用的，用地单位应当征求同级人民政府林业主管部门和该湿地主管部门的意见后，方可依法办理相关手续。</w:t>
            </w:r>
          </w:p>
          <w:p w14:paraId="52F7D7E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擅自开（围）垦、填埋、占用湿地、排干湿地或者改变湿地用途。</w:t>
            </w:r>
          </w:p>
          <w:p w14:paraId="6579463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截断湿地水源或者堵截湿地水系与外围水系的通道。</w:t>
            </w:r>
          </w:p>
          <w:p w14:paraId="78A0649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擅自挖沙、采矿、挖塘、采石、取土、烧荒、采集泥炭。</w:t>
            </w:r>
          </w:p>
          <w:p w14:paraId="51D2E6A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倾倒有毒有害物质、废弃物、垃圾。</w:t>
            </w:r>
          </w:p>
          <w:p w14:paraId="476AB79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从事房地产、度假村、高尔夫球场、风力发电、光伏发电等任何不符合主体功能定位的建设项目和开发活动。</w:t>
            </w:r>
          </w:p>
          <w:p w14:paraId="0C491B7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破坏野生动物重要繁殖区及栖息地和迁徙通道、鱼类等水生生物洄游通道，</w:t>
            </w:r>
            <w:r>
              <w:rPr>
                <w:rFonts w:ascii="Times New Roman" w:hAnsi="宋体" w:eastAsia="宋体" w:cs="Times New Roman"/>
                <w:b/>
                <w:color w:val="auto"/>
                <w:szCs w:val="21"/>
                <w:highlight w:val="none"/>
                <w:u w:val="none"/>
              </w:rPr>
              <w:t>不得</w:t>
            </w:r>
            <w:r>
              <w:rPr>
                <w:rFonts w:ascii="Times New Roman" w:hAnsi="宋体" w:eastAsia="宋体" w:cs="Times New Roman"/>
                <w:color w:val="auto"/>
                <w:szCs w:val="21"/>
                <w:highlight w:val="none"/>
                <w:u w:val="none"/>
              </w:rPr>
              <w:t>滥采滥捕野生动植物，</w:t>
            </w:r>
            <w:r>
              <w:rPr>
                <w:rFonts w:ascii="Times New Roman" w:hAnsi="宋体" w:eastAsia="宋体" w:cs="Times New Roman"/>
                <w:b/>
                <w:color w:val="auto"/>
                <w:szCs w:val="21"/>
                <w:highlight w:val="none"/>
                <w:u w:val="none"/>
              </w:rPr>
              <w:t>不得</w:t>
            </w:r>
            <w:r>
              <w:rPr>
                <w:rFonts w:ascii="Times New Roman" w:hAnsi="宋体" w:eastAsia="宋体" w:cs="Times New Roman"/>
                <w:color w:val="auto"/>
                <w:szCs w:val="21"/>
                <w:highlight w:val="none"/>
                <w:u w:val="none"/>
              </w:rPr>
              <w:t>抓捕国家和自治区重点保护野生动物，</w:t>
            </w:r>
            <w:r>
              <w:rPr>
                <w:rFonts w:ascii="Times New Roman" w:hAnsi="宋体" w:eastAsia="宋体" w:cs="Times New Roman"/>
                <w:b/>
                <w:color w:val="auto"/>
                <w:szCs w:val="21"/>
                <w:highlight w:val="none"/>
                <w:u w:val="none"/>
              </w:rPr>
              <w:t>不得</w:t>
            </w:r>
            <w:r>
              <w:rPr>
                <w:rFonts w:ascii="Times New Roman" w:hAnsi="宋体" w:eastAsia="宋体" w:cs="Times New Roman"/>
                <w:color w:val="auto"/>
                <w:szCs w:val="21"/>
                <w:highlight w:val="none"/>
                <w:u w:val="none"/>
              </w:rPr>
              <w:t>捡拾、损坏鸟卵和鸟巢。</w:t>
            </w:r>
          </w:p>
          <w:p w14:paraId="0F4113B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使用电鱼、水枪喷射等破坏湿地生态资源的方法捕捞鱼类以及其他水生动物。</w:t>
            </w:r>
          </w:p>
          <w:p w14:paraId="1221DD7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投放有害物种或者擅自引入外来物种。</w:t>
            </w:r>
          </w:p>
          <w:p w14:paraId="0E66E4B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擅自放牧、捕捞、取土、取水、排污、放生。</w:t>
            </w:r>
          </w:p>
          <w:p w14:paraId="4BECACC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投放有毒有害物质、倾倒废弃物和污染物或者排放未达到排放标准的污水。</w:t>
            </w:r>
          </w:p>
          <w:p w14:paraId="5B07189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破坏湿地保护设施设备。</w:t>
            </w:r>
          </w:p>
          <w:p w14:paraId="0E62EFB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擅自建造建筑物、构筑物。</w:t>
            </w:r>
          </w:p>
          <w:p w14:paraId="3DBC563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bCs/>
                <w:color w:val="auto"/>
                <w:szCs w:val="21"/>
                <w:highlight w:val="none"/>
                <w:u w:val="none"/>
              </w:rPr>
              <w:t>严格控制征占用滨海湿地的围填海工程，</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在重要水生生物的自然产卵场、繁殖场、索饵场和鸟类栖息地进行围填海活动。</w:t>
            </w:r>
          </w:p>
          <w:p w14:paraId="61D5A9E0">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其他破坏湿地及其生态功能的活动。</w:t>
            </w:r>
          </w:p>
        </w:tc>
      </w:tr>
      <w:tr w14:paraId="2BA5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595" w:type="dxa"/>
            <w:vMerge w:val="continue"/>
            <w:noWrap w:val="0"/>
            <w:vAlign w:val="center"/>
          </w:tcPr>
          <w:p w14:paraId="76117635">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7DCC92F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地质公园</w:t>
            </w:r>
          </w:p>
        </w:tc>
        <w:tc>
          <w:tcPr>
            <w:tcW w:w="2039" w:type="dxa"/>
            <w:noWrap w:val="0"/>
            <w:vAlign w:val="center"/>
          </w:tcPr>
          <w:p w14:paraId="7432DAE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42BF8CF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．要依据法律法规规定和相关规划实施强制性保护，严格控制人为因素对自然生态和地质自然遗产原真性、完整性的干扰，</w:t>
            </w:r>
            <w:r>
              <w:rPr>
                <w:rFonts w:ascii="Times New Roman" w:hAnsi="宋体" w:eastAsia="宋体" w:cs="Times New Roman"/>
                <w:b/>
                <w:bCs/>
                <w:color w:val="auto"/>
                <w:szCs w:val="21"/>
                <w:highlight w:val="none"/>
                <w:u w:val="none"/>
              </w:rPr>
              <w:t>严禁</w:t>
            </w:r>
            <w:r>
              <w:rPr>
                <w:rFonts w:ascii="Times New Roman" w:hAnsi="宋体" w:eastAsia="宋体" w:cs="Times New Roman"/>
                <w:color w:val="auto"/>
                <w:szCs w:val="21"/>
                <w:highlight w:val="none"/>
                <w:u w:val="none"/>
              </w:rPr>
              <w:t>不符合主体功能定位的各类开发活动。</w:t>
            </w:r>
          </w:p>
          <w:p w14:paraId="210CD48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进行采石、取土、开矿、放牧、砍伐以及其他对保护对象有损害的活动。</w:t>
            </w:r>
          </w:p>
          <w:p w14:paraId="749E904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．未经管理机构批准，</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在地质公园范围内采集标本和化石。</w:t>
            </w:r>
          </w:p>
          <w:p w14:paraId="01C5D75B">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．在公园保护区内</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修建与地质遗迹保护无关的厂房或其他建筑设施。</w:t>
            </w:r>
          </w:p>
          <w:p w14:paraId="4556D3A3">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．地质公园内特级保护点（区）不允许游客进入，以保护和科研为目的的人员经地质公园管理部门批准后方可进入。</w:t>
            </w:r>
          </w:p>
        </w:tc>
      </w:tr>
      <w:tr w14:paraId="1CF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595" w:type="dxa"/>
            <w:vMerge w:val="continue"/>
            <w:noWrap w:val="0"/>
            <w:vAlign w:val="center"/>
          </w:tcPr>
          <w:p w14:paraId="541E2965">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16DB2633">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石漠公园</w:t>
            </w:r>
          </w:p>
        </w:tc>
        <w:tc>
          <w:tcPr>
            <w:tcW w:w="2039" w:type="dxa"/>
            <w:noWrap w:val="0"/>
            <w:vAlign w:val="center"/>
          </w:tcPr>
          <w:p w14:paraId="140F053F">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5848ED0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擅自在国家级石漠公园内从事采矿、房地产、开发区、高尔夫球场、风力光伏电场等不符合管控要求的开发活动。</w:t>
            </w:r>
          </w:p>
          <w:p w14:paraId="248871A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．国家级石漠公园范围内除国家重大项目外，仅允许对生态功能不造成破坏的有限人为活动：</w:t>
            </w:r>
          </w:p>
          <w:p w14:paraId="55E07D7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）石漠公园内居民和其他合法权益主体依法依规开展的生产生活及设施建设。</w:t>
            </w:r>
          </w:p>
          <w:p w14:paraId="49B45C5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）符合石漠公园保护管理要求的文化、体育活动和必要的配套设施建设。</w:t>
            </w:r>
          </w:p>
          <w:p w14:paraId="1CD85BA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）符合生态保护红线管控要求的其他活动和设施建设。</w:t>
            </w:r>
          </w:p>
          <w:p w14:paraId="6E62F5C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）法律法规和国家政策允许在石漠公园内开展的其他活动。</w:t>
            </w:r>
          </w:p>
          <w:p w14:paraId="7ED3184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．国家石漠公园应当按照总体规划确定的范围进行建设，任何单位和个人</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擅自更改建设范围。建设范围的变更，须经国家林业和草原局同意。</w:t>
            </w:r>
          </w:p>
        </w:tc>
      </w:tr>
      <w:tr w14:paraId="24D4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1595" w:type="dxa"/>
            <w:vMerge w:val="continue"/>
            <w:noWrap w:val="0"/>
            <w:vAlign w:val="center"/>
          </w:tcPr>
          <w:p w14:paraId="6209C9A1">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5F9941B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自治区级以上</w:t>
            </w:r>
          </w:p>
          <w:p w14:paraId="3788B56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森林公园</w:t>
            </w:r>
          </w:p>
        </w:tc>
        <w:tc>
          <w:tcPr>
            <w:tcW w:w="2039" w:type="dxa"/>
            <w:noWrap w:val="0"/>
            <w:vAlign w:val="center"/>
          </w:tcPr>
          <w:p w14:paraId="4CC51EA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0545587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在国家级森林公园内擅自从事采矿、房地产、开发区、高尔夫球场、风力光伏电场等不符合管控要求的开发活动。</w:t>
            </w:r>
          </w:p>
          <w:p w14:paraId="411755E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违规侵占国家级森林公园。</w:t>
            </w:r>
          </w:p>
          <w:p w14:paraId="4CDFF8C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．国家级森林公园范围内除国家重大项目外，仅允许对生态功能不造成破坏的有限人为活动：</w:t>
            </w:r>
          </w:p>
          <w:p w14:paraId="3520B9B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）森林公园内居民和其他合法权益主体依法依规开展的生产生活及设施建设。</w:t>
            </w:r>
          </w:p>
          <w:p w14:paraId="1C80AC2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）符合森林公园保护管理要求的文化、体育活动和必要的配套设施建设。</w:t>
            </w:r>
          </w:p>
          <w:p w14:paraId="6B59BB8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）符合生态保护红线管控要求的其他活动和设施建设。</w:t>
            </w:r>
          </w:p>
          <w:p w14:paraId="276E8F5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）法律法规和国家政策允许在森林公园内开展的其他活动。</w:t>
            </w:r>
          </w:p>
          <w:p w14:paraId="1A2EB53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．在国家级森林公园内开展允许有限人为活动，应当征求国家级森林公园管理单位的意见。</w:t>
            </w:r>
          </w:p>
          <w:p w14:paraId="13C7EFB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在森林公园范围内毁林开垦、采石、采砂、采土以及其他毁坏林木和林地的行为。</w:t>
            </w:r>
          </w:p>
          <w:p w14:paraId="27243BA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向森林公园排放重金属或者其他有毒有害物质含量超标的污水、污泥，以及可能造成森林公园污染的清淤底泥、尾矿、矿渣等。</w:t>
            </w:r>
          </w:p>
          <w:p w14:paraId="751B48E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在森林公园幼林地砍柴、毁苗、放牧。</w:t>
            </w:r>
          </w:p>
          <w:p w14:paraId="668D406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在森林公园内从事其他污染环境、破坏自然资源或自然景观的活动。</w:t>
            </w:r>
          </w:p>
          <w:p w14:paraId="69F8A1C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．国家保护古树名木和珍贵树木。</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破坏森林公园内古树名木和珍贵树木及其生存的自然环境。</w:t>
            </w:r>
          </w:p>
        </w:tc>
      </w:tr>
      <w:tr w14:paraId="4F5E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595" w:type="dxa"/>
            <w:vMerge w:val="continue"/>
            <w:noWrap w:val="0"/>
            <w:vAlign w:val="center"/>
          </w:tcPr>
          <w:p w14:paraId="1CACD479">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636D7DE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世界文化和</w:t>
            </w:r>
          </w:p>
          <w:p w14:paraId="2FC2A7C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自然遗产地</w:t>
            </w:r>
          </w:p>
        </w:tc>
        <w:tc>
          <w:tcPr>
            <w:tcW w:w="2039" w:type="dxa"/>
            <w:noWrap w:val="0"/>
            <w:vAlign w:val="center"/>
          </w:tcPr>
          <w:p w14:paraId="71E9BEF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1201442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．世界遗产地范围应划入</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建设区域，</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开展与遗产资源保护无关的建设活动；缓冲区范围应划入限制建设区域，严格控制各类景观游赏及旅游服务设施建设活动。</w:t>
            </w:r>
          </w:p>
          <w:p w14:paraId="32C48258">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．世界遗产地及其缓冲区范围内的各项管理措施和建设活动，应当符合世界遗产保护管理规划。</w:t>
            </w:r>
          </w:p>
          <w:p w14:paraId="3F3A0775">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世界遗产地内的建设项目，应当依法履行有关审批程序。在世界遗产地及其缓冲区范围拟建设缆车、索道、高等级公路、铁路、大型水库等对遗产地突出价值可能造成较大影响的重大建设工程项目的，应当依据《世界遗产公约操作指南》第</w:t>
            </w:r>
            <w:r>
              <w:rPr>
                <w:rFonts w:ascii="Times New Roman" w:hAnsi="Times New Roman" w:eastAsia="宋体" w:cs="Times New Roman"/>
                <w:color w:val="auto"/>
                <w:szCs w:val="21"/>
                <w:highlight w:val="none"/>
                <w:u w:val="none"/>
              </w:rPr>
              <w:t>172</w:t>
            </w:r>
            <w:r>
              <w:rPr>
                <w:rFonts w:ascii="Times New Roman" w:hAnsi="宋体" w:eastAsia="宋体" w:cs="Times New Roman"/>
                <w:color w:val="auto"/>
                <w:szCs w:val="21"/>
                <w:highlight w:val="none"/>
                <w:u w:val="none"/>
              </w:rPr>
              <w:t>条的要求，至少在项目批准建设前</w:t>
            </w: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个月将项目选址方案、环境影响评价等材料经国家林业和草原局按程序告联合国教科文组织世界遗产中心。</w:t>
            </w:r>
          </w:p>
        </w:tc>
      </w:tr>
      <w:tr w14:paraId="0554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4" w:hRule="atLeast"/>
          <w:jc w:val="center"/>
        </w:trPr>
        <w:tc>
          <w:tcPr>
            <w:tcW w:w="1595" w:type="dxa"/>
            <w:vMerge w:val="continue"/>
            <w:noWrap w:val="0"/>
            <w:vAlign w:val="center"/>
          </w:tcPr>
          <w:p w14:paraId="053CDD43">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3149A93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风景名胜区</w:t>
            </w:r>
          </w:p>
        </w:tc>
        <w:tc>
          <w:tcPr>
            <w:tcW w:w="2039" w:type="dxa"/>
            <w:noWrap w:val="0"/>
            <w:vAlign w:val="center"/>
          </w:tcPr>
          <w:p w14:paraId="54281BC9">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04B7092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．风景名胜区内的景观和自然环境，应严格保护，</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破坏或者随意改变。</w:t>
            </w:r>
          </w:p>
          <w:p w14:paraId="1A0496D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开山、采石、采矿、挖沙、取土、开荒、修坟立碑、安装杆线等破坏景观、植被和地形地貌的活动。</w:t>
            </w:r>
          </w:p>
          <w:p w14:paraId="06B5DB1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擅自围、填、堵、截自然水系。</w:t>
            </w:r>
          </w:p>
          <w:p w14:paraId="7EA9D1A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4</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捕杀、伤害野生动物或者引入未经检疫合格的动物。</w:t>
            </w:r>
          </w:p>
          <w:p w14:paraId="61B91CC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5</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修建储存爆炸性、易燃性、放射性、毒害性、腐蚀性物品的设施。</w:t>
            </w:r>
          </w:p>
          <w:p w14:paraId="6B82892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6</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建设畜禽养殖场、养殖小区。</w:t>
            </w:r>
          </w:p>
          <w:p w14:paraId="7528A89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7</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在风景名胜区内建设工业固体废物集中贮存、利用处置的设施、场所和生活垃圾填埋场。</w:t>
            </w:r>
          </w:p>
          <w:p w14:paraId="1D6146E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8</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风景名胜区内设立各类开发区和在核心景区内建设宾馆、招待所、培训中心、疗养院以及与风景名胜资源保护无关的其他建筑物；已经建设的，应当按照风景名胜区规划，逐步迁出。在风景名胜区内从事上述禁止范围以外的建设活动，应当经风景名胜区管理机构审核后，依照有关</w:t>
            </w:r>
            <w:r>
              <w:rPr>
                <w:rFonts w:hint="eastAsia" w:ascii="Times New Roman" w:hAnsi="宋体" w:cs="Times New Roman"/>
                <w:color w:val="auto"/>
                <w:szCs w:val="21"/>
                <w:highlight w:val="none"/>
                <w:u w:val="none"/>
                <w:lang w:eastAsia="zh-CN"/>
              </w:rPr>
              <w:t>法律法规</w:t>
            </w:r>
            <w:r>
              <w:rPr>
                <w:rFonts w:ascii="Times New Roman" w:hAnsi="宋体" w:eastAsia="宋体" w:cs="Times New Roman"/>
                <w:color w:val="auto"/>
                <w:szCs w:val="21"/>
                <w:highlight w:val="none"/>
                <w:u w:val="none"/>
              </w:rPr>
              <w:t>的规定办理审批手续。在国家级风景名胜区内修建缆车、索道等重大建设工程，项目的选址方案应当报主管部门核准。</w:t>
            </w:r>
          </w:p>
          <w:p w14:paraId="063D74F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．在风景名胜区内进行改变水资源、水环境自然状态的活动或其他影响生态和景观的活动，应当经风景名胜区管理机构审核后，依照有关</w:t>
            </w:r>
            <w:r>
              <w:rPr>
                <w:rFonts w:hint="eastAsia" w:ascii="Times New Roman" w:hAnsi="宋体" w:cs="Times New Roman"/>
                <w:color w:val="auto"/>
                <w:szCs w:val="21"/>
                <w:highlight w:val="none"/>
                <w:u w:val="none"/>
                <w:lang w:eastAsia="zh-CN"/>
              </w:rPr>
              <w:t>法律法规</w:t>
            </w:r>
            <w:r>
              <w:rPr>
                <w:rFonts w:ascii="Times New Roman" w:hAnsi="宋体" w:eastAsia="宋体" w:cs="Times New Roman"/>
                <w:color w:val="auto"/>
                <w:szCs w:val="21"/>
                <w:highlight w:val="none"/>
                <w:u w:val="none"/>
              </w:rPr>
              <w:t>的规定报有关主管部门批准。</w:t>
            </w:r>
          </w:p>
          <w:p w14:paraId="390DA1F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10</w:t>
            </w:r>
            <w:r>
              <w:rPr>
                <w:rFonts w:ascii="Times New Roman" w:hAnsi="宋体" w:eastAsia="宋体" w:cs="Times New Roman"/>
                <w:color w:val="auto"/>
                <w:szCs w:val="21"/>
                <w:highlight w:val="none"/>
                <w:u w:val="none"/>
              </w:rPr>
              <w:t>．风景名胜区内的建设项目应当符合风景名胜区规划，并与景观相协调，</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破坏景观、污染环境、妨碍游览。</w:t>
            </w:r>
          </w:p>
          <w:p w14:paraId="4E276F3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11</w:t>
            </w:r>
            <w:r>
              <w:rPr>
                <w:rFonts w:ascii="Times New Roman" w:hAnsi="宋体" w:eastAsia="宋体" w:cs="Times New Roman"/>
                <w:color w:val="auto"/>
                <w:szCs w:val="21"/>
                <w:highlight w:val="none"/>
                <w:u w:val="none"/>
              </w:rPr>
              <w:t>．在风景名胜区内进行建设活动的，建设单位、施工单位应当制定污染防治和水土保持方案，并采取有效措施，保护好周围景物、水体、林草植被、野生动物资源和地形地貌。</w:t>
            </w:r>
          </w:p>
          <w:p w14:paraId="222AE8B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12</w:t>
            </w:r>
            <w:r>
              <w:rPr>
                <w:rFonts w:ascii="Times New Roman" w:hAnsi="宋体" w:eastAsia="宋体" w:cs="Times New Roman"/>
                <w:color w:val="auto"/>
                <w:szCs w:val="21"/>
                <w:highlight w:val="none"/>
                <w:u w:val="none"/>
              </w:rPr>
              <w:t>．在风景名胜区及其外围保护地带进行建设活动，建设单位应当采取有效措施，保护自然景观和人文景观的原有风貌及周围植被、水体、地形、地貌等。工程竣工后，应当及时清理施工场地，恢复植被和环境原貌。</w:t>
            </w:r>
          </w:p>
          <w:p w14:paraId="77F2C0B2">
            <w:pPr>
              <w:shd w:val="clear" w:color="auto" w:fill="auto"/>
              <w:adjustRightInd w:val="0"/>
              <w:snapToGrid w:val="0"/>
              <w:rPr>
                <w:rFonts w:ascii="Times New Roman" w:hAnsi="Times New Roman" w:eastAsia="宋体" w:cs="Times New Roman"/>
                <w:b/>
                <w:color w:val="auto"/>
                <w:szCs w:val="21"/>
                <w:highlight w:val="none"/>
                <w:u w:val="none"/>
              </w:rPr>
            </w:pPr>
            <w:r>
              <w:rPr>
                <w:rFonts w:ascii="Times New Roman" w:hAnsi="Times New Roman" w:eastAsia="宋体" w:cs="Times New Roman"/>
                <w:bCs/>
                <w:color w:val="auto"/>
                <w:szCs w:val="21"/>
                <w:highlight w:val="none"/>
                <w:u w:val="none"/>
              </w:rPr>
              <w:t>13</w:t>
            </w:r>
            <w:r>
              <w:rPr>
                <w:rFonts w:ascii="Times New Roman" w:hAnsi="宋体" w:eastAsia="宋体" w:cs="Times New Roman"/>
                <w:bCs/>
                <w:color w:val="auto"/>
                <w:szCs w:val="21"/>
                <w:highlight w:val="none"/>
                <w:u w:val="none"/>
              </w:rPr>
              <w:t>．海滨风景名胜区</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新建排污口，</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从事污染环境、破坏景观、毁坏红树林和珊瑚礁生态系统的海岸工程项目建设或者其他活动。</w:t>
            </w:r>
          </w:p>
        </w:tc>
      </w:tr>
      <w:tr w14:paraId="39AA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1595" w:type="dxa"/>
            <w:vMerge w:val="continue"/>
            <w:noWrap w:val="0"/>
            <w:vAlign w:val="center"/>
          </w:tcPr>
          <w:p w14:paraId="6939A0A0">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2FB555EF">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自治区级以上</w:t>
            </w:r>
          </w:p>
          <w:p w14:paraId="64FCF17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公益林</w:t>
            </w:r>
          </w:p>
        </w:tc>
        <w:tc>
          <w:tcPr>
            <w:tcW w:w="2039" w:type="dxa"/>
            <w:noWrap w:val="0"/>
            <w:vAlign w:val="center"/>
          </w:tcPr>
          <w:p w14:paraId="762B59B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6B9154A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严格控制勘查、开采矿藏和工程建设使用国家级公益林地。确需使用的，严格按照《建设项目使用林地审核审批管理办法》有关规定办理使用林地手续。涉及林木采伐的，按相关规定依法办理林木采伐手续。经审核审批同意使用的自治区级以上公益林地，按规定实行占补平衡。</w:t>
            </w:r>
          </w:p>
          <w:p w14:paraId="57FD64E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．一级国家级公益林原则上</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开展生产经营活动，</w:t>
            </w:r>
            <w:r>
              <w:rPr>
                <w:rFonts w:ascii="Times New Roman" w:hAnsi="宋体" w:eastAsia="宋体" w:cs="Times New Roman"/>
                <w:b/>
                <w:bCs/>
                <w:color w:val="auto"/>
                <w:szCs w:val="21"/>
                <w:highlight w:val="none"/>
                <w:u w:val="none"/>
              </w:rPr>
              <w:t>严禁</w:t>
            </w:r>
            <w:r>
              <w:rPr>
                <w:rFonts w:ascii="Times New Roman" w:hAnsi="宋体" w:eastAsia="宋体" w:cs="Times New Roman"/>
                <w:color w:val="auto"/>
                <w:szCs w:val="21"/>
                <w:highlight w:val="none"/>
                <w:u w:val="none"/>
              </w:rPr>
              <w:t>打枝、采脂、割漆、剥树皮、掘根等行为。国有一级国家级公益林，</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开展任何形式的生产经营活动。因教学科研等确需采伐林木，或者发生较为严重森林火灾、病虫害及其他自然灾害等特殊情况确需对受害林木进行清理的，应当组织相关专家进行生态影响评价，经县级以上林业主管部门依法审批后实施。集体和个人所有的一级国家级公益林，以严格保护为原则。依据其生态状况需要开展抚育和更新采伐等经营活动，或适宜开展非木质资源培育利用的，应当符合有关技术规定。</w:t>
            </w:r>
          </w:p>
          <w:p w14:paraId="28A857C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二级国家级公益林、自治区级公益林在不影响整体森林生态系统功能发挥的前提下，可以按照相关技术规程的规定开展抚育和更新性质的采伐。在不破坏森林植被的前提下，可以合理利用其林地资源，适度开展林下种植养殖和森林游憩等非木质资源开发与利用，科学发展林下经济。</w:t>
            </w:r>
          </w:p>
          <w:p w14:paraId="39635E3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．国家保护林地，严格控制林地转为非林地，实行占用林地总量控制，确保林地保有量不减少。各类建设项目占用林地</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超过本行政区域的占用林地总量控制指标。矿藏勘查、开采以及其他各类工程建设，应当不占或者少占林地；确需占用林地的，应当经县级以上人民政府林业主管部门审核同意，依法办理建设用地审批手续。</w:t>
            </w:r>
          </w:p>
        </w:tc>
      </w:tr>
      <w:tr w14:paraId="6359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595" w:type="dxa"/>
            <w:vMerge w:val="continue"/>
            <w:noWrap w:val="0"/>
            <w:vAlign w:val="center"/>
          </w:tcPr>
          <w:p w14:paraId="712CDE69">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516160A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天然林</w:t>
            </w:r>
          </w:p>
        </w:tc>
        <w:tc>
          <w:tcPr>
            <w:tcW w:w="2039" w:type="dxa"/>
            <w:noWrap w:val="0"/>
            <w:vAlign w:val="center"/>
          </w:tcPr>
          <w:p w14:paraId="52F8D34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1C3859D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．对所有天然林实行保护，</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毁林开垦、将天然林改造为人工林以及其他破坏天然林及其生态环境的行为。</w:t>
            </w:r>
          </w:p>
          <w:p w14:paraId="6619113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．对纳入保护重点区域的天然林，除森林病虫害防治、森林防火等维护天然林生态系统健康的必要措施外，</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其他一切生产经营活动。开展天然林抚育作业的，必须编制作业设计，经林业主管部门审查批准后实施。</w:t>
            </w:r>
          </w:p>
          <w:p w14:paraId="3AD9281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．严格控制天然林地转为其他用途，除国防建设、国家重大工程项目建设特殊需要外，</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占用保护重点区域的天然林地。在不破坏地表植被、不影响生物多样性保护前提下，可在天然林地适度发展生态旅游、休闲康养、特色种植养殖等产业。</w:t>
            </w:r>
          </w:p>
          <w:p w14:paraId="35BA481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．国家保护林地，严格控制林地转为非林地，实行占用林地总量控制，确保林地保有量不减少。各类建设项目占用林地</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超过本行政区域的占用林地总量控制指标。矿藏勘查、开采以及其他各类工程建设，应当不占或者少占林地；确需占用林地的，应当经县级以上人民政府林业主管部门审核同意，依法办理建设用地审批手续。</w:t>
            </w:r>
          </w:p>
        </w:tc>
      </w:tr>
      <w:tr w14:paraId="58ED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1595" w:type="dxa"/>
            <w:vMerge w:val="continue"/>
            <w:noWrap w:val="0"/>
            <w:vAlign w:val="center"/>
          </w:tcPr>
          <w:p w14:paraId="242ECABE">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2D70E5C7">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水源涵养功能</w:t>
            </w:r>
          </w:p>
          <w:p w14:paraId="1AE1AB48">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（极）重要区</w:t>
            </w:r>
          </w:p>
        </w:tc>
        <w:tc>
          <w:tcPr>
            <w:tcW w:w="2039" w:type="dxa"/>
            <w:noWrap w:val="0"/>
            <w:vAlign w:val="center"/>
          </w:tcPr>
          <w:p w14:paraId="0F9111F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321C059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．严格保护具有水源涵养功能的自然植被，</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过度放牧、无序采矿、毁林开荒，</w:t>
            </w:r>
            <w:r>
              <w:rPr>
                <w:rFonts w:ascii="Times New Roman" w:hAnsi="宋体" w:eastAsia="宋体" w:cs="Times New Roman"/>
                <w:b/>
                <w:bCs/>
                <w:color w:val="auto"/>
                <w:szCs w:val="21"/>
                <w:highlight w:val="none"/>
                <w:u w:val="none"/>
              </w:rPr>
              <w:t>限制或禁止</w:t>
            </w:r>
            <w:r>
              <w:rPr>
                <w:rFonts w:ascii="Times New Roman" w:hAnsi="宋体" w:eastAsia="宋体" w:cs="Times New Roman"/>
                <w:color w:val="auto"/>
                <w:szCs w:val="21"/>
                <w:highlight w:val="none"/>
                <w:u w:val="none"/>
              </w:rPr>
              <w:t>湿地和草地开垦等损害生态系统水源涵养功能的活动。</w:t>
            </w:r>
          </w:p>
          <w:p w14:paraId="346BC73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．推进天然林草保护和围栏封育，治理水土流失，维护或重建湿地、森林、草原等生态系统。</w:t>
            </w:r>
          </w:p>
          <w:p w14:paraId="01E26FB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．加强大江大河源头及上游地区的小流域治理，减少面源污染。</w:t>
            </w:r>
          </w:p>
          <w:p w14:paraId="0402FF46">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加强生态公益林的改造和建设，通过封育恢复自然植被，促使其逐步向常绿阔叶林演化，提高水源涵养的功能；林产业向合理利用与保护建设相结合的生态型林业方向发展，保持森林生长与采伐利用的动态平衡，兼顾生态效益和经济效益，逐步恢复和改善地力；加强水土保持。</w:t>
            </w:r>
          </w:p>
          <w:p w14:paraId="6D9E375D">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．除符合国土空间规划建设和布局要求外，原则上按限制开发区域的要求进行管理。</w:t>
            </w:r>
          </w:p>
        </w:tc>
      </w:tr>
      <w:tr w14:paraId="3E82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595" w:type="dxa"/>
            <w:vMerge w:val="continue"/>
            <w:noWrap w:val="0"/>
            <w:vAlign w:val="center"/>
          </w:tcPr>
          <w:p w14:paraId="50FCBA41">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79F0AF5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（极）重度</w:t>
            </w:r>
          </w:p>
          <w:p w14:paraId="47DADEC0">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石漠化区</w:t>
            </w:r>
          </w:p>
        </w:tc>
        <w:tc>
          <w:tcPr>
            <w:tcW w:w="2039" w:type="dxa"/>
            <w:noWrap w:val="0"/>
            <w:vAlign w:val="center"/>
          </w:tcPr>
          <w:p w14:paraId="1FB8CD1A">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2540FCF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严禁</w:t>
            </w:r>
            <w:r>
              <w:rPr>
                <w:rFonts w:ascii="Times New Roman" w:hAnsi="宋体" w:eastAsia="宋体" w:cs="Times New Roman"/>
                <w:color w:val="auto"/>
                <w:szCs w:val="21"/>
                <w:highlight w:val="none"/>
                <w:u w:val="none"/>
              </w:rPr>
              <w:t>陡坡垦殖、过度放牧、乱砍滥伐树木等损害水土保持功能的活动。</w:t>
            </w:r>
          </w:p>
          <w:p w14:paraId="6559D56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2</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在崩塌、滑坡危险区和泥石流易发区从事取土、挖砂、采石等可能造成水土流失的活动。</w:t>
            </w:r>
          </w:p>
          <w:p w14:paraId="1F5B91D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．控制人为造成新增水土流失的资源开发和建设项目等损害水土保持功能的活动。</w:t>
            </w:r>
          </w:p>
          <w:p w14:paraId="3330FFB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．加强石漠化综合治理，通过保护天然林、封山育林、小流域治理、农村生态能源建设、改变耕作方式、草食动物舍饲圈养、生态移民等措施，恢复自然植被，提高水源涵养和水土保持能力。</w:t>
            </w:r>
          </w:p>
        </w:tc>
      </w:tr>
      <w:tr w14:paraId="72F3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595" w:type="dxa"/>
            <w:vMerge w:val="continue"/>
            <w:noWrap w:val="0"/>
            <w:vAlign w:val="center"/>
          </w:tcPr>
          <w:p w14:paraId="1379214B">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6ADFF7EF">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生物多样性维护</w:t>
            </w:r>
          </w:p>
          <w:p w14:paraId="589F4FFE">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功能（极）重要区</w:t>
            </w:r>
          </w:p>
        </w:tc>
        <w:tc>
          <w:tcPr>
            <w:tcW w:w="2039" w:type="dxa"/>
            <w:noWrap w:val="0"/>
            <w:vAlign w:val="center"/>
          </w:tcPr>
          <w:p w14:paraId="7360E913">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17CE6E3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滥捕、乱采、乱猎野生动植物。</w:t>
            </w:r>
          </w:p>
          <w:p w14:paraId="44DB5AA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．保护自然生态系统与重要物种栖息地，</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无序采矿、毁林开荒、湿地和草地开垦等。</w:t>
            </w:r>
          </w:p>
          <w:p w14:paraId="1B875C7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．加强对外来物种入侵的控制，</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在生物多样性保护功能区引进外来物种。</w:t>
            </w:r>
          </w:p>
          <w:p w14:paraId="170B35D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．加强生物多样性资源调查与监测，保护和修复自然生态系统和重要物种栖息地，实施生物多样性保护工程。</w:t>
            </w:r>
          </w:p>
        </w:tc>
      </w:tr>
      <w:tr w14:paraId="5F52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595" w:type="dxa"/>
            <w:vMerge w:val="continue"/>
            <w:noWrap w:val="0"/>
            <w:vAlign w:val="center"/>
          </w:tcPr>
          <w:p w14:paraId="12E45685">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5CA2BF6E">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水土流失重点预防区</w:t>
            </w:r>
          </w:p>
        </w:tc>
        <w:tc>
          <w:tcPr>
            <w:tcW w:w="2039" w:type="dxa"/>
            <w:noWrap w:val="0"/>
            <w:vAlign w:val="center"/>
          </w:tcPr>
          <w:p w14:paraId="26C50426">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52B5756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采取保护管理、局部治理、生态补偿及能源替代等措施，保护林草植被，强化生产建设活动和项目水土保持管理，实施封育保护，促进自然修复，全面预防水土流失。</w:t>
            </w:r>
          </w:p>
        </w:tc>
      </w:tr>
      <w:tr w14:paraId="33CE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595" w:type="dxa"/>
            <w:vMerge w:val="continue"/>
            <w:noWrap w:val="0"/>
            <w:vAlign w:val="center"/>
          </w:tcPr>
          <w:p w14:paraId="3F12ED8E">
            <w:pPr>
              <w:shd w:val="clear" w:color="auto" w:fill="auto"/>
              <w:adjustRightInd w:val="0"/>
              <w:snapToGrid w:val="0"/>
              <w:rPr>
                <w:rFonts w:ascii="Times New Roman" w:hAnsi="Times New Roman" w:eastAsia="宋体" w:cs="Times New Roman"/>
                <w:color w:val="auto"/>
                <w:szCs w:val="21"/>
                <w:highlight w:val="none"/>
                <w:u w:val="none"/>
              </w:rPr>
            </w:pPr>
          </w:p>
        </w:tc>
        <w:tc>
          <w:tcPr>
            <w:tcW w:w="1932" w:type="dxa"/>
            <w:gridSpan w:val="2"/>
            <w:noWrap w:val="0"/>
            <w:vAlign w:val="center"/>
          </w:tcPr>
          <w:p w14:paraId="0ABFAF7E">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水土流失重点治理区</w:t>
            </w:r>
          </w:p>
        </w:tc>
        <w:tc>
          <w:tcPr>
            <w:tcW w:w="2039" w:type="dxa"/>
            <w:noWrap w:val="0"/>
            <w:vAlign w:val="center"/>
          </w:tcPr>
          <w:p w14:paraId="4978D56E">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77" w:type="dxa"/>
            <w:noWrap w:val="0"/>
            <w:vAlign w:val="center"/>
          </w:tcPr>
          <w:p w14:paraId="5B99B58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坚持政府领导、部门协作、统一规划、项目带动、社会参与，结合区域特点，科学制定分区水土流失防治措施体系，因地制宜地采取林草措施、工程措施以及农业保护性耕作措施，维护和增强区域水土保持功能。</w:t>
            </w:r>
          </w:p>
        </w:tc>
      </w:tr>
    </w:tbl>
    <w:p w14:paraId="388C8151">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r>
        <w:rPr>
          <w:rFonts w:ascii="黑体" w:hAnsi="Times New Roman" w:eastAsia="黑体" w:cs="Times New Roman"/>
          <w:color w:val="auto"/>
          <w:kern w:val="2"/>
          <w:sz w:val="24"/>
          <w:szCs w:val="24"/>
          <w:highlight w:val="none"/>
          <w:u w:val="none"/>
          <w:lang w:val="en-US" w:eastAsia="zh-CN" w:bidi="ar-SA"/>
        </w:rPr>
        <w:br w:type="page"/>
      </w:r>
      <w:bookmarkStart w:id="21" w:name="_Toc14746"/>
      <w:bookmarkStart w:id="22" w:name="_Toc15695"/>
      <w:bookmarkStart w:id="23" w:name="_Toc25259"/>
      <w:bookmarkStart w:id="24" w:name="_Toc4065"/>
      <w:bookmarkStart w:id="25" w:name="_Toc733"/>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1.1-3  </w:t>
      </w:r>
      <w:r>
        <w:rPr>
          <w:rFonts w:ascii="黑体" w:hAnsi="黑体" w:eastAsia="黑体" w:cs="Times New Roman"/>
          <w:color w:val="auto"/>
          <w:kern w:val="2"/>
          <w:sz w:val="24"/>
          <w:szCs w:val="24"/>
          <w:highlight w:val="none"/>
          <w:u w:val="none"/>
          <w:lang w:val="en-US" w:eastAsia="zh-CN" w:bidi="ar-SA"/>
        </w:rPr>
        <w:t>陆域重点管控区总体</w:t>
      </w:r>
      <w:r>
        <w:rPr>
          <w:rFonts w:hint="eastAsia" w:ascii="黑体" w:hAnsi="黑体" w:eastAsia="黑体" w:cs="Times New Roman"/>
          <w:color w:val="auto"/>
          <w:kern w:val="2"/>
          <w:sz w:val="24"/>
          <w:szCs w:val="24"/>
          <w:highlight w:val="none"/>
          <w:u w:val="none"/>
          <w:lang w:val="en-US" w:eastAsia="zh-CN" w:bidi="ar-SA"/>
        </w:rPr>
        <w:t>生态环境</w:t>
      </w:r>
      <w:r>
        <w:rPr>
          <w:rFonts w:ascii="黑体" w:hAnsi="黑体" w:eastAsia="黑体" w:cs="Times New Roman"/>
          <w:color w:val="auto"/>
          <w:kern w:val="2"/>
          <w:sz w:val="24"/>
          <w:szCs w:val="24"/>
          <w:highlight w:val="none"/>
          <w:u w:val="none"/>
          <w:lang w:val="en-US" w:eastAsia="zh-CN" w:bidi="ar-SA"/>
        </w:rPr>
        <w:t>准入</w:t>
      </w:r>
      <w:r>
        <w:rPr>
          <w:rFonts w:hint="eastAsia" w:ascii="黑体" w:hAnsi="黑体" w:eastAsia="黑体" w:cs="Times New Roman"/>
          <w:color w:val="auto"/>
          <w:kern w:val="2"/>
          <w:sz w:val="24"/>
          <w:szCs w:val="24"/>
          <w:highlight w:val="none"/>
          <w:u w:val="none"/>
          <w:lang w:val="en-US" w:eastAsia="zh-CN" w:bidi="ar-SA"/>
        </w:rPr>
        <w:t>及管控</w:t>
      </w:r>
      <w:r>
        <w:rPr>
          <w:rFonts w:ascii="黑体" w:hAnsi="黑体" w:eastAsia="黑体" w:cs="Times New Roman"/>
          <w:color w:val="auto"/>
          <w:kern w:val="2"/>
          <w:sz w:val="24"/>
          <w:szCs w:val="24"/>
          <w:highlight w:val="none"/>
          <w:u w:val="none"/>
          <w:lang w:val="en-US" w:eastAsia="zh-CN" w:bidi="ar-SA"/>
        </w:rPr>
        <w:t>要求</w:t>
      </w:r>
      <w:bookmarkEnd w:id="21"/>
      <w:bookmarkEnd w:id="22"/>
      <w:bookmarkEnd w:id="23"/>
      <w:bookmarkEnd w:id="24"/>
      <w:bookmarkEnd w:id="2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808"/>
        <w:gridCol w:w="2262"/>
        <w:gridCol w:w="14896"/>
      </w:tblGrid>
      <w:tr w14:paraId="6AE8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602" w:type="dxa"/>
            <w:noWrap w:val="0"/>
            <w:vAlign w:val="center"/>
          </w:tcPr>
          <w:p w14:paraId="28E4CA96">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适用分区</w:t>
            </w:r>
          </w:p>
        </w:tc>
        <w:tc>
          <w:tcPr>
            <w:tcW w:w="1808" w:type="dxa"/>
            <w:noWrap w:val="0"/>
            <w:vAlign w:val="center"/>
          </w:tcPr>
          <w:p w14:paraId="1601C87F">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适用对象</w:t>
            </w:r>
          </w:p>
        </w:tc>
        <w:tc>
          <w:tcPr>
            <w:tcW w:w="2262" w:type="dxa"/>
            <w:noWrap w:val="0"/>
            <w:vAlign w:val="center"/>
          </w:tcPr>
          <w:p w14:paraId="0EBD3EFA">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管控要求类别</w:t>
            </w:r>
          </w:p>
        </w:tc>
        <w:tc>
          <w:tcPr>
            <w:tcW w:w="14896" w:type="dxa"/>
            <w:noWrap w:val="0"/>
            <w:vAlign w:val="center"/>
          </w:tcPr>
          <w:p w14:paraId="7B2AD62A">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bCs/>
                <w:color w:val="auto"/>
                <w:szCs w:val="21"/>
                <w:highlight w:val="none"/>
                <w:u w:val="none"/>
              </w:rPr>
              <w:t>生态环境准入及管控要求</w:t>
            </w:r>
          </w:p>
        </w:tc>
      </w:tr>
      <w:tr w14:paraId="5FE0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02" w:type="dxa"/>
            <w:vMerge w:val="restart"/>
            <w:noWrap w:val="0"/>
            <w:vAlign w:val="center"/>
          </w:tcPr>
          <w:p w14:paraId="2479D30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重点管控单元</w:t>
            </w:r>
          </w:p>
        </w:tc>
        <w:tc>
          <w:tcPr>
            <w:tcW w:w="1808" w:type="dxa"/>
            <w:vMerge w:val="restart"/>
            <w:noWrap w:val="0"/>
            <w:vAlign w:val="center"/>
          </w:tcPr>
          <w:p w14:paraId="28E4196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工业集聚区重点管控单元</w:t>
            </w:r>
          </w:p>
        </w:tc>
        <w:tc>
          <w:tcPr>
            <w:tcW w:w="2262" w:type="dxa"/>
            <w:noWrap w:val="0"/>
            <w:vAlign w:val="center"/>
          </w:tcPr>
          <w:p w14:paraId="3BBE74D8">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896" w:type="dxa"/>
            <w:noWrap w:val="0"/>
            <w:vAlign w:val="center"/>
          </w:tcPr>
          <w:p w14:paraId="6614D988">
            <w:pPr>
              <w:numPr>
                <w:ilvl w:val="0"/>
                <w:numId w:val="0"/>
              </w:num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各类产业园区管理机构应将规划环评结论及审查意见落实到规划中。负责统筹区域内生态环境基础设施建设，</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引入不符合规划环评结论及审查意见的项目入园。</w:t>
            </w:r>
          </w:p>
        </w:tc>
      </w:tr>
      <w:tr w14:paraId="05B7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602" w:type="dxa"/>
            <w:vMerge w:val="continue"/>
            <w:noWrap w:val="0"/>
            <w:vAlign w:val="center"/>
          </w:tcPr>
          <w:p w14:paraId="4737FAF8">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600D5FB6">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588AC59D">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污染物排放管控</w:t>
            </w:r>
          </w:p>
        </w:tc>
        <w:tc>
          <w:tcPr>
            <w:tcW w:w="14896" w:type="dxa"/>
            <w:noWrap w:val="0"/>
            <w:vAlign w:val="center"/>
          </w:tcPr>
          <w:p w14:paraId="6B218BCB">
            <w:pPr>
              <w:shd w:val="clear" w:color="auto" w:fill="auto"/>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．逐步完成工业集聚区集中式污水处理设施建设，确保已建污水处理设施稳定运行及达标排放。园区集中式污水处理设施总排口安装自动监控系统、视频监控系统，并与生态环境主管部门联网。按照</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清污分流、雨污分流</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原则，实施废水分类收集、分质处理。</w:t>
            </w:r>
          </w:p>
          <w:p w14:paraId="1D9A9D8D">
            <w:pPr>
              <w:shd w:val="clear" w:color="auto" w:fill="auto"/>
              <w:adjustRightInd w:val="0"/>
              <w:snapToGrid w:val="0"/>
              <w:rPr>
                <w:rFonts w:ascii="Times New Roman" w:hAnsi="Times New Roman" w:eastAsia="宋体" w:cs="Times New Roman"/>
                <w:color w:val="auto"/>
                <w:szCs w:val="21"/>
                <w:highlight w:val="none"/>
                <w:u w:val="none"/>
              </w:rPr>
            </w:pPr>
            <w:r>
              <w:rPr>
                <w:rFonts w:hint="eastAsia" w:ascii="Times New Roman" w:hAnsi="Times New Roman" w:eastAsia="宋体" w:cs="Times New Roman"/>
                <w:color w:val="auto"/>
                <w:szCs w:val="21"/>
                <w:highlight w:val="none"/>
                <w:u w:val="none"/>
                <w:lang w:val="en-US" w:eastAsia="zh-CN"/>
              </w:rPr>
              <w:t>2</w:t>
            </w:r>
            <w:r>
              <w:rPr>
                <w:rFonts w:ascii="Times New Roman" w:hAnsi="宋体" w:eastAsia="宋体" w:cs="Times New Roman"/>
                <w:color w:val="auto"/>
                <w:szCs w:val="21"/>
                <w:highlight w:val="none"/>
                <w:u w:val="none"/>
              </w:rPr>
              <w:t>．新、改、扩建涉重金属重点行业建设项目必须以改善环境质量为核心，确保区域环境质量符合功能区定位，遵循重点重金属污染物排放</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减量置换</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或</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等量置换</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的原则，确保辖区完成重点行业重金属污染物排放总量控制目标。</w:t>
            </w:r>
          </w:p>
          <w:p w14:paraId="043D672D">
            <w:pPr>
              <w:shd w:val="clear" w:color="auto" w:fill="auto"/>
              <w:adjustRightInd w:val="0"/>
              <w:snapToGrid w:val="0"/>
              <w:rPr>
                <w:rFonts w:ascii="Times New Roman" w:hAnsi="Times New Roman" w:eastAsia="宋体" w:cs="Times New Roman"/>
                <w:color w:val="auto"/>
                <w:szCs w:val="21"/>
                <w:highlight w:val="none"/>
                <w:u w:val="none"/>
              </w:rPr>
            </w:pPr>
            <w:r>
              <w:rPr>
                <w:rFonts w:hint="eastAsia" w:ascii="Times New Roman" w:hAnsi="Times New Roman" w:eastAsia="宋体" w:cs="Times New Roman"/>
                <w:color w:val="auto"/>
                <w:szCs w:val="21"/>
                <w:highlight w:val="none"/>
                <w:u w:val="none"/>
                <w:lang w:val="en-US" w:eastAsia="zh-CN"/>
              </w:rPr>
              <w:t>3</w:t>
            </w:r>
            <w:r>
              <w:rPr>
                <w:rFonts w:ascii="Times New Roman" w:hAnsi="宋体" w:eastAsia="宋体" w:cs="Times New Roman"/>
                <w:color w:val="auto"/>
                <w:szCs w:val="21"/>
                <w:highlight w:val="none"/>
                <w:u w:val="none"/>
              </w:rPr>
              <w:t>．对现有生态环境问题要组织整改，落实主要污染物总量控制和减排任务。</w:t>
            </w:r>
          </w:p>
          <w:p w14:paraId="51E4D40F">
            <w:pPr>
              <w:shd w:val="clear" w:color="auto" w:fill="auto"/>
              <w:adjustRightInd w:val="0"/>
              <w:snapToGrid w:val="0"/>
              <w:rPr>
                <w:rFonts w:ascii="Times New Roman" w:hAnsi="Times New Roman" w:eastAsia="宋体" w:cs="Times New Roman"/>
                <w:color w:val="auto"/>
                <w:szCs w:val="21"/>
                <w:highlight w:val="none"/>
                <w:u w:val="none"/>
              </w:rPr>
            </w:pPr>
            <w:r>
              <w:rPr>
                <w:rFonts w:hint="eastAsia" w:ascii="Times New Roman" w:hAnsi="Times New Roman" w:eastAsia="宋体" w:cs="Times New Roman"/>
                <w:color w:val="auto"/>
                <w:szCs w:val="21"/>
                <w:highlight w:val="none"/>
                <w:u w:val="none"/>
                <w:lang w:val="en-US" w:eastAsia="zh-CN"/>
              </w:rPr>
              <w:t>4</w:t>
            </w:r>
            <w:r>
              <w:rPr>
                <w:rFonts w:ascii="Times New Roman" w:hAnsi="宋体" w:eastAsia="宋体" w:cs="Times New Roman"/>
                <w:color w:val="auto"/>
                <w:szCs w:val="21"/>
                <w:highlight w:val="none"/>
                <w:u w:val="none"/>
              </w:rPr>
              <w:t>．对石化、煤化工、燃煤发电（含热电）、钢铁、有色金属、制浆造纸等重点行业建设项目采取区域削减、强化区域整治、行业减排。</w:t>
            </w:r>
          </w:p>
          <w:p w14:paraId="596E7B9B">
            <w:pPr>
              <w:shd w:val="clear" w:color="auto" w:fill="auto"/>
              <w:adjustRightInd w:val="0"/>
              <w:snapToGrid w:val="0"/>
              <w:rPr>
                <w:rFonts w:ascii="Times New Roman" w:hAnsi="Times New Roman" w:eastAsia="宋体" w:cs="Times New Roman"/>
                <w:color w:val="auto"/>
                <w:szCs w:val="21"/>
                <w:highlight w:val="none"/>
                <w:u w:val="none"/>
              </w:rPr>
            </w:pPr>
            <w:r>
              <w:rPr>
                <w:rFonts w:hint="eastAsia" w:ascii="Times New Roman" w:hAnsi="Times New Roman" w:eastAsia="宋体" w:cs="Times New Roman"/>
                <w:color w:val="auto"/>
                <w:szCs w:val="21"/>
                <w:highlight w:val="none"/>
                <w:u w:val="none"/>
                <w:lang w:val="en-US" w:eastAsia="zh-CN"/>
              </w:rPr>
              <w:t>5</w:t>
            </w:r>
            <w:r>
              <w:rPr>
                <w:rFonts w:ascii="Times New Roman" w:hAnsi="宋体" w:eastAsia="宋体" w:cs="Times New Roman"/>
                <w:color w:val="auto"/>
                <w:szCs w:val="21"/>
                <w:highlight w:val="none"/>
                <w:u w:val="none"/>
              </w:rPr>
              <w:t>．严格能效约束推动重点领域节能降碳，持续推进钢铁、有色、建材、电力、石化化工、造纸等行业企业节能改造和转型升级。</w:t>
            </w:r>
          </w:p>
        </w:tc>
      </w:tr>
      <w:tr w14:paraId="1831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2" w:type="dxa"/>
            <w:vMerge w:val="continue"/>
            <w:noWrap w:val="0"/>
            <w:vAlign w:val="center"/>
          </w:tcPr>
          <w:p w14:paraId="3BEE11FF">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5E34F0B8">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137A7D3D">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环境风险防控</w:t>
            </w:r>
          </w:p>
        </w:tc>
        <w:tc>
          <w:tcPr>
            <w:tcW w:w="14896" w:type="dxa"/>
            <w:noWrap w:val="0"/>
            <w:vAlign w:val="center"/>
          </w:tcPr>
          <w:p w14:paraId="322EEF4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加强产业园区环境风险防控体系建设并编制应急预案，细化明确产业园区及区内企业环境风险防范责任，与地方政府应急预案做好衔接联动，切实做好环境风险防范工作，督促污染企业做好退出地块的土壤、地下水等风险防控工作。</w:t>
            </w:r>
          </w:p>
        </w:tc>
      </w:tr>
      <w:tr w14:paraId="1314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vMerge w:val="continue"/>
            <w:noWrap w:val="0"/>
            <w:vAlign w:val="center"/>
          </w:tcPr>
          <w:p w14:paraId="7EF2B45A">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restart"/>
            <w:noWrap w:val="0"/>
            <w:vAlign w:val="center"/>
          </w:tcPr>
          <w:p w14:paraId="79D4CDE9">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城镇生活类重点管控单元</w:t>
            </w:r>
          </w:p>
        </w:tc>
        <w:tc>
          <w:tcPr>
            <w:tcW w:w="2262" w:type="dxa"/>
            <w:noWrap w:val="0"/>
            <w:vAlign w:val="center"/>
          </w:tcPr>
          <w:p w14:paraId="04FE46B7">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896" w:type="dxa"/>
            <w:noWrap w:val="0"/>
            <w:vAlign w:val="center"/>
          </w:tcPr>
          <w:p w14:paraId="6EC2E39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．在城市建成区</w:t>
            </w:r>
            <w:r>
              <w:rPr>
                <w:rFonts w:hAnsi="宋体" w:eastAsia="宋体"/>
                <w:b/>
                <w:color w:val="auto"/>
                <w:kern w:val="2"/>
                <w:sz w:val="21"/>
                <w:highlight w:val="none"/>
                <w:u w:val="none"/>
                <w:lang w:bidi="ar-SA"/>
              </w:rPr>
              <w:t>禁止</w:t>
            </w:r>
            <w:r>
              <w:rPr>
                <w:rFonts w:hAnsi="宋体" w:eastAsia="宋体"/>
                <w:color w:val="auto"/>
                <w:kern w:val="2"/>
                <w:sz w:val="21"/>
                <w:highlight w:val="none"/>
                <w:u w:val="none"/>
                <w:lang w:bidi="ar-SA"/>
              </w:rPr>
              <w:t>新建、扩建钢铁、石油、化工、有色金属、水泥、平板玻璃、建筑陶瓷、砖瓦、碳酸钙、造纸等高排放、高污染项目，已建企业应当逐步进行搬迁、改造或者转型、退出。</w:t>
            </w:r>
          </w:p>
          <w:p w14:paraId="545EE06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．在城市建成区和其他依法需要特殊保护的区域内，</w:t>
            </w:r>
            <w:r>
              <w:rPr>
                <w:rFonts w:hAnsi="宋体" w:eastAsia="宋体"/>
                <w:b/>
                <w:color w:val="auto"/>
                <w:kern w:val="2"/>
                <w:sz w:val="21"/>
                <w:highlight w:val="none"/>
                <w:u w:val="none"/>
                <w:lang w:bidi="ar-SA"/>
              </w:rPr>
              <w:t>禁止</w:t>
            </w:r>
            <w:r>
              <w:rPr>
                <w:rFonts w:hAnsi="宋体" w:eastAsia="宋体"/>
                <w:color w:val="auto"/>
                <w:kern w:val="2"/>
                <w:sz w:val="21"/>
                <w:highlight w:val="none"/>
                <w:u w:val="none"/>
                <w:lang w:bidi="ar-SA"/>
              </w:rPr>
              <w:t>新建、改建、扩建产生恶臭气体的项目。污水处理设施、垃圾转运站等确实需要建设的项目，需设置合理的绿化带或隔离带。</w:t>
            </w:r>
          </w:p>
          <w:p w14:paraId="66E603B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．城市市区、镇和村庄居民区、文化教育科学研究区等人口集中区域</w:t>
            </w:r>
            <w:r>
              <w:rPr>
                <w:rFonts w:hAnsi="宋体" w:eastAsia="宋体"/>
                <w:b/>
                <w:color w:val="auto"/>
                <w:kern w:val="2"/>
                <w:sz w:val="21"/>
                <w:highlight w:val="none"/>
                <w:u w:val="none"/>
                <w:lang w:bidi="ar-SA"/>
              </w:rPr>
              <w:t>禁止</w:t>
            </w:r>
            <w:r>
              <w:rPr>
                <w:rFonts w:hAnsi="宋体" w:eastAsia="宋体"/>
                <w:color w:val="auto"/>
                <w:kern w:val="2"/>
                <w:sz w:val="21"/>
                <w:highlight w:val="none"/>
                <w:u w:val="none"/>
                <w:lang w:bidi="ar-SA"/>
              </w:rPr>
              <w:t>设置畜禽养殖场、养殖小区。</w:t>
            </w:r>
          </w:p>
          <w:p w14:paraId="6269CD7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在居民区和学校、医院、疗养院、养老院等单位周边新建、改建、扩建可能造成土壤污染的建设项目。</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在人口聚居区域内新（改、扩）建涉重金属企业。</w:t>
            </w:r>
          </w:p>
          <w:p w14:paraId="315D1F3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．推进城镇绿廊建设，建立城镇生态空间与区域生态空间的有机联系。任何单位和个人都</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擅自改变城市绿化规划用地性质或者破坏绿化规划用地；</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擅自占用城市绿化用地。</w:t>
            </w:r>
          </w:p>
        </w:tc>
      </w:tr>
      <w:tr w14:paraId="6852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602" w:type="dxa"/>
            <w:vMerge w:val="continue"/>
            <w:noWrap w:val="0"/>
            <w:vAlign w:val="center"/>
          </w:tcPr>
          <w:p w14:paraId="56A13492">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3B317E61">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5C7CBB2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污染物排放管控</w:t>
            </w:r>
          </w:p>
        </w:tc>
        <w:tc>
          <w:tcPr>
            <w:tcW w:w="14896" w:type="dxa"/>
            <w:noWrap w:val="0"/>
            <w:vAlign w:val="center"/>
          </w:tcPr>
          <w:p w14:paraId="6E98E3C0">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新增或扩建城镇污水集中处理设施同步配套建设服务片区内污水收集管网，确保污水有效收集。加快建设城市城中村、老旧城区、城乡结合部和易地扶贫搬迁安置区生活污水收集管网，填补污水收集管网空白区。开展老旧破损和易造成积水内涝问题的污水管网、雨污合流制管网诊断修复更新，循序推进管网错接混接漏接改造，提升污水收集效能。</w:t>
            </w:r>
          </w:p>
          <w:p w14:paraId="7D69EBEF">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．持续开展城镇生活污水处理厂新建、改扩建，进一步提高污水收集率。对全区重点流域和水环境敏感区域城镇污水处理厂提标改造建设。</w:t>
            </w:r>
          </w:p>
          <w:p w14:paraId="4B01F93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．巩固城市黑臭水体治理成效，建立防止返黑返臭的长效机制。县级城市建成区黑臭水体基本消除。</w:t>
            </w:r>
          </w:p>
          <w:p w14:paraId="78BE8694">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．原则上不再新建原生生活垃圾填埋处理设施，加快发展以焚烧方式为主的垃圾处理模式。限制未经脱水处理达标的污水处理厂污泥在垃圾填埋场填埋。</w:t>
            </w:r>
          </w:p>
        </w:tc>
      </w:tr>
      <w:tr w14:paraId="71A5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vMerge w:val="continue"/>
            <w:noWrap w:val="0"/>
            <w:vAlign w:val="center"/>
          </w:tcPr>
          <w:p w14:paraId="693C3D6F">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3060B080">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062D59D2">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资源开发利用效率要求</w:t>
            </w:r>
          </w:p>
        </w:tc>
        <w:tc>
          <w:tcPr>
            <w:tcW w:w="14896" w:type="dxa"/>
            <w:noWrap w:val="0"/>
            <w:vAlign w:val="center"/>
          </w:tcPr>
          <w:p w14:paraId="3F207E1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．到</w:t>
            </w:r>
            <w:r>
              <w:rPr>
                <w:rFonts w:eastAsia="宋体"/>
                <w:color w:val="auto"/>
                <w:kern w:val="2"/>
                <w:sz w:val="21"/>
                <w:highlight w:val="none"/>
                <w:u w:val="none"/>
                <w:lang w:bidi="ar-SA"/>
              </w:rPr>
              <w:t>2025</w:t>
            </w:r>
            <w:r>
              <w:rPr>
                <w:rFonts w:hAnsi="宋体" w:eastAsia="宋体"/>
                <w:color w:val="auto"/>
                <w:kern w:val="2"/>
                <w:sz w:val="21"/>
                <w:highlight w:val="none"/>
                <w:u w:val="none"/>
                <w:lang w:bidi="ar-SA"/>
              </w:rPr>
              <w:t>年，城镇新建建筑全面执行绿色建筑标准。</w:t>
            </w:r>
          </w:p>
          <w:p w14:paraId="47ACAFA4">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．提升县城能源使用效率，因地制宜开发利用地热能、生物质能、空气源和水源热泵等。</w:t>
            </w:r>
          </w:p>
        </w:tc>
      </w:tr>
      <w:tr w14:paraId="5209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02" w:type="dxa"/>
            <w:vMerge w:val="continue"/>
            <w:noWrap w:val="0"/>
            <w:vAlign w:val="center"/>
          </w:tcPr>
          <w:p w14:paraId="00F70F83">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restart"/>
            <w:noWrap w:val="0"/>
            <w:vAlign w:val="center"/>
          </w:tcPr>
          <w:p w14:paraId="2524899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农业空间类重点管控单元</w:t>
            </w:r>
          </w:p>
        </w:tc>
        <w:tc>
          <w:tcPr>
            <w:tcW w:w="2262" w:type="dxa"/>
            <w:noWrap w:val="0"/>
            <w:vAlign w:val="center"/>
          </w:tcPr>
          <w:p w14:paraId="10BCAA3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896" w:type="dxa"/>
            <w:noWrap w:val="0"/>
            <w:vAlign w:val="center"/>
          </w:tcPr>
          <w:p w14:paraId="7A6B15ED">
            <w:pPr>
              <w:pStyle w:val="18"/>
              <w:widowControl w:val="0"/>
              <w:jc w:val="both"/>
              <w:rPr>
                <w:rFonts w:eastAsia="宋体"/>
                <w:color w:val="auto"/>
                <w:kern w:val="2"/>
                <w:sz w:val="21"/>
                <w:highlight w:val="none"/>
                <w:u w:val="none"/>
                <w:lang w:bidi="ar-SA"/>
              </w:rPr>
            </w:pPr>
            <w:r>
              <w:rPr>
                <w:rFonts w:hAnsi="宋体" w:eastAsia="宋体"/>
                <w:color w:val="auto"/>
                <w:kern w:val="2"/>
                <w:sz w:val="21"/>
                <w:highlight w:val="none"/>
                <w:u w:val="none"/>
                <w:lang w:bidi="ar-SA"/>
              </w:rPr>
              <w:t>合理确定畜禽养殖和水产养殖空间，严格按照水产养殖规划和畜禽养殖禁养区规定执行。</w:t>
            </w:r>
          </w:p>
        </w:tc>
      </w:tr>
      <w:tr w14:paraId="67E9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602" w:type="dxa"/>
            <w:vMerge w:val="continue"/>
            <w:noWrap w:val="0"/>
            <w:vAlign w:val="center"/>
          </w:tcPr>
          <w:p w14:paraId="1ACCA91E">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18A994CD">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60DA5E58">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污染物排放管控</w:t>
            </w:r>
          </w:p>
        </w:tc>
        <w:tc>
          <w:tcPr>
            <w:tcW w:w="14896" w:type="dxa"/>
            <w:noWrap w:val="0"/>
            <w:vAlign w:val="center"/>
          </w:tcPr>
          <w:p w14:paraId="423A982B">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．新（改、扩）建规模化畜禽养殖场（小区）实施雨污分流、粪污资源化利用。</w:t>
            </w:r>
          </w:p>
          <w:p w14:paraId="08A280ED">
            <w:pPr>
              <w:shd w:val="clear" w:color="auto" w:fill="auto"/>
              <w:tabs>
                <w:tab w:val="left" w:pos="312"/>
              </w:tabs>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．鼓励种植和养殖相结合，就地就近消纳利用畜禽养殖废弃物。</w:t>
            </w:r>
          </w:p>
          <w:p w14:paraId="15409DCA">
            <w:pPr>
              <w:pStyle w:val="19"/>
              <w:widowControl w:val="0"/>
              <w:adjustRightInd w:val="0"/>
              <w:snapToGrid w:val="0"/>
              <w:ind w:firstLine="0" w:firstLineChars="0"/>
              <w:jc w:val="both"/>
              <w:rPr>
                <w:rFonts w:ascii="Times New Roman" w:hAnsi="Times New Roman" w:eastAsia="宋体" w:cs="Times New Roman"/>
                <w:color w:val="auto"/>
                <w:kern w:val="2"/>
                <w:sz w:val="21"/>
                <w:szCs w:val="21"/>
                <w:highlight w:val="none"/>
                <w:u w:val="none"/>
                <w:lang w:bidi="ar-SA"/>
              </w:rPr>
            </w:pPr>
            <w:r>
              <w:rPr>
                <w:rFonts w:ascii="Times New Roman" w:hAnsi="Times New Roman" w:eastAsia="宋体" w:cs="Times New Roman"/>
                <w:color w:val="auto"/>
                <w:kern w:val="2"/>
                <w:sz w:val="21"/>
                <w:szCs w:val="21"/>
                <w:highlight w:val="none"/>
                <w:u w:val="none"/>
                <w:lang w:bidi="ar-SA"/>
              </w:rPr>
              <w:t>3</w:t>
            </w:r>
            <w:r>
              <w:rPr>
                <w:rFonts w:ascii="Times New Roman" w:hAnsi="宋体" w:eastAsia="宋体" w:cs="Times New Roman"/>
                <w:color w:val="auto"/>
                <w:kern w:val="2"/>
                <w:sz w:val="21"/>
                <w:szCs w:val="21"/>
                <w:highlight w:val="none"/>
                <w:u w:val="none"/>
                <w:lang w:bidi="ar-SA"/>
              </w:rPr>
              <w:t>．严格控制高毒高风险农药使用，推进有机肥替代化肥、病虫害绿色防控替代化学防治。推进农药化肥减量化工作。</w:t>
            </w:r>
          </w:p>
          <w:p w14:paraId="7EA3957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合理布局水产养殖空间，深入推进水产健康养殖，加快重点江河湖库破坏生态环境的养殖方式综合整治。推广生态、健康、循环型水产养殖模式，加强养殖投入品管理，严格控制水产养殖污染影响。加大水产养殖场养殖尾水排放监管。</w:t>
            </w:r>
          </w:p>
          <w:p w14:paraId="2DE30EB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．推动城镇污水管网向周边村庄延伸覆盖，推进农村污水垃圾处理设施建设。加强垃圾分类资源化利用，完善收集</w:t>
            </w:r>
            <w:r>
              <w:rPr>
                <w:rFonts w:eastAsia="宋体"/>
                <w:color w:val="auto"/>
                <w:kern w:val="2"/>
                <w:sz w:val="21"/>
                <w:highlight w:val="none"/>
                <w:u w:val="none"/>
                <w:lang w:bidi="ar-SA"/>
              </w:rPr>
              <w:t>-</w:t>
            </w:r>
            <w:r>
              <w:rPr>
                <w:rFonts w:hAnsi="宋体" w:eastAsia="宋体"/>
                <w:color w:val="auto"/>
                <w:kern w:val="2"/>
                <w:sz w:val="21"/>
                <w:highlight w:val="none"/>
                <w:u w:val="none"/>
                <w:lang w:bidi="ar-SA"/>
              </w:rPr>
              <w:t>转运</w:t>
            </w:r>
            <w:r>
              <w:rPr>
                <w:rFonts w:eastAsia="宋体"/>
                <w:color w:val="auto"/>
                <w:kern w:val="2"/>
                <w:sz w:val="21"/>
                <w:highlight w:val="none"/>
                <w:u w:val="none"/>
                <w:lang w:bidi="ar-SA"/>
              </w:rPr>
              <w:t>-</w:t>
            </w:r>
            <w:r>
              <w:rPr>
                <w:rFonts w:hAnsi="宋体" w:eastAsia="宋体"/>
                <w:color w:val="auto"/>
                <w:kern w:val="2"/>
                <w:sz w:val="21"/>
                <w:highlight w:val="none"/>
                <w:u w:val="none"/>
                <w:lang w:bidi="ar-SA"/>
              </w:rPr>
              <w:t>处理处置体系。完善农村污水垃圾处理设施运营机制，加强已建污水垃圾处理设施运行管理。</w:t>
            </w:r>
          </w:p>
        </w:tc>
      </w:tr>
      <w:tr w14:paraId="08AD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02" w:type="dxa"/>
            <w:vMerge w:val="continue"/>
            <w:noWrap w:val="0"/>
            <w:vAlign w:val="center"/>
          </w:tcPr>
          <w:p w14:paraId="2360CC8D">
            <w:pPr>
              <w:shd w:val="clear" w:color="auto" w:fill="auto"/>
              <w:adjustRightInd w:val="0"/>
              <w:snapToGrid w:val="0"/>
              <w:rPr>
                <w:rFonts w:ascii="Times New Roman" w:hAnsi="Times New Roman" w:eastAsia="宋体" w:cs="Times New Roman"/>
                <w:color w:val="auto"/>
                <w:szCs w:val="21"/>
                <w:highlight w:val="none"/>
                <w:u w:val="none"/>
              </w:rPr>
            </w:pPr>
          </w:p>
        </w:tc>
        <w:tc>
          <w:tcPr>
            <w:tcW w:w="1808" w:type="dxa"/>
            <w:vMerge w:val="continue"/>
            <w:noWrap w:val="0"/>
            <w:vAlign w:val="center"/>
          </w:tcPr>
          <w:p w14:paraId="5B1C8886">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2262" w:type="dxa"/>
            <w:noWrap w:val="0"/>
            <w:vAlign w:val="center"/>
          </w:tcPr>
          <w:p w14:paraId="6A223CA7">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环境风险防控</w:t>
            </w:r>
          </w:p>
        </w:tc>
        <w:tc>
          <w:tcPr>
            <w:tcW w:w="14896" w:type="dxa"/>
            <w:noWrap w:val="0"/>
            <w:vAlign w:val="center"/>
          </w:tcPr>
          <w:p w14:paraId="223F2D8F">
            <w:pPr>
              <w:pStyle w:val="18"/>
              <w:widowControl w:val="0"/>
              <w:jc w:val="both"/>
              <w:rPr>
                <w:rFonts w:eastAsia="宋体"/>
                <w:color w:val="auto"/>
                <w:kern w:val="2"/>
                <w:sz w:val="21"/>
                <w:highlight w:val="none"/>
                <w:u w:val="none"/>
                <w:lang w:bidi="ar-SA"/>
              </w:rPr>
            </w:pPr>
            <w:r>
              <w:rPr>
                <w:rFonts w:hAnsi="宋体" w:eastAsia="宋体"/>
                <w:color w:val="auto"/>
                <w:kern w:val="2"/>
                <w:sz w:val="21"/>
                <w:highlight w:val="none"/>
                <w:u w:val="none"/>
                <w:lang w:bidi="ar-SA"/>
              </w:rPr>
              <w:t>向农田灌溉渠道排放城镇污水以及未综合利用的畜禽养殖废水、农产品加工废水的，应当保证其下游最近的灌溉取水点的水质符合农田灌溉水质标准。</w:t>
            </w:r>
          </w:p>
        </w:tc>
      </w:tr>
    </w:tbl>
    <w:p w14:paraId="7982C315">
      <w:pPr>
        <w:keepNext w:val="0"/>
        <w:keepLines w:val="0"/>
        <w:pageBreakBefore w:val="0"/>
        <w:widowControl w:val="0"/>
        <w:kinsoku/>
        <w:wordWrap/>
        <w:overflowPunct/>
        <w:topLinePunct w:val="0"/>
        <w:autoSpaceDE/>
        <w:autoSpaceDN/>
        <w:bidi w:val="0"/>
        <w:adjustRightInd w:val="0"/>
        <w:snapToGrid w:val="0"/>
        <w:jc w:val="center"/>
        <w:textAlignment w:val="auto"/>
        <w:outlineLvl w:val="2"/>
        <w:rPr>
          <w:rFonts w:ascii="Times New Roman" w:hAnsi="Times New Roman" w:eastAsia="黑体" w:cs="Times New Roman"/>
          <w:color w:val="auto"/>
          <w:kern w:val="2"/>
          <w:sz w:val="24"/>
          <w:szCs w:val="24"/>
          <w:highlight w:val="none"/>
          <w:u w:val="none"/>
          <w:lang w:val="en-US" w:eastAsia="zh-CN" w:bidi="ar-SA"/>
        </w:rPr>
      </w:pPr>
      <w:bookmarkStart w:id="26" w:name="_Toc28793"/>
      <w:bookmarkStart w:id="27" w:name="_Toc23318"/>
      <w:bookmarkStart w:id="28" w:name="_Toc28587"/>
      <w:bookmarkStart w:id="29" w:name="_Toc22572"/>
      <w:bookmarkStart w:id="30" w:name="_Toc335"/>
      <w:r>
        <w:rPr>
          <w:rFonts w:ascii="Times New Roman" w:hAnsi="Times New Roman" w:eastAsia="黑体" w:cs="Times New Roman"/>
          <w:color w:val="auto"/>
          <w:kern w:val="2"/>
          <w:sz w:val="24"/>
          <w:szCs w:val="24"/>
          <w:highlight w:val="none"/>
          <w:u w:val="none"/>
          <w:lang w:val="en-US" w:eastAsia="zh-CN" w:bidi="ar-SA"/>
        </w:rPr>
        <w:t>表1.1-4  陆域一般管控区总体</w:t>
      </w:r>
      <w:r>
        <w:rPr>
          <w:rFonts w:hint="eastAsia" w:ascii="Times New Roman" w:hAnsi="Times New Roman" w:eastAsia="黑体" w:cs="Times New Roman"/>
          <w:color w:val="auto"/>
          <w:kern w:val="2"/>
          <w:sz w:val="24"/>
          <w:szCs w:val="24"/>
          <w:highlight w:val="none"/>
          <w:u w:val="none"/>
          <w:lang w:val="en-US" w:eastAsia="zh-CN" w:bidi="ar-SA"/>
        </w:rPr>
        <w:t>生态环境</w:t>
      </w:r>
      <w:r>
        <w:rPr>
          <w:rFonts w:ascii="Times New Roman" w:hAnsi="Times New Roman" w:eastAsia="黑体" w:cs="Times New Roman"/>
          <w:color w:val="auto"/>
          <w:kern w:val="2"/>
          <w:sz w:val="24"/>
          <w:szCs w:val="24"/>
          <w:highlight w:val="none"/>
          <w:u w:val="none"/>
          <w:lang w:val="en-US" w:eastAsia="zh-CN" w:bidi="ar-SA"/>
        </w:rPr>
        <w:t>准入</w:t>
      </w:r>
      <w:r>
        <w:rPr>
          <w:rFonts w:hint="eastAsia" w:ascii="Times New Roman" w:hAnsi="Times New Roman" w:eastAsia="黑体" w:cs="Times New Roman"/>
          <w:color w:val="auto"/>
          <w:kern w:val="2"/>
          <w:sz w:val="24"/>
          <w:szCs w:val="24"/>
          <w:highlight w:val="none"/>
          <w:u w:val="none"/>
          <w:lang w:val="en-US" w:eastAsia="zh-CN" w:bidi="ar-SA"/>
        </w:rPr>
        <w:t>及管控</w:t>
      </w:r>
      <w:r>
        <w:rPr>
          <w:rFonts w:ascii="Times New Roman" w:hAnsi="Times New Roman" w:eastAsia="黑体" w:cs="Times New Roman"/>
          <w:color w:val="auto"/>
          <w:kern w:val="2"/>
          <w:sz w:val="24"/>
          <w:szCs w:val="24"/>
          <w:highlight w:val="none"/>
          <w:u w:val="none"/>
          <w:lang w:val="en-US" w:eastAsia="zh-CN" w:bidi="ar-SA"/>
        </w:rPr>
        <w:t>要求</w:t>
      </w:r>
      <w:bookmarkEnd w:id="26"/>
      <w:bookmarkEnd w:id="27"/>
      <w:bookmarkEnd w:id="28"/>
      <w:bookmarkEnd w:id="29"/>
      <w:bookmarkEnd w:id="3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824"/>
        <w:gridCol w:w="2264"/>
        <w:gridCol w:w="14957"/>
      </w:tblGrid>
      <w:tr w14:paraId="704F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87" w:type="dxa"/>
            <w:noWrap w:val="0"/>
            <w:vAlign w:val="center"/>
          </w:tcPr>
          <w:p w14:paraId="76021F28">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适用分区</w:t>
            </w:r>
          </w:p>
        </w:tc>
        <w:tc>
          <w:tcPr>
            <w:tcW w:w="1824" w:type="dxa"/>
            <w:noWrap w:val="0"/>
            <w:vAlign w:val="center"/>
          </w:tcPr>
          <w:p w14:paraId="5DC44FA8">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适用对象</w:t>
            </w:r>
          </w:p>
        </w:tc>
        <w:tc>
          <w:tcPr>
            <w:tcW w:w="2264" w:type="dxa"/>
            <w:noWrap w:val="0"/>
            <w:vAlign w:val="center"/>
          </w:tcPr>
          <w:p w14:paraId="04708098">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color w:val="auto"/>
                <w:szCs w:val="21"/>
                <w:highlight w:val="none"/>
                <w:u w:val="none"/>
              </w:rPr>
              <w:t>管控要求类别</w:t>
            </w:r>
          </w:p>
        </w:tc>
        <w:tc>
          <w:tcPr>
            <w:tcW w:w="14957" w:type="dxa"/>
            <w:noWrap w:val="0"/>
            <w:vAlign w:val="center"/>
          </w:tcPr>
          <w:p w14:paraId="1873E236">
            <w:pPr>
              <w:shd w:val="clear" w:color="auto" w:fill="auto"/>
              <w:adjustRightInd w:val="0"/>
              <w:snapToGrid w:val="0"/>
              <w:jc w:val="center"/>
              <w:rPr>
                <w:rFonts w:ascii="Times New Roman" w:hAnsi="Times New Roman" w:eastAsia="宋体" w:cs="Times New Roman"/>
                <w:b/>
                <w:color w:val="auto"/>
                <w:szCs w:val="21"/>
                <w:highlight w:val="none"/>
                <w:u w:val="none"/>
              </w:rPr>
            </w:pPr>
            <w:r>
              <w:rPr>
                <w:rFonts w:ascii="Times New Roman" w:hAnsi="宋体" w:eastAsia="宋体" w:cs="Times New Roman"/>
                <w:b/>
                <w:bCs/>
                <w:color w:val="auto"/>
                <w:szCs w:val="21"/>
                <w:highlight w:val="none"/>
                <w:u w:val="none"/>
              </w:rPr>
              <w:t>生态环境准入及管控要求</w:t>
            </w:r>
          </w:p>
        </w:tc>
      </w:tr>
      <w:tr w14:paraId="10EE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7" w:type="dxa"/>
            <w:noWrap w:val="0"/>
            <w:vAlign w:val="center"/>
          </w:tcPr>
          <w:p w14:paraId="1A6269F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一般管控单元</w:t>
            </w:r>
          </w:p>
        </w:tc>
        <w:tc>
          <w:tcPr>
            <w:tcW w:w="1824" w:type="dxa"/>
            <w:noWrap w:val="0"/>
            <w:vAlign w:val="center"/>
          </w:tcPr>
          <w:p w14:paraId="19CA848D">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永久基本农田类一般管控单元</w:t>
            </w:r>
          </w:p>
        </w:tc>
        <w:tc>
          <w:tcPr>
            <w:tcW w:w="2264" w:type="dxa"/>
            <w:noWrap w:val="0"/>
            <w:vAlign w:val="center"/>
          </w:tcPr>
          <w:p w14:paraId="6C51E57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14957" w:type="dxa"/>
            <w:noWrap w:val="0"/>
            <w:vAlign w:val="center"/>
          </w:tcPr>
          <w:p w14:paraId="4F6578C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．落实最严格的耕地保护制度，严守耕地保护红线，加强用途管制，规范占补平衡，强化土地流转用途监管，推进闲置、荒芜土地利用，遏制耕地</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非农化</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、永久基本农田</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非粮化</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w:t>
            </w:r>
          </w:p>
          <w:p w14:paraId="547AB018">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．永久基本农田一经划定，任何单位和个人</w:t>
            </w:r>
            <w:r>
              <w:rPr>
                <w:rFonts w:hAnsi="宋体" w:eastAsia="宋体"/>
                <w:b/>
                <w:bCs/>
                <w:color w:val="auto"/>
                <w:kern w:val="2"/>
                <w:sz w:val="21"/>
                <w:highlight w:val="none"/>
                <w:u w:val="none"/>
                <w:lang w:bidi="ar-SA"/>
              </w:rPr>
              <w:t>不得</w:t>
            </w:r>
            <w:r>
              <w:rPr>
                <w:rFonts w:hAnsi="宋体" w:eastAsia="宋体"/>
                <w:color w:val="auto"/>
                <w:kern w:val="2"/>
                <w:sz w:val="21"/>
                <w:highlight w:val="none"/>
                <w:u w:val="none"/>
                <w:lang w:bidi="ar-SA"/>
              </w:rPr>
              <w:t>擅自占用或改变用途。</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任何单位和个人破坏永久基本农田耕作层。对永久基本农田实行严格保护，确保其面积不减少、土壤环境质量不下降。对于重大建设项目、生态建设项目等符合国家规定的项目，在选址时确实难以避让永久基本农田的情况下，依照法定程序批准占用永久基本农田。对于经依法批准占用永久基本农田的，按照</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数量不减、质量不降、布局稳定</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的要求进行补划。</w:t>
            </w:r>
          </w:p>
          <w:p w14:paraId="373F031E">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w:t>
            </w:r>
            <w:r>
              <w:rPr>
                <w:rFonts w:hAnsi="宋体" w:eastAsia="宋体"/>
                <w:b/>
                <w:bCs/>
                <w:color w:val="auto"/>
                <w:kern w:val="2"/>
                <w:sz w:val="21"/>
                <w:highlight w:val="none"/>
                <w:u w:val="none"/>
                <w:lang w:bidi="ar-SA"/>
              </w:rPr>
              <w:t>严禁</w:t>
            </w:r>
            <w:r>
              <w:rPr>
                <w:rFonts w:hAnsi="宋体" w:eastAsia="宋体"/>
                <w:color w:val="auto"/>
                <w:kern w:val="2"/>
                <w:sz w:val="21"/>
                <w:highlight w:val="none"/>
                <w:u w:val="none"/>
                <w:lang w:bidi="ar-SA"/>
              </w:rPr>
              <w:t>永久基本农田转为林地、草地、园地等其他农用地及农业设施建设用地；</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占用永久基本农田种植苗木、草皮等用于绿化装饰以及其他破坏耕作层的植物；</w:t>
            </w:r>
            <w:r>
              <w:rPr>
                <w:rFonts w:hAnsi="宋体" w:eastAsia="宋体"/>
                <w:b/>
                <w:bCs/>
                <w:color w:val="auto"/>
                <w:kern w:val="2"/>
                <w:sz w:val="21"/>
                <w:highlight w:val="none"/>
                <w:u w:val="none"/>
                <w:lang w:bidi="ar-SA"/>
              </w:rPr>
              <w:t>严禁</w:t>
            </w:r>
            <w:r>
              <w:rPr>
                <w:rFonts w:hAnsi="宋体" w:eastAsia="宋体"/>
                <w:color w:val="auto"/>
                <w:kern w:val="2"/>
                <w:sz w:val="21"/>
                <w:highlight w:val="none"/>
                <w:u w:val="none"/>
                <w:lang w:bidi="ar-SA"/>
              </w:rPr>
              <w:t>占用永久基本农田扩大自然保护地。</w:t>
            </w:r>
          </w:p>
          <w:p w14:paraId="2E7C12D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．在永久基本农田集中区域，</w:t>
            </w:r>
            <w:r>
              <w:rPr>
                <w:rFonts w:hAnsi="宋体" w:eastAsia="宋体"/>
                <w:b/>
                <w:bCs/>
                <w:color w:val="auto"/>
                <w:kern w:val="2"/>
                <w:sz w:val="21"/>
                <w:highlight w:val="none"/>
                <w:u w:val="none"/>
                <w:lang w:bidi="ar-SA"/>
              </w:rPr>
              <w:t>不得</w:t>
            </w:r>
            <w:r>
              <w:rPr>
                <w:rFonts w:hAnsi="宋体" w:eastAsia="宋体"/>
                <w:color w:val="auto"/>
                <w:kern w:val="2"/>
                <w:sz w:val="21"/>
                <w:highlight w:val="none"/>
                <w:u w:val="none"/>
                <w:lang w:bidi="ar-SA"/>
              </w:rPr>
              <w:t>新建可能造成土壤污染的建设项目；已经建成的，应当限期关闭拆除。</w:t>
            </w:r>
          </w:p>
          <w:p w14:paraId="0BFE0FA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将重金属或者其他有毒有害物质含量超标的工业固体废物、生活垃圾或者污染土壤用于土地复垦。</w:t>
            </w:r>
          </w:p>
          <w:p w14:paraId="3968F35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违法占用耕地等建设人工湿地。</w:t>
            </w:r>
          </w:p>
        </w:tc>
      </w:tr>
    </w:tbl>
    <w:p w14:paraId="3E320E43">
      <w:pPr>
        <w:outlineLvl w:val="9"/>
        <w:rPr>
          <w:color w:val="auto"/>
          <w:highlight w:val="none"/>
          <w:u w:val="none"/>
        </w:rPr>
        <w:sectPr>
          <w:headerReference r:id="rId11" w:type="default"/>
          <w:footerReference r:id="rId12" w:type="default"/>
          <w:pgSz w:w="23814" w:h="16839" w:orient="landscape"/>
          <w:pgMar w:top="1797" w:right="1440" w:bottom="1797" w:left="1440" w:header="851" w:footer="992" w:gutter="0"/>
          <w:pgNumType w:start="8"/>
          <w:cols w:space="720" w:num="1"/>
          <w:docGrid w:type="lines" w:linePitch="312" w:charSpace="0"/>
        </w:sectPr>
      </w:pPr>
      <w:bookmarkStart w:id="31" w:name="_Toc28856"/>
    </w:p>
    <w:p w14:paraId="18A82109">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bookmarkStart w:id="32" w:name="_Toc14092"/>
      <w:bookmarkStart w:id="33" w:name="_Toc20284"/>
      <w:bookmarkStart w:id="34" w:name="_Toc31388"/>
      <w:bookmarkStart w:id="35" w:name="_Toc17842"/>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1.1-5  </w:t>
      </w:r>
      <w:r>
        <w:rPr>
          <w:rFonts w:ascii="黑体" w:hAnsi="黑体" w:eastAsia="黑体" w:cs="Times New Roman"/>
          <w:color w:val="auto"/>
          <w:kern w:val="2"/>
          <w:sz w:val="24"/>
          <w:szCs w:val="24"/>
          <w:highlight w:val="none"/>
          <w:u w:val="none"/>
          <w:lang w:val="en-US" w:eastAsia="zh-CN" w:bidi="ar-SA"/>
        </w:rPr>
        <w:t>近岸海域总体</w:t>
      </w:r>
      <w:r>
        <w:rPr>
          <w:rFonts w:hint="eastAsia" w:ascii="黑体" w:hAnsi="黑体" w:eastAsia="黑体" w:cs="Times New Roman"/>
          <w:color w:val="auto"/>
          <w:kern w:val="2"/>
          <w:sz w:val="24"/>
          <w:szCs w:val="24"/>
          <w:highlight w:val="none"/>
          <w:u w:val="none"/>
          <w:lang w:val="en-US" w:eastAsia="zh-CN" w:bidi="ar-SA"/>
        </w:rPr>
        <w:t>生态环境</w:t>
      </w:r>
      <w:r>
        <w:rPr>
          <w:rFonts w:ascii="黑体" w:hAnsi="黑体" w:eastAsia="黑体" w:cs="Times New Roman"/>
          <w:color w:val="auto"/>
          <w:kern w:val="2"/>
          <w:sz w:val="24"/>
          <w:szCs w:val="24"/>
          <w:highlight w:val="none"/>
          <w:u w:val="none"/>
          <w:lang w:val="en-US" w:eastAsia="zh-CN" w:bidi="ar-SA"/>
        </w:rPr>
        <w:t>准入</w:t>
      </w:r>
      <w:r>
        <w:rPr>
          <w:rFonts w:hint="eastAsia" w:ascii="黑体" w:hAnsi="黑体" w:eastAsia="黑体" w:cs="Times New Roman"/>
          <w:color w:val="auto"/>
          <w:kern w:val="2"/>
          <w:sz w:val="24"/>
          <w:szCs w:val="24"/>
          <w:highlight w:val="none"/>
          <w:u w:val="none"/>
          <w:lang w:val="en-US" w:eastAsia="zh-CN" w:bidi="ar-SA"/>
        </w:rPr>
        <w:t>及管控</w:t>
      </w:r>
      <w:r>
        <w:rPr>
          <w:rFonts w:ascii="黑体" w:hAnsi="黑体" w:eastAsia="黑体" w:cs="Times New Roman"/>
          <w:color w:val="auto"/>
          <w:kern w:val="2"/>
          <w:sz w:val="24"/>
          <w:szCs w:val="24"/>
          <w:highlight w:val="none"/>
          <w:u w:val="none"/>
          <w:lang w:val="en-US" w:eastAsia="zh-CN" w:bidi="ar-SA"/>
        </w:rPr>
        <w:t>要求</w:t>
      </w:r>
      <w:bookmarkEnd w:id="31"/>
      <w:bookmarkEnd w:id="32"/>
      <w:bookmarkEnd w:id="33"/>
      <w:bookmarkEnd w:id="34"/>
      <w:bookmarkEnd w:id="35"/>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844"/>
        <w:gridCol w:w="2291"/>
        <w:gridCol w:w="15309"/>
      </w:tblGrid>
      <w:tr w14:paraId="4A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0" w:type="pct"/>
            <w:noWrap w:val="0"/>
            <w:vAlign w:val="center"/>
          </w:tcPr>
          <w:p w14:paraId="16B533E4">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437" w:type="pct"/>
            <w:noWrap w:val="0"/>
            <w:vAlign w:val="center"/>
          </w:tcPr>
          <w:p w14:paraId="5905C726">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543" w:type="pct"/>
            <w:noWrap w:val="0"/>
            <w:vAlign w:val="center"/>
          </w:tcPr>
          <w:p w14:paraId="1736FC7F">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3629" w:type="pct"/>
            <w:noWrap w:val="0"/>
            <w:vAlign w:val="center"/>
          </w:tcPr>
          <w:p w14:paraId="69A133E8">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2F0E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0" w:type="pct"/>
            <w:noWrap w:val="0"/>
            <w:vAlign w:val="center"/>
          </w:tcPr>
          <w:p w14:paraId="569AC7C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全自治区海域</w:t>
            </w:r>
          </w:p>
        </w:tc>
        <w:tc>
          <w:tcPr>
            <w:tcW w:w="437" w:type="pct"/>
            <w:noWrap w:val="0"/>
            <w:vAlign w:val="center"/>
          </w:tcPr>
          <w:p w14:paraId="4A8C5364">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全自治区海域</w:t>
            </w:r>
          </w:p>
        </w:tc>
        <w:tc>
          <w:tcPr>
            <w:tcW w:w="543" w:type="pct"/>
            <w:noWrap w:val="0"/>
            <w:vAlign w:val="center"/>
          </w:tcPr>
          <w:p w14:paraId="0D8D2CD7">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3629" w:type="pct"/>
            <w:noWrap w:val="0"/>
            <w:vAlign w:val="center"/>
          </w:tcPr>
          <w:p w14:paraId="08CAA4A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严格限制</w:t>
            </w:r>
            <w:r>
              <w:rPr>
                <w:rFonts w:ascii="Times New Roman" w:hAnsi="宋体" w:eastAsia="宋体" w:cs="Times New Roman"/>
                <w:color w:val="auto"/>
                <w:szCs w:val="21"/>
                <w:highlight w:val="none"/>
                <w:u w:val="none"/>
              </w:rPr>
              <w:t>在生态脆弱敏感、自净能力弱的海域实施围填海行为，</w:t>
            </w:r>
            <w:r>
              <w:rPr>
                <w:rFonts w:ascii="Times New Roman" w:hAnsi="宋体" w:eastAsia="宋体" w:cs="Times New Roman"/>
                <w:b/>
                <w:bCs/>
                <w:color w:val="auto"/>
                <w:szCs w:val="21"/>
                <w:highlight w:val="none"/>
                <w:u w:val="none"/>
              </w:rPr>
              <w:t>严禁</w:t>
            </w:r>
            <w:r>
              <w:rPr>
                <w:rFonts w:ascii="Times New Roman" w:hAnsi="宋体" w:eastAsia="宋体" w:cs="Times New Roman"/>
                <w:color w:val="auto"/>
                <w:szCs w:val="21"/>
                <w:highlight w:val="none"/>
                <w:u w:val="none"/>
              </w:rPr>
              <w:t>国家产业政策淘汰类、限制类项目在滨海湿地布局。</w:t>
            </w:r>
          </w:p>
          <w:p w14:paraId="04FB12F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．强化近岸排污口入海污染物管控，严格按照相关法律法规及国土空间用途管制等要求，规范设置和监管入海排污口。有条件的地区，应当将排污口深水设置，实行离岸排放。</w:t>
            </w:r>
          </w:p>
          <w:p w14:paraId="44A1B502">
            <w:pPr>
              <w:shd w:val="clear" w:color="auto" w:fill="auto"/>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在依法划定的自然保护地、重要渔业水域及其他需要特别保护的区域，违法建设污染环境、破坏生态的工程建设项目或者从事其他活动。</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在严格保护岸线范围内开采海砂。</w:t>
            </w:r>
          </w:p>
          <w:p w14:paraId="3A7F74C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加强水生生物重要生境以及自然岸线、红树林、湿地保护。红树林严格按照《广西壮族自治区红树林资源保护条例》进行管控。重要湿地严格按照《中华人民共和国湿地保护法》《广西壮族自治区湿地保护条例》进行管控。</w:t>
            </w:r>
          </w:p>
          <w:p w14:paraId="5B60B51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．确需在生态保护红线区内进行渔业及其执法码头、陆岛交通码头、道路交通、航道锚地、海底管线等公益或公共基础设施建设的，要经严格科学论证并经相关主管部门审批后方可准入。</w:t>
            </w:r>
          </w:p>
        </w:tc>
      </w:tr>
    </w:tbl>
    <w:p w14:paraId="536EC8AC">
      <w:pPr>
        <w:shd w:val="clear" w:color="auto" w:fill="auto"/>
        <w:rPr>
          <w:rFonts w:ascii="Times New Roman" w:hAnsi="Times New Roman" w:eastAsia="宋体" w:cs="Times New Roman"/>
          <w:color w:val="auto"/>
          <w:szCs w:val="21"/>
          <w:highlight w:val="none"/>
          <w:u w:val="none"/>
        </w:rPr>
      </w:pPr>
    </w:p>
    <w:p w14:paraId="674D0543">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r>
        <w:rPr>
          <w:rFonts w:ascii="黑体" w:hAnsi="Times New Roman" w:eastAsia="黑体" w:cs="Times New Roman"/>
          <w:color w:val="auto"/>
          <w:kern w:val="2"/>
          <w:sz w:val="24"/>
          <w:szCs w:val="24"/>
          <w:highlight w:val="none"/>
          <w:u w:val="none"/>
          <w:lang w:val="en-US" w:eastAsia="zh-CN" w:bidi="ar-SA"/>
        </w:rPr>
        <w:br w:type="page"/>
      </w:r>
      <w:bookmarkStart w:id="36" w:name="_Toc7560"/>
      <w:bookmarkStart w:id="37" w:name="_Toc20023"/>
      <w:bookmarkStart w:id="38" w:name="_Toc1015"/>
      <w:bookmarkStart w:id="39" w:name="_Toc31061"/>
      <w:bookmarkStart w:id="40" w:name="_Toc2332"/>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1.1-6  </w:t>
      </w:r>
      <w:r>
        <w:rPr>
          <w:rFonts w:ascii="黑体" w:hAnsi="黑体" w:eastAsia="黑体" w:cs="Times New Roman"/>
          <w:color w:val="auto"/>
          <w:kern w:val="2"/>
          <w:sz w:val="24"/>
          <w:szCs w:val="24"/>
          <w:highlight w:val="none"/>
          <w:u w:val="none"/>
          <w:lang w:val="en-US" w:eastAsia="zh-CN" w:bidi="ar-SA"/>
        </w:rPr>
        <w:t>近岸海域生态空间总体</w:t>
      </w:r>
      <w:r>
        <w:rPr>
          <w:rFonts w:hint="default" w:ascii="黑体" w:hAnsi="黑体" w:eastAsia="黑体" w:cs="Times New Roman"/>
          <w:color w:val="auto"/>
          <w:kern w:val="2"/>
          <w:sz w:val="24"/>
          <w:szCs w:val="24"/>
          <w:highlight w:val="none"/>
          <w:u w:val="none"/>
          <w:lang w:val="en-US" w:eastAsia="zh-CN" w:bidi="ar-SA"/>
        </w:rPr>
        <w:t>生态环境</w:t>
      </w:r>
      <w:r>
        <w:rPr>
          <w:rFonts w:ascii="黑体" w:hAnsi="黑体" w:eastAsia="黑体" w:cs="Times New Roman"/>
          <w:color w:val="auto"/>
          <w:kern w:val="2"/>
          <w:sz w:val="24"/>
          <w:szCs w:val="24"/>
          <w:highlight w:val="none"/>
          <w:u w:val="none"/>
          <w:lang w:val="en-US" w:eastAsia="zh-CN" w:bidi="ar-SA"/>
        </w:rPr>
        <w:t>准入</w:t>
      </w:r>
      <w:r>
        <w:rPr>
          <w:rFonts w:hint="default" w:ascii="黑体" w:hAnsi="黑体" w:eastAsia="黑体" w:cs="Times New Roman"/>
          <w:color w:val="auto"/>
          <w:kern w:val="2"/>
          <w:sz w:val="24"/>
          <w:szCs w:val="24"/>
          <w:highlight w:val="none"/>
          <w:u w:val="none"/>
          <w:lang w:val="en-US" w:eastAsia="zh-CN" w:bidi="ar-SA"/>
        </w:rPr>
        <w:t>及管控</w:t>
      </w:r>
      <w:r>
        <w:rPr>
          <w:rFonts w:ascii="黑体" w:hAnsi="黑体" w:eastAsia="黑体" w:cs="Times New Roman"/>
          <w:color w:val="auto"/>
          <w:kern w:val="2"/>
          <w:sz w:val="24"/>
          <w:szCs w:val="24"/>
          <w:highlight w:val="none"/>
          <w:u w:val="none"/>
          <w:lang w:val="en-US" w:eastAsia="zh-CN" w:bidi="ar-SA"/>
        </w:rPr>
        <w:t>要求</w:t>
      </w:r>
      <w:bookmarkEnd w:id="36"/>
      <w:bookmarkEnd w:id="37"/>
      <w:bookmarkEnd w:id="38"/>
      <w:bookmarkEnd w:id="39"/>
      <w:bookmarkEnd w:id="4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83"/>
        <w:gridCol w:w="1113"/>
        <w:gridCol w:w="17487"/>
      </w:tblGrid>
      <w:tr w14:paraId="379B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0" w:type="auto"/>
            <w:noWrap w:val="0"/>
            <w:vAlign w:val="center"/>
          </w:tcPr>
          <w:p w14:paraId="2CAE826B">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0" w:type="auto"/>
            <w:noWrap w:val="0"/>
            <w:vAlign w:val="center"/>
          </w:tcPr>
          <w:p w14:paraId="23DED5D5">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0" w:type="auto"/>
            <w:noWrap w:val="0"/>
            <w:vAlign w:val="center"/>
          </w:tcPr>
          <w:p w14:paraId="23C9EF25">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0" w:type="auto"/>
            <w:noWrap w:val="0"/>
            <w:vAlign w:val="center"/>
          </w:tcPr>
          <w:p w14:paraId="5458BE0C">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034E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jc w:val="center"/>
        </w:trPr>
        <w:tc>
          <w:tcPr>
            <w:tcW w:w="0" w:type="auto"/>
            <w:vMerge w:val="restart"/>
            <w:noWrap w:val="0"/>
            <w:vAlign w:val="center"/>
          </w:tcPr>
          <w:p w14:paraId="312D9875">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优先保护单元</w:t>
            </w:r>
          </w:p>
        </w:tc>
        <w:tc>
          <w:tcPr>
            <w:tcW w:w="0" w:type="auto"/>
            <w:noWrap w:val="0"/>
            <w:vAlign w:val="center"/>
          </w:tcPr>
          <w:p w14:paraId="640A2239">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近岸海域生态</w:t>
            </w:r>
          </w:p>
          <w:p w14:paraId="57BB7A6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保护红线</w:t>
            </w:r>
          </w:p>
        </w:tc>
        <w:tc>
          <w:tcPr>
            <w:tcW w:w="0" w:type="auto"/>
            <w:noWrap w:val="0"/>
            <w:vAlign w:val="center"/>
          </w:tcPr>
          <w:p w14:paraId="0C47D53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0" w:type="auto"/>
            <w:noWrap w:val="0"/>
            <w:vAlign w:val="center"/>
          </w:tcPr>
          <w:p w14:paraId="451BF38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w:t>
            </w:r>
            <w:r>
              <w:rPr>
                <w:rFonts w:ascii="Times New Roman" w:hAnsi="宋体" w:eastAsia="宋体" w:cs="Times New Roman"/>
                <w:color w:val="auto"/>
                <w:szCs w:val="21"/>
                <w:highlight w:val="none"/>
                <w:u w:val="none"/>
              </w:rPr>
              <w:t>生态保护红线内，自然保护地核心保护区内原则上</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人为活动，自然保护地核心保护区外，</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开发性、生产性建设活动，在符合法律法规的前提下，仅允许对生态功能不造成破坏的有限人为活动。有限人为活动主要包括：</w:t>
            </w:r>
          </w:p>
          <w:p w14:paraId="1CDADA5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）管</w:t>
            </w:r>
            <w:r>
              <w:rPr>
                <w:rFonts w:hint="eastAsia" w:ascii="Times New Roman" w:hAnsi="宋体" w:cs="Times New Roman"/>
                <w:color w:val="auto"/>
                <w:szCs w:val="21"/>
                <w:highlight w:val="none"/>
                <w:u w:val="none"/>
                <w:lang w:eastAsia="zh-CN"/>
              </w:rPr>
              <w:t>护巡</w:t>
            </w:r>
            <w:r>
              <w:rPr>
                <w:rFonts w:ascii="Times New Roman" w:hAnsi="宋体" w:eastAsia="宋体" w:cs="Times New Roman"/>
                <w:color w:val="auto"/>
                <w:szCs w:val="21"/>
                <w:highlight w:val="none"/>
                <w:u w:val="none"/>
              </w:rPr>
              <w:t>查、保护执法、科学研究、调查监测、测绘导航、防灾减灾救灾、军事国防、疫情防控等活动及相关的必要设施修筑；</w:t>
            </w:r>
          </w:p>
          <w:p w14:paraId="0887EF2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原住居民和其他合法权益主体，允许在不扩大现有建设用地、用海用岛、耕地、水产养殖规模和放牧强度的前提下，开展种植、放牧、捕捞、养殖（不包括投礁型海洋牧场、围海养殖）等活动，修筑必须的生产生活设施。</w:t>
            </w:r>
          </w:p>
          <w:p w14:paraId="452F32D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）按规定对人工商品林进行抚育采伐、择伐、果实采摘、更新改造，或以提升森林质量、优化栖息地、建设生物防火隔离带、林业有害生物防治等为目的的树种更新，依法开展的竹林采伐经营；</w:t>
            </w:r>
          </w:p>
          <w:p w14:paraId="44E63A5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）地质调查与矿产资源勘查开采。包括：基础地质调查和战略性矿产资源远景调查等公益性工作；</w:t>
            </w:r>
          </w:p>
          <w:p w14:paraId="51F8774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）经依法批准的考古调查发掘、古生物化石调查发掘、标本采集和文物保护活动。</w:t>
            </w:r>
          </w:p>
          <w:p w14:paraId="0BAB3319">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）不破坏生态功能的适度参观旅游、科普宣教及符合相关规划的配套性服务设施和相关的必要公共设施建设及维护；</w:t>
            </w:r>
          </w:p>
          <w:p w14:paraId="57CBB86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）必须且无法避让、符合县级以上国土空间规划的线性基础设施、通讯和防洪（潮）、供水设施建设和船舶航行、航道疏浚清淤等活动；已有的合法水利、交通运输等设施运行维护改造。</w:t>
            </w:r>
          </w:p>
          <w:p w14:paraId="4AE6B8C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）依据县级以上国土空间规划和生态保护修复专项规划开展的生态修复，包括山水林田湖草海湿地生态保护修复、废弃矿山生态修复等。</w:t>
            </w:r>
          </w:p>
          <w:p w14:paraId="56F4CE7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9</w:t>
            </w:r>
            <w:r>
              <w:rPr>
                <w:rFonts w:ascii="Times New Roman" w:hAnsi="宋体" w:eastAsia="宋体" w:cs="Times New Roman"/>
                <w:color w:val="auto"/>
                <w:szCs w:val="21"/>
                <w:highlight w:val="none"/>
                <w:u w:val="none"/>
              </w:rPr>
              <w:t>）根据我国相关法律法规和与邻国签署的国界管理制度协定（条约）开展的边界边境通视道清理以及界务工程的修建、维护和拆除工作。</w:t>
            </w:r>
          </w:p>
          <w:p w14:paraId="7D37C99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10</w:t>
            </w:r>
            <w:r>
              <w:rPr>
                <w:rFonts w:ascii="Times New Roman" w:hAnsi="宋体" w:eastAsia="宋体" w:cs="Times New Roman"/>
                <w:color w:val="auto"/>
                <w:szCs w:val="21"/>
                <w:highlight w:val="none"/>
                <w:u w:val="none"/>
              </w:rPr>
              <w:t>）法律法规规定允许的其他人为活动。</w:t>
            </w:r>
          </w:p>
          <w:p w14:paraId="38BB8B84">
            <w:pPr>
              <w:shd w:val="clear" w:color="auto" w:fill="auto"/>
              <w:adjustRightInd w:val="0"/>
              <w:snapToGrid w:val="0"/>
              <w:rPr>
                <w:rFonts w:ascii="Times New Roman" w:hAnsi="宋体"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．开展允许有限人为活动时</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新增填海造地和新增围海，涉及利用无居民海岛的，原则上仅允许按照相关规定对海岛自然岸线、表面积、岛体、植被改变轻微的低影响利用方式。</w:t>
            </w:r>
          </w:p>
          <w:p w14:paraId="37CD39E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．生态保护红线内自然保护区、风景名胜区、重要湿地、地质公园等区域，依照法律法规执行。</w:t>
            </w:r>
          </w:p>
        </w:tc>
      </w:tr>
      <w:tr w14:paraId="6583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0"/>
            <w:vAlign w:val="center"/>
          </w:tcPr>
          <w:p w14:paraId="2EB2AFAC">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0" w:type="auto"/>
            <w:noWrap w:val="0"/>
            <w:vAlign w:val="center"/>
          </w:tcPr>
          <w:p w14:paraId="1FFED397">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海洋类自然保护区</w:t>
            </w:r>
          </w:p>
        </w:tc>
        <w:tc>
          <w:tcPr>
            <w:tcW w:w="0" w:type="auto"/>
            <w:noWrap w:val="0"/>
            <w:vAlign w:val="center"/>
          </w:tcPr>
          <w:p w14:paraId="14DCBCA7">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0" w:type="auto"/>
            <w:noWrap w:val="0"/>
            <w:vAlign w:val="center"/>
          </w:tcPr>
          <w:p w14:paraId="0D23F9FD">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合浦儒艮国家级自然保护区、各类红树林自然保护区及新建自然保护地参照近岸海域生态保护红线管控要求进行。海洋自然保护区和红树林自然保护区还需符合《中华人民共和国自然保护区条例》《海洋自然保护区管理办法》及《广西壮族自治区红树林资源保护条例》相关管理要求。</w:t>
            </w:r>
          </w:p>
        </w:tc>
      </w:tr>
      <w:tr w14:paraId="3A91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0" w:type="auto"/>
            <w:vMerge w:val="continue"/>
            <w:noWrap w:val="0"/>
            <w:vAlign w:val="center"/>
          </w:tcPr>
          <w:p w14:paraId="28859779">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0" w:type="auto"/>
            <w:noWrap w:val="0"/>
            <w:vAlign w:val="center"/>
          </w:tcPr>
          <w:p w14:paraId="0B6CF10D">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海洋类自然公园</w:t>
            </w:r>
          </w:p>
        </w:tc>
        <w:tc>
          <w:tcPr>
            <w:tcW w:w="0" w:type="auto"/>
            <w:noWrap w:val="0"/>
            <w:vAlign w:val="center"/>
          </w:tcPr>
          <w:p w14:paraId="16A52441">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0" w:type="auto"/>
            <w:noWrap w:val="0"/>
            <w:vAlign w:val="center"/>
          </w:tcPr>
          <w:p w14:paraId="2AF3DD52">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．在国家级自然公园内开展相关活动和设施建设，</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擅自改变其自然状态和历史风貌。</w:t>
            </w:r>
          </w:p>
          <w:p w14:paraId="3C0253C0">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擅自在国家级自然公园内从事采矿、开发区、风力光伏电场等不符合管控要求的开发活动。</w:t>
            </w:r>
          </w:p>
          <w:p w14:paraId="6428E51B">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违规侵占国家级自然公园，排放不符合水污染物排放标准的工业废水、生活污水及其他的废水、污水，倾倒、堆放、丢弃、遗撒固体废物等污染生态环境的行为。</w:t>
            </w:r>
          </w:p>
          <w:p w14:paraId="7DC874F6">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．国家级自然公园范围内除国家重大项目外，仅允许对生态功能不造成破坏的有限人为活动：</w:t>
            </w:r>
          </w:p>
          <w:p w14:paraId="5E87ABFA">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）自然公园内居民和其他合法权益主体依法依规开展的生产生活及设施建设；</w:t>
            </w:r>
          </w:p>
          <w:p w14:paraId="5D548ABF">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）符合自然公园保护管理要求的文化、体育活动和必要的配套设施建设；</w:t>
            </w:r>
          </w:p>
          <w:p w14:paraId="67B24247">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）符合生态保护红线管控要求的其他活动和设施建设；</w:t>
            </w:r>
          </w:p>
          <w:p w14:paraId="7DBF44BD">
            <w:pPr>
              <w:shd w:val="clear" w:color="auto" w:fill="auto"/>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）法律法规和国家政策允许在自然公园内开展的其他活动。</w:t>
            </w:r>
          </w:p>
          <w:p w14:paraId="407082A0">
            <w:pPr>
              <w:shd w:val="clear" w:color="auto" w:fill="auto"/>
              <w:rPr>
                <w:rFonts w:hint="eastAsia" w:ascii="Times New Roman" w:hAnsi="Times New Roman" w:eastAsia="宋体" w:cs="Times New Roman"/>
                <w:color w:val="auto"/>
                <w:szCs w:val="21"/>
                <w:highlight w:val="none"/>
                <w:u w:val="none"/>
                <w:lang w:eastAsia="zh-CN"/>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严格限制</w:t>
            </w:r>
            <w:r>
              <w:rPr>
                <w:rFonts w:ascii="Times New Roman" w:hAnsi="宋体" w:eastAsia="宋体" w:cs="Times New Roman"/>
                <w:color w:val="auto"/>
                <w:szCs w:val="21"/>
                <w:highlight w:val="none"/>
                <w:u w:val="none"/>
              </w:rPr>
              <w:t>将外来物种引入海洋特别保护区</w:t>
            </w:r>
            <w:r>
              <w:rPr>
                <w:rFonts w:hint="eastAsia" w:ascii="Times New Roman" w:hAnsi="Times New Roman" w:cs="Times New Roman"/>
                <w:color w:val="auto"/>
                <w:szCs w:val="21"/>
                <w:highlight w:val="none"/>
                <w:u w:val="none"/>
                <w:lang w:eastAsia="zh-CN"/>
              </w:rPr>
              <w:t>。</w:t>
            </w:r>
          </w:p>
          <w:p w14:paraId="5FF21444">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狩猎、采拾鸟卵；砍伐红树林、采挖珊瑚和破坏珊瑚礁；炸鱼、毒鱼、电鱼；擅自采集、加工、销售野生动植物及矿物质制品；移动、污损和破坏海洋特别保护区设施。</w:t>
            </w:r>
          </w:p>
          <w:p w14:paraId="4660FFC5">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开（围）垦、填埋或者排干湿地，截断湿地水源；挖沙、采矿；倾倒有毒有害物质、废弃物、垃圾；破坏野生动物栖息地和迁徙通道、鱼类洄游通道，滥采滥捕野生动植物；擅自放牧、捕捞、取土、取水、排污、放生；其他破坏湿地及其生态功能的活动。</w:t>
            </w:r>
          </w:p>
        </w:tc>
      </w:tr>
      <w:tr w14:paraId="020A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0"/>
            <w:vAlign w:val="center"/>
          </w:tcPr>
          <w:p w14:paraId="49770B3D">
            <w:pPr>
              <w:shd w:val="clear" w:color="auto" w:fill="auto"/>
              <w:adjustRightInd w:val="0"/>
              <w:snapToGrid w:val="0"/>
              <w:rPr>
                <w:rFonts w:ascii="Times New Roman" w:hAnsi="Times New Roman" w:eastAsia="宋体" w:cs="Times New Roman"/>
                <w:color w:val="auto"/>
                <w:szCs w:val="21"/>
                <w:highlight w:val="none"/>
                <w:u w:val="none"/>
              </w:rPr>
            </w:pPr>
          </w:p>
        </w:tc>
        <w:tc>
          <w:tcPr>
            <w:tcW w:w="0" w:type="auto"/>
            <w:noWrap w:val="0"/>
            <w:vAlign w:val="center"/>
          </w:tcPr>
          <w:p w14:paraId="61AF129C">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红树林湿地</w:t>
            </w:r>
          </w:p>
        </w:tc>
        <w:tc>
          <w:tcPr>
            <w:tcW w:w="0" w:type="auto"/>
            <w:noWrap w:val="0"/>
            <w:vAlign w:val="center"/>
          </w:tcPr>
          <w:p w14:paraId="0E74A49F">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空间布局约束</w:t>
            </w:r>
          </w:p>
        </w:tc>
        <w:tc>
          <w:tcPr>
            <w:tcW w:w="0" w:type="auto"/>
            <w:noWrap w:val="0"/>
            <w:vAlign w:val="center"/>
          </w:tcPr>
          <w:p w14:paraId="23DE160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1</w:t>
            </w:r>
            <w:r>
              <w:rPr>
                <w:rFonts w:ascii="Times New Roman" w:hAnsi="宋体" w:eastAsia="宋体" w:cs="Times New Roman"/>
                <w:bCs/>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捡拾、损坏鸟蛋和雏鸟、鸟巢，</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以鸣笛、鸣炮、追赶等方式惊吓野生水禽，</w:t>
            </w:r>
            <w:r>
              <w:rPr>
                <w:rFonts w:ascii="Times New Roman" w:hAnsi="宋体" w:eastAsia="宋体" w:cs="Times New Roman"/>
                <w:b/>
                <w:bCs/>
                <w:color w:val="auto"/>
                <w:szCs w:val="21"/>
                <w:highlight w:val="none"/>
                <w:u w:val="none"/>
              </w:rPr>
              <w:t>不得</w:t>
            </w:r>
            <w:r>
              <w:rPr>
                <w:rFonts w:ascii="Times New Roman" w:hAnsi="宋体" w:eastAsia="宋体" w:cs="Times New Roman"/>
                <w:color w:val="auto"/>
                <w:szCs w:val="21"/>
                <w:highlight w:val="none"/>
                <w:u w:val="none"/>
              </w:rPr>
              <w:t>干扰鸟类觅食、繁殖。</w:t>
            </w:r>
          </w:p>
          <w:p w14:paraId="2D4F26F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放牧、狩猎、捕捞、采药、挖塘、填海造地、围堤、开垦、烧荒、开矿、采石、挖沙、取土。</w:t>
            </w:r>
          </w:p>
          <w:p w14:paraId="0DDB4AA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bCs/>
                <w:color w:val="auto"/>
                <w:szCs w:val="21"/>
                <w:highlight w:val="none"/>
                <w:u w:val="none"/>
              </w:rPr>
              <w:t>3</w:t>
            </w:r>
            <w:r>
              <w:rPr>
                <w:rFonts w:ascii="Times New Roman" w:hAnsi="宋体" w:eastAsia="宋体" w:cs="Times New Roman"/>
                <w:bCs/>
                <w:color w:val="auto"/>
                <w:szCs w:val="21"/>
                <w:highlight w:val="none"/>
                <w:u w:val="none"/>
              </w:rPr>
              <w:t>．</w:t>
            </w:r>
            <w:r>
              <w:rPr>
                <w:rFonts w:ascii="Times New Roman" w:hAnsi="宋体" w:eastAsia="宋体" w:cs="Times New Roman"/>
                <w:b/>
                <w:color w:val="auto"/>
                <w:szCs w:val="21"/>
                <w:highlight w:val="none"/>
                <w:u w:val="none"/>
              </w:rPr>
              <w:t>禁止</w:t>
            </w:r>
            <w:r>
              <w:rPr>
                <w:rFonts w:ascii="Times New Roman" w:hAnsi="宋体" w:eastAsia="宋体" w:cs="Times New Roman"/>
                <w:color w:val="auto"/>
                <w:szCs w:val="21"/>
                <w:highlight w:val="none"/>
                <w:u w:val="none"/>
              </w:rPr>
              <w:t>排放有毒有害物质或者倾倒固体、液体废弃物。</w:t>
            </w:r>
          </w:p>
          <w:p w14:paraId="6F6889F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投放、种植妨碍红树林生长的物种或者擅自引进外来物种。</w:t>
            </w:r>
          </w:p>
          <w:p w14:paraId="67002C32">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其他破坏红树林资源的行为。</w:t>
            </w:r>
          </w:p>
          <w:p w14:paraId="059119AA">
            <w:pPr>
              <w:shd w:val="clear" w:color="auto" w:fill="auto"/>
              <w:adjustRightInd w:val="0"/>
              <w:snapToGrid w:val="0"/>
              <w:rPr>
                <w:rFonts w:ascii="Times New Roman" w:hAnsi="Times New Roman" w:eastAsia="宋体" w:cs="Times New Roman"/>
                <w:bCs/>
                <w:color w:val="auto"/>
                <w:szCs w:val="21"/>
                <w:highlight w:val="none"/>
                <w:u w:val="none"/>
              </w:rPr>
            </w:pPr>
            <w:r>
              <w:rPr>
                <w:rFonts w:ascii="Times New Roman" w:hAnsi="Times New Roman" w:eastAsia="宋体" w:cs="Times New Roman"/>
                <w:bCs/>
                <w:color w:val="auto"/>
                <w:szCs w:val="21"/>
                <w:highlight w:val="none"/>
                <w:u w:val="none"/>
              </w:rPr>
              <w:t>6</w:t>
            </w:r>
            <w:r>
              <w:rPr>
                <w:rFonts w:ascii="Times New Roman" w:hAnsi="宋体" w:eastAsia="宋体" w:cs="Times New Roman"/>
                <w:bCs/>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采伐、采挖、移植红树林或者过度采摘红树林种子，</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投放、种植危害红树林生长的物种。因科研、医药或者红树林湿地保护等需要采伐、采挖、移植、采摘的，应当依照有关法律法规办理。</w:t>
            </w:r>
          </w:p>
          <w:p w14:paraId="0F2EF4AF">
            <w:pPr>
              <w:shd w:val="clear" w:color="auto" w:fill="auto"/>
              <w:adjustRightInd w:val="0"/>
              <w:snapToGrid w:val="0"/>
              <w:rPr>
                <w:rFonts w:hint="eastAsia" w:ascii="Times New Roman" w:hAnsi="Times New Roman" w:eastAsia="宋体" w:cs="Times New Roman"/>
                <w:color w:val="auto"/>
                <w:szCs w:val="21"/>
                <w:highlight w:val="none"/>
                <w:u w:val="none"/>
                <w:lang w:eastAsia="zh-CN"/>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r>
              <w:rPr>
                <w:rFonts w:hint="eastAsia" w:ascii="Times New Roman" w:hAnsi="宋体" w:eastAsia="宋体" w:cs="Times New Roman"/>
                <w:color w:val="auto"/>
                <w:szCs w:val="21"/>
                <w:highlight w:val="none"/>
                <w:u w:val="none"/>
                <w:lang w:eastAsia="zh-CN"/>
              </w:rPr>
              <w:t>。</w:t>
            </w:r>
          </w:p>
        </w:tc>
      </w:tr>
    </w:tbl>
    <w:p w14:paraId="7FD05BB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r>
        <w:rPr>
          <w:rFonts w:ascii="黑体" w:hAnsi="Times New Roman" w:eastAsia="黑体" w:cs="Times New Roman"/>
          <w:color w:val="auto"/>
          <w:kern w:val="2"/>
          <w:sz w:val="24"/>
          <w:szCs w:val="24"/>
          <w:highlight w:val="none"/>
          <w:u w:val="none"/>
          <w:lang w:val="en-US" w:eastAsia="zh-CN" w:bidi="ar-SA"/>
        </w:rPr>
        <w:br w:type="page"/>
      </w:r>
      <w:bookmarkStart w:id="41" w:name="_Toc7076"/>
      <w:bookmarkStart w:id="42" w:name="_Toc15554"/>
      <w:bookmarkStart w:id="43" w:name="_Toc8647"/>
      <w:bookmarkStart w:id="44" w:name="_Toc23607"/>
      <w:bookmarkStart w:id="45" w:name="_Toc24958"/>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1.1-7  </w:t>
      </w:r>
      <w:r>
        <w:rPr>
          <w:rFonts w:ascii="黑体" w:hAnsi="黑体" w:eastAsia="黑体" w:cs="Times New Roman"/>
          <w:color w:val="auto"/>
          <w:kern w:val="2"/>
          <w:sz w:val="24"/>
          <w:szCs w:val="24"/>
          <w:highlight w:val="none"/>
          <w:u w:val="none"/>
          <w:lang w:val="en-US" w:eastAsia="zh-CN" w:bidi="ar-SA"/>
        </w:rPr>
        <w:t>近岸海域重点管控区总体</w:t>
      </w:r>
      <w:r>
        <w:rPr>
          <w:rFonts w:hint="eastAsia" w:ascii="黑体" w:hAnsi="黑体" w:eastAsia="黑体" w:cs="Times New Roman"/>
          <w:color w:val="auto"/>
          <w:kern w:val="2"/>
          <w:sz w:val="24"/>
          <w:szCs w:val="24"/>
          <w:highlight w:val="none"/>
          <w:u w:val="none"/>
          <w:lang w:val="en-US" w:eastAsia="zh-CN" w:bidi="ar-SA"/>
        </w:rPr>
        <w:t>生态环境</w:t>
      </w:r>
      <w:r>
        <w:rPr>
          <w:rFonts w:ascii="黑体" w:hAnsi="黑体" w:eastAsia="黑体" w:cs="Times New Roman"/>
          <w:color w:val="auto"/>
          <w:kern w:val="2"/>
          <w:sz w:val="24"/>
          <w:szCs w:val="24"/>
          <w:highlight w:val="none"/>
          <w:u w:val="none"/>
          <w:lang w:val="en-US" w:eastAsia="zh-CN" w:bidi="ar-SA"/>
        </w:rPr>
        <w:t>准入</w:t>
      </w:r>
      <w:r>
        <w:rPr>
          <w:rFonts w:hint="eastAsia" w:ascii="黑体" w:hAnsi="黑体" w:eastAsia="黑体" w:cs="Times New Roman"/>
          <w:color w:val="auto"/>
          <w:kern w:val="2"/>
          <w:sz w:val="24"/>
          <w:szCs w:val="24"/>
          <w:highlight w:val="none"/>
          <w:u w:val="none"/>
          <w:lang w:val="en-US" w:eastAsia="zh-CN" w:bidi="ar-SA"/>
        </w:rPr>
        <w:t>及管控</w:t>
      </w:r>
      <w:r>
        <w:rPr>
          <w:rFonts w:ascii="黑体" w:hAnsi="黑体" w:eastAsia="黑体" w:cs="Times New Roman"/>
          <w:color w:val="auto"/>
          <w:kern w:val="2"/>
          <w:sz w:val="24"/>
          <w:szCs w:val="24"/>
          <w:highlight w:val="none"/>
          <w:u w:val="none"/>
          <w:lang w:val="en-US" w:eastAsia="zh-CN" w:bidi="ar-SA"/>
        </w:rPr>
        <w:t>要求</w:t>
      </w:r>
      <w:bookmarkEnd w:id="41"/>
      <w:bookmarkEnd w:id="42"/>
      <w:bookmarkEnd w:id="43"/>
      <w:bookmarkEnd w:id="44"/>
      <w:bookmarkEnd w:id="45"/>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836"/>
        <w:gridCol w:w="2228"/>
        <w:gridCol w:w="15345"/>
      </w:tblGrid>
      <w:tr w14:paraId="260D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8" w:type="pct"/>
            <w:noWrap w:val="0"/>
            <w:vAlign w:val="center"/>
          </w:tcPr>
          <w:p w14:paraId="37872E1C">
            <w:pPr>
              <w:pStyle w:val="20"/>
              <w:widowControl w:val="0"/>
              <w:rPr>
                <w:rFonts w:eastAsia="宋体" w:cs="Times New Roman"/>
                <w:color w:val="auto"/>
                <w:kern w:val="2"/>
                <w:szCs w:val="21"/>
                <w:highlight w:val="none"/>
                <w:u w:val="none"/>
                <w:lang w:bidi="ar-SA"/>
              </w:rPr>
            </w:pPr>
            <w:bookmarkStart w:id="46" w:name="_Toc9328"/>
            <w:bookmarkStart w:id="47" w:name="_Toc12267"/>
            <w:bookmarkStart w:id="48" w:name="_Toc28920"/>
            <w:bookmarkStart w:id="49" w:name="_Toc29854"/>
            <w:r>
              <w:rPr>
                <w:rFonts w:hAnsi="宋体" w:eastAsia="宋体" w:cs="Times New Roman"/>
                <w:color w:val="auto"/>
                <w:kern w:val="2"/>
                <w:szCs w:val="21"/>
                <w:highlight w:val="none"/>
                <w:u w:val="none"/>
                <w:lang w:bidi="ar-SA"/>
              </w:rPr>
              <w:t>适用分区</w:t>
            </w:r>
          </w:p>
        </w:tc>
        <w:tc>
          <w:tcPr>
            <w:tcW w:w="435" w:type="pct"/>
            <w:noWrap w:val="0"/>
            <w:vAlign w:val="center"/>
          </w:tcPr>
          <w:p w14:paraId="1B84FD59">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528" w:type="pct"/>
            <w:noWrap w:val="0"/>
            <w:vAlign w:val="center"/>
          </w:tcPr>
          <w:p w14:paraId="7FFAFCBD">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3636" w:type="pct"/>
            <w:noWrap w:val="0"/>
            <w:vAlign w:val="center"/>
          </w:tcPr>
          <w:p w14:paraId="7CC0121C">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573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blHeader/>
          <w:jc w:val="center"/>
        </w:trPr>
        <w:tc>
          <w:tcPr>
            <w:tcW w:w="398" w:type="pct"/>
            <w:vMerge w:val="restart"/>
            <w:noWrap w:val="0"/>
            <w:vAlign w:val="center"/>
          </w:tcPr>
          <w:p w14:paraId="74E32791">
            <w:pPr>
              <w:shd w:val="clear" w:color="auto" w:fill="auto"/>
              <w:adjustRightInd w:val="0"/>
              <w:snapToGrid w:val="0"/>
              <w:jc w:val="center"/>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重点管控单元</w:t>
            </w:r>
          </w:p>
        </w:tc>
        <w:tc>
          <w:tcPr>
            <w:tcW w:w="435" w:type="pct"/>
            <w:noWrap w:val="0"/>
            <w:vAlign w:val="center"/>
          </w:tcPr>
          <w:p w14:paraId="0D998C22">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海洋优化开发</w:t>
            </w:r>
          </w:p>
          <w:p w14:paraId="1D7AF46B">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区域</w:t>
            </w:r>
          </w:p>
        </w:tc>
        <w:tc>
          <w:tcPr>
            <w:tcW w:w="528" w:type="pct"/>
            <w:noWrap w:val="0"/>
            <w:vAlign w:val="center"/>
          </w:tcPr>
          <w:p w14:paraId="1158AA24">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空间布局约束</w:t>
            </w:r>
          </w:p>
        </w:tc>
        <w:tc>
          <w:tcPr>
            <w:tcW w:w="3636" w:type="pct"/>
            <w:noWrap w:val="0"/>
            <w:vAlign w:val="center"/>
          </w:tcPr>
          <w:p w14:paraId="0CA1B3D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．该区域作为全区海洋经济活动主要承载区域，是沿海地区工业化与城镇化发展区域，主要进行用海存量消减，调整产业结构和用海结构。</w:t>
            </w:r>
          </w:p>
          <w:p w14:paraId="1B937E14">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．优化近岸海域空间布局，合理调整海域开发规模和时序，控制开发强度，严格实施围填海总量控制制度。</w:t>
            </w:r>
          </w:p>
          <w:p w14:paraId="3BB6ACA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．提高产业准入门槛，推动海洋传统产业技术改造和优化升级，大力发展海洋高技术产业，积极发展现代海洋服务业，推动海洋产业结构向高端、高效、高附加值转变。</w:t>
            </w:r>
          </w:p>
          <w:p w14:paraId="100FFCC5">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．推进海洋经济绿色发展，积极开发利用海水资源、海洋可再生能源。</w:t>
            </w:r>
          </w:p>
          <w:p w14:paraId="0A37232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．严格控制陆源污染物排放，加强重要河口海湾污染整治和生态修复，规范入海排污口设置。</w:t>
            </w:r>
          </w:p>
          <w:p w14:paraId="1B704AE7">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．有效保护自然岸线和典型海洋生态系统，提高海洋生态服务功能，增强海洋碳汇功能。</w:t>
            </w:r>
          </w:p>
          <w:p w14:paraId="4A6B20C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．原则上限制开发利用区域内无居民海岛，国家战略需要、允许开发利用无居民海岛的开发利用，须按照相关法律规定进行，集约、节约、生态化利用，切实做好海岛资源的保护。</w:t>
            </w:r>
          </w:p>
        </w:tc>
      </w:tr>
      <w:tr w14:paraId="2CCD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blHeader/>
          <w:jc w:val="center"/>
        </w:trPr>
        <w:tc>
          <w:tcPr>
            <w:tcW w:w="398" w:type="pct"/>
            <w:vMerge w:val="continue"/>
            <w:noWrap w:val="0"/>
            <w:vAlign w:val="center"/>
          </w:tcPr>
          <w:p w14:paraId="097EF0AF">
            <w:pPr>
              <w:shd w:val="clear" w:color="auto" w:fill="auto"/>
              <w:adjustRightInd w:val="0"/>
              <w:snapToGrid w:val="0"/>
              <w:jc w:val="center"/>
              <w:rPr>
                <w:rFonts w:ascii="Times New Roman" w:hAnsi="Times New Roman" w:eastAsia="宋体" w:cs="Times New Roman"/>
                <w:color w:val="auto"/>
                <w:szCs w:val="21"/>
                <w:highlight w:val="none"/>
                <w:u w:val="none"/>
              </w:rPr>
            </w:pPr>
          </w:p>
        </w:tc>
        <w:tc>
          <w:tcPr>
            <w:tcW w:w="435" w:type="pct"/>
            <w:noWrap w:val="0"/>
            <w:vAlign w:val="center"/>
          </w:tcPr>
          <w:p w14:paraId="2FE32D7B">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海洋重点开发</w:t>
            </w:r>
          </w:p>
          <w:p w14:paraId="1EF5375C">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区域</w:t>
            </w:r>
          </w:p>
        </w:tc>
        <w:tc>
          <w:tcPr>
            <w:tcW w:w="528" w:type="pct"/>
            <w:noWrap w:val="0"/>
            <w:vAlign w:val="center"/>
          </w:tcPr>
          <w:p w14:paraId="025E818E">
            <w:pPr>
              <w:shd w:val="clear" w:color="auto" w:fill="auto"/>
              <w:adjustRightInd w:val="0"/>
              <w:snapToGrid w:val="0"/>
              <w:jc w:val="center"/>
              <w:rPr>
                <w:rFonts w:ascii="Times New Roman" w:hAnsi="Times New Roman" w:eastAsia="宋体" w:cs="Times New Roman"/>
                <w:snapToGrid w:val="0"/>
                <w:color w:val="auto"/>
                <w:kern w:val="0"/>
                <w:szCs w:val="21"/>
                <w:highlight w:val="none"/>
                <w:u w:val="none"/>
              </w:rPr>
            </w:pPr>
            <w:r>
              <w:rPr>
                <w:rFonts w:ascii="Times New Roman" w:hAnsi="宋体" w:eastAsia="宋体" w:cs="Times New Roman"/>
                <w:snapToGrid w:val="0"/>
                <w:color w:val="auto"/>
                <w:kern w:val="0"/>
                <w:szCs w:val="21"/>
                <w:highlight w:val="none"/>
                <w:u w:val="none"/>
              </w:rPr>
              <w:t>空间布局约束</w:t>
            </w:r>
          </w:p>
        </w:tc>
        <w:tc>
          <w:tcPr>
            <w:tcW w:w="3636" w:type="pct"/>
            <w:noWrap w:val="0"/>
            <w:vAlign w:val="center"/>
          </w:tcPr>
          <w:p w14:paraId="39250F9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．严控新增围填海造地。除国家重大战略项目外，全面停止新增围填海项目审批。新增围填海项目要同步强化生态保护修复，边施工边修复，最大程度避免降低生态系统服务功能。</w:t>
            </w:r>
          </w:p>
          <w:p w14:paraId="5C93AC63">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．全区海洋经济活动主要承载区域，沿海地区工业化与城镇化发展空间拓展区域。</w:t>
            </w:r>
          </w:p>
          <w:p w14:paraId="1983CE7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．实施据点式集约开发，严格控制开发活动规模和范围，形成现代海洋产业集群。</w:t>
            </w:r>
          </w:p>
          <w:p w14:paraId="352789C8">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．统筹规划港口、桥梁、隧道及其配套设施等海洋工程建设，形成陆海协调、安全高效的基础设施网络。</w:t>
            </w:r>
          </w:p>
          <w:p w14:paraId="3368604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．加强对重大海洋工程特别是围填海项目的环境影响评价，严格监控临港工业集中区和重大海洋工程施工，防止破坏和污染近岸海洋生态环境。</w:t>
            </w:r>
          </w:p>
          <w:p w14:paraId="70D8F516">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6</w:t>
            </w:r>
            <w:r>
              <w:rPr>
                <w:rFonts w:ascii="Times New Roman" w:hAnsi="宋体" w:eastAsia="宋体" w:cs="Times New Roman"/>
                <w:color w:val="auto"/>
                <w:szCs w:val="21"/>
                <w:highlight w:val="none"/>
                <w:u w:val="none"/>
              </w:rPr>
              <w:t>．加强海洋防灾减灾能力建设。</w:t>
            </w:r>
          </w:p>
          <w:p w14:paraId="19C9315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7</w:t>
            </w:r>
            <w:r>
              <w:rPr>
                <w:rFonts w:ascii="Times New Roman" w:hAnsi="宋体" w:eastAsia="宋体" w:cs="Times New Roman"/>
                <w:color w:val="auto"/>
                <w:szCs w:val="21"/>
                <w:highlight w:val="none"/>
                <w:u w:val="none"/>
              </w:rPr>
              <w:t>．原则上限制开发利用区域内无居民海岛，国家战略需要、允许开发利用无居民海岛的开发利用，须按照相关法律规定进行。</w:t>
            </w:r>
          </w:p>
          <w:p w14:paraId="0F17BD7F">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8</w:t>
            </w:r>
            <w:r>
              <w:rPr>
                <w:rFonts w:ascii="Times New Roman" w:hAnsi="宋体" w:eastAsia="宋体" w:cs="Times New Roman"/>
                <w:color w:val="auto"/>
                <w:szCs w:val="21"/>
                <w:highlight w:val="none"/>
                <w:u w:val="none"/>
              </w:rPr>
              <w:t>．港口航运区域应符合以下管控要求：</w:t>
            </w:r>
          </w:p>
          <w:p w14:paraId="247B541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1</w:t>
            </w:r>
            <w:r>
              <w:rPr>
                <w:rFonts w:ascii="Times New Roman" w:hAnsi="宋体" w:eastAsia="宋体" w:cs="Times New Roman"/>
                <w:color w:val="auto"/>
                <w:szCs w:val="21"/>
                <w:highlight w:val="none"/>
                <w:u w:val="none"/>
              </w:rPr>
              <w:t>）严格按照港口总体规划准入项目。</w:t>
            </w:r>
          </w:p>
          <w:p w14:paraId="5F445B1C">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2</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在港区、锚地、航道、通航密集区、航道与码头前沿线之间的海域以及规定的航路内准入与航运无关</w:t>
            </w:r>
            <w:r>
              <w:rPr>
                <w:rFonts w:hint="eastAsia" w:ascii="Times New Roman" w:hAnsi="宋体" w:cs="Times New Roman"/>
                <w:color w:val="auto"/>
                <w:szCs w:val="21"/>
                <w:highlight w:val="none"/>
                <w:u w:val="none"/>
                <w:lang w:eastAsia="zh-CN"/>
              </w:rPr>
              <w:t>或</w:t>
            </w:r>
            <w:bookmarkStart w:id="103" w:name="_GoBack"/>
            <w:bookmarkEnd w:id="103"/>
            <w:r>
              <w:rPr>
                <w:rFonts w:ascii="Times New Roman" w:hAnsi="宋体" w:eastAsia="宋体" w:cs="Times New Roman"/>
                <w:color w:val="auto"/>
                <w:szCs w:val="21"/>
                <w:highlight w:val="none"/>
                <w:u w:val="none"/>
              </w:rPr>
              <w:t>有碍航行安全的项目。</w:t>
            </w:r>
          </w:p>
          <w:p w14:paraId="217327DE">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w:t>
            </w:r>
            <w:r>
              <w:rPr>
                <w:rFonts w:ascii="Times New Roman" w:hAnsi="宋体" w:eastAsia="宋体" w:cs="Times New Roman"/>
                <w:b/>
                <w:bCs/>
                <w:color w:val="auto"/>
                <w:szCs w:val="21"/>
                <w:highlight w:val="none"/>
                <w:u w:val="none"/>
              </w:rPr>
              <w:t>禁止</w:t>
            </w:r>
            <w:r>
              <w:rPr>
                <w:rFonts w:ascii="Times New Roman" w:hAnsi="宋体" w:eastAsia="宋体" w:cs="Times New Roman"/>
                <w:color w:val="auto"/>
                <w:szCs w:val="21"/>
                <w:highlight w:val="none"/>
                <w:u w:val="none"/>
              </w:rPr>
              <w:t>准入渔业增养殖、捕捞等项目。</w:t>
            </w:r>
          </w:p>
          <w:p w14:paraId="47B73161">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）严格控制准入排放含油废水项目。</w:t>
            </w:r>
          </w:p>
          <w:p w14:paraId="564CCD0A">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宋体" w:eastAsia="宋体" w:cs="Times New Roman"/>
                <w:color w:val="auto"/>
                <w:szCs w:val="21"/>
                <w:highlight w:val="none"/>
                <w:u w:val="none"/>
              </w:rPr>
              <w:t>（</w:t>
            </w: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）港口航道区建设要注意保护临近生态环境。</w:t>
            </w:r>
          </w:p>
        </w:tc>
      </w:tr>
    </w:tbl>
    <w:p w14:paraId="751701FE">
      <w:pPr>
        <w:shd w:val="clear" w:color="auto" w:fill="auto"/>
        <w:rPr>
          <w:rFonts w:ascii="Times New Roman" w:hAnsi="Times New Roman" w:eastAsia="宋体" w:cs="Times New Roman"/>
          <w:color w:val="auto"/>
          <w:szCs w:val="21"/>
          <w:highlight w:val="none"/>
          <w:u w:val="none"/>
        </w:rPr>
      </w:pPr>
    </w:p>
    <w:p w14:paraId="581D2718">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br w:type="page"/>
      </w:r>
      <w:bookmarkEnd w:id="46"/>
      <w:bookmarkEnd w:id="47"/>
      <w:bookmarkEnd w:id="48"/>
      <w:bookmarkEnd w:id="49"/>
    </w:p>
    <w:bookmarkEnd w:id="10"/>
    <w:p w14:paraId="0D3A6B46">
      <w:pPr>
        <w:pStyle w:val="5"/>
        <w:keepNext/>
        <w:keepLines/>
        <w:pageBreakBefore w:val="0"/>
        <w:widowControl w:val="0"/>
        <w:kinsoku/>
        <w:wordWrap/>
        <w:overflowPunct/>
        <w:topLinePunct w:val="0"/>
        <w:autoSpaceDE/>
        <w:autoSpaceDN/>
        <w:bidi w:val="0"/>
        <w:adjustRightInd w:val="0"/>
        <w:snapToGrid w:val="0"/>
        <w:spacing w:before="156" w:after="156"/>
        <w:jc w:val="both"/>
        <w:textAlignment w:val="auto"/>
        <w:rPr>
          <w:rFonts w:hint="eastAsia" w:ascii="黑体" w:hAnsi="黑体" w:eastAsia="黑体" w:cs="Times New Roman"/>
          <w:color w:val="auto"/>
          <w:szCs w:val="32"/>
          <w:highlight w:val="none"/>
          <w:u w:val="none"/>
          <w:lang w:val="en-US" w:eastAsia="zh-CN" w:bidi="ar-SA"/>
        </w:rPr>
      </w:pPr>
      <w:bookmarkStart w:id="50" w:name="_Toc32305"/>
      <w:bookmarkStart w:id="51" w:name="_Toc5924"/>
      <w:bookmarkStart w:id="52" w:name="_Toc30058"/>
      <w:bookmarkStart w:id="53" w:name="_Toc12647"/>
      <w:bookmarkStart w:id="54" w:name="_Toc27931"/>
      <w:bookmarkStart w:id="55" w:name="_Toc17230"/>
      <w:bookmarkStart w:id="56" w:name="_Toc8123"/>
      <w:bookmarkStart w:id="57" w:name="_Toc11329"/>
      <w:r>
        <w:rPr>
          <w:rFonts w:hint="eastAsia" w:ascii="黑体" w:hAnsi="黑体" w:eastAsia="黑体" w:cs="Times New Roman"/>
          <w:color w:val="auto"/>
          <w:szCs w:val="32"/>
          <w:highlight w:val="none"/>
          <w:u w:val="none"/>
          <w:lang w:val="en-US" w:eastAsia="zh-CN" w:bidi="ar-SA"/>
        </w:rPr>
        <w:t>2四大板块生态环境准入及管控要求</w:t>
      </w:r>
      <w:bookmarkEnd w:id="50"/>
      <w:bookmarkEnd w:id="51"/>
      <w:bookmarkEnd w:id="52"/>
      <w:bookmarkEnd w:id="53"/>
      <w:bookmarkEnd w:id="54"/>
    </w:p>
    <w:p w14:paraId="14810DEA">
      <w:pPr>
        <w:pStyle w:val="6"/>
        <w:keepNext/>
        <w:keepLines/>
        <w:pageBreakBefore w:val="0"/>
        <w:widowControl w:val="0"/>
        <w:kinsoku/>
        <w:wordWrap/>
        <w:overflowPunct/>
        <w:topLinePunct w:val="0"/>
        <w:autoSpaceDE/>
        <w:autoSpaceDN/>
        <w:bidi w:val="0"/>
        <w:adjustRightInd w:val="0"/>
        <w:snapToGrid w:val="0"/>
        <w:spacing w:before="156" w:after="156"/>
        <w:jc w:val="both"/>
        <w:textAlignment w:val="auto"/>
        <w:outlineLvl w:val="0"/>
        <w:rPr>
          <w:rFonts w:ascii="黑体" w:hAnsi="黑体" w:eastAsia="黑体"/>
          <w:color w:val="auto"/>
          <w:kern w:val="2"/>
          <w:szCs w:val="30"/>
          <w:highlight w:val="none"/>
          <w:u w:val="none"/>
          <w:lang w:bidi="ar-SA"/>
        </w:rPr>
      </w:pPr>
      <w:bookmarkStart w:id="58" w:name="_Toc27325"/>
      <w:bookmarkStart w:id="59" w:name="_Toc16456"/>
      <w:bookmarkStart w:id="60" w:name="_Toc26190"/>
      <w:bookmarkStart w:id="61" w:name="_Toc11912"/>
      <w:bookmarkStart w:id="62" w:name="_Toc7499"/>
      <w:r>
        <w:rPr>
          <w:rFonts w:ascii="黑体" w:hAnsi="黑体" w:eastAsia="黑体"/>
          <w:color w:val="auto"/>
          <w:kern w:val="2"/>
          <w:szCs w:val="30"/>
          <w:highlight w:val="none"/>
          <w:u w:val="none"/>
          <w:lang w:bidi="ar-SA"/>
        </w:rPr>
        <w:t>2.1北部湾经济区</w:t>
      </w:r>
      <w:bookmarkEnd w:id="58"/>
      <w:bookmarkEnd w:id="59"/>
      <w:bookmarkEnd w:id="60"/>
      <w:bookmarkEnd w:id="61"/>
      <w:bookmarkEnd w:id="62"/>
    </w:p>
    <w:bookmarkEnd w:id="55"/>
    <w:bookmarkEnd w:id="56"/>
    <w:bookmarkEnd w:id="57"/>
    <w:p w14:paraId="4D100662">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bookmarkStart w:id="63" w:name="_Toc23450"/>
      <w:bookmarkStart w:id="64" w:name="_Toc25325"/>
      <w:bookmarkStart w:id="65" w:name="_Toc15767"/>
      <w:bookmarkStart w:id="66" w:name="_Toc21519"/>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2.1-1  </w:t>
      </w:r>
      <w:r>
        <w:rPr>
          <w:rFonts w:ascii="黑体" w:hAnsi="黑体" w:eastAsia="黑体" w:cs="Times New Roman"/>
          <w:color w:val="auto"/>
          <w:kern w:val="2"/>
          <w:sz w:val="24"/>
          <w:szCs w:val="24"/>
          <w:highlight w:val="none"/>
          <w:u w:val="none"/>
          <w:lang w:val="en-US" w:eastAsia="zh-CN" w:bidi="ar-SA"/>
        </w:rPr>
        <w:t>北部湾经济区生态环境准入及管控要求</w:t>
      </w:r>
      <w:bookmarkEnd w:id="63"/>
      <w:bookmarkEnd w:id="64"/>
      <w:bookmarkEnd w:id="65"/>
      <w:bookmarkEnd w:id="6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9"/>
        <w:gridCol w:w="2389"/>
        <w:gridCol w:w="14759"/>
      </w:tblGrid>
      <w:tr w14:paraId="46EC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1928" w:type="dxa"/>
            <w:noWrap w:val="0"/>
            <w:vAlign w:val="center"/>
          </w:tcPr>
          <w:p w14:paraId="3D61540E">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1589" w:type="dxa"/>
            <w:noWrap w:val="0"/>
            <w:vAlign w:val="center"/>
          </w:tcPr>
          <w:p w14:paraId="37FD7F75">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2389" w:type="dxa"/>
            <w:noWrap w:val="0"/>
            <w:vAlign w:val="center"/>
          </w:tcPr>
          <w:p w14:paraId="4889CBDB">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14759" w:type="dxa"/>
            <w:noWrap w:val="0"/>
            <w:vAlign w:val="center"/>
          </w:tcPr>
          <w:p w14:paraId="455F85D6">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3D27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1928" w:type="dxa"/>
            <w:vMerge w:val="restart"/>
            <w:noWrap w:val="0"/>
            <w:vAlign w:val="center"/>
          </w:tcPr>
          <w:p w14:paraId="6FA2EC8A">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北部湾经济区</w:t>
            </w:r>
          </w:p>
          <w:p w14:paraId="492A78A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全部分区</w:t>
            </w:r>
          </w:p>
        </w:tc>
        <w:tc>
          <w:tcPr>
            <w:tcW w:w="1589" w:type="dxa"/>
            <w:vMerge w:val="restart"/>
            <w:noWrap w:val="0"/>
            <w:vAlign w:val="center"/>
          </w:tcPr>
          <w:p w14:paraId="5CBD3D4D">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北部湾经济区（本清单适用于南宁市、北海市、钦州市、防城港市、玉林市、崇左市）</w:t>
            </w:r>
          </w:p>
        </w:tc>
        <w:tc>
          <w:tcPr>
            <w:tcW w:w="2389" w:type="dxa"/>
            <w:noWrap w:val="0"/>
            <w:vAlign w:val="center"/>
          </w:tcPr>
          <w:p w14:paraId="3E9D4538">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14759" w:type="dxa"/>
            <w:noWrap w:val="0"/>
            <w:vAlign w:val="center"/>
          </w:tcPr>
          <w:p w14:paraId="27476430">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．坚持高质量发展和高水平保护并重，引领广西高质量发展的重要增长极和成为具有区域影响力和带动力的重要增长极，建设宜居宜业宜游蓝色生态湾区。</w:t>
            </w:r>
          </w:p>
          <w:p w14:paraId="4E134586">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．实行严格的资源环境生态红线管控，合理开发和节约资源，加强对水源林、防护林、湿地等生态系统的保护与修复。</w:t>
            </w:r>
          </w:p>
          <w:p w14:paraId="369A472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加大滨海湿地保护和修复力度，对红树林、珊瑚礁、海草床等重要海洋生态系统实行最严格的保护措施，加强珍稀濒危物种及重要海洋生态系统的生境保护。加强沿海防护林体系建设，加强对防城江、北仑河、钦江等重要江河源头区、湖库型饮用水源地等区域水土流失预防。推进互花米草防治。</w:t>
            </w:r>
          </w:p>
          <w:p w14:paraId="6BC8973F">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．严格围填海管控，</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在海域内实施连岛行动。保护北部湾自然岸线，严格控制岸线利用项目准入门槛。合理有序开发利用滩涂资源。</w:t>
            </w:r>
          </w:p>
          <w:p w14:paraId="3E9232F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5</w:t>
            </w:r>
            <w:r>
              <w:rPr>
                <w:rFonts w:ascii="Times New Roman" w:hAnsi="宋体" w:eastAsia="宋体" w:cs="Times New Roman"/>
                <w:color w:val="auto"/>
                <w:szCs w:val="21"/>
                <w:highlight w:val="none"/>
                <w:u w:val="none"/>
              </w:rPr>
              <w:t>．南流江流域、廉州湾海域超过环境承载力的县市区严格区域主要污染物管控要求，新改扩</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两高</w:t>
            </w:r>
            <w:r>
              <w:rPr>
                <w:rFonts w:hint="eastAsia" w:ascii="Times New Roman" w:hAnsi="Times New Roman" w:cs="Times New Roman"/>
                <w:color w:val="auto"/>
                <w:szCs w:val="21"/>
                <w:highlight w:val="none"/>
                <w:u w:val="none"/>
                <w:lang w:eastAsia="zh-CN"/>
              </w:rPr>
              <w:t>”</w:t>
            </w:r>
            <w:r>
              <w:rPr>
                <w:rFonts w:ascii="Times New Roman" w:hAnsi="宋体" w:eastAsia="宋体" w:cs="Times New Roman"/>
                <w:color w:val="auto"/>
                <w:szCs w:val="21"/>
                <w:highlight w:val="none"/>
                <w:u w:val="none"/>
              </w:rPr>
              <w:t>、重点行业建设项目实行主要污染物区域削减方案。廉州湾沿岸新设排污口选址必须符合《中华人民共和国海洋环境保护法》《防治陆源污染物污染损害海洋环境管理条例》等有关规定。</w:t>
            </w:r>
          </w:p>
          <w:p w14:paraId="7ADF799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6</w:t>
            </w:r>
            <w:r>
              <w:rPr>
                <w:rFonts w:hAnsi="宋体" w:eastAsia="宋体"/>
                <w:color w:val="auto"/>
                <w:kern w:val="2"/>
                <w:sz w:val="21"/>
                <w:highlight w:val="none"/>
                <w:u w:val="none"/>
                <w:lang w:bidi="ar-SA"/>
              </w:rPr>
              <w:t>．依法依规推动落后产能有序退出。</w:t>
            </w:r>
          </w:p>
          <w:p w14:paraId="148F2C20">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7</w:t>
            </w:r>
            <w:r>
              <w:rPr>
                <w:rFonts w:hAnsi="宋体" w:eastAsia="宋体"/>
                <w:color w:val="auto"/>
                <w:kern w:val="2"/>
                <w:sz w:val="21"/>
                <w:highlight w:val="none"/>
                <w:u w:val="none"/>
                <w:lang w:bidi="ar-SA"/>
              </w:rPr>
              <w:t>．</w:t>
            </w:r>
            <w:r>
              <w:rPr>
                <w:rFonts w:hAnsi="宋体" w:eastAsia="宋体"/>
                <w:b/>
                <w:bCs/>
                <w:color w:val="auto"/>
                <w:kern w:val="2"/>
                <w:sz w:val="21"/>
                <w:highlight w:val="none"/>
                <w:u w:val="none"/>
                <w:lang w:bidi="ar-SA"/>
              </w:rPr>
              <w:t>严禁</w:t>
            </w:r>
            <w:r>
              <w:rPr>
                <w:rFonts w:hAnsi="宋体" w:eastAsia="宋体"/>
                <w:color w:val="auto"/>
                <w:kern w:val="2"/>
                <w:sz w:val="21"/>
                <w:highlight w:val="none"/>
                <w:u w:val="none"/>
                <w:lang w:bidi="ar-SA"/>
              </w:rPr>
              <w:t>占用运河沿线两岸</w:t>
            </w:r>
            <w:r>
              <w:rPr>
                <w:rFonts w:eastAsia="宋体"/>
                <w:color w:val="auto"/>
                <w:kern w:val="2"/>
                <w:sz w:val="21"/>
                <w:highlight w:val="none"/>
                <w:u w:val="none"/>
                <w:lang w:bidi="ar-SA"/>
              </w:rPr>
              <w:t>1</w:t>
            </w:r>
            <w:r>
              <w:rPr>
                <w:rFonts w:hAnsi="宋体" w:eastAsia="宋体"/>
                <w:color w:val="auto"/>
                <w:kern w:val="2"/>
                <w:sz w:val="21"/>
                <w:highlight w:val="none"/>
                <w:u w:val="none"/>
                <w:lang w:bidi="ar-SA"/>
              </w:rPr>
              <w:t>公里范围内预留作为生态廊道的用地，科学规划平陆运河沿岸生态廊道空间和开发保护核心管制区。</w:t>
            </w:r>
          </w:p>
          <w:p w14:paraId="498C6C0E">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8</w:t>
            </w:r>
            <w:r>
              <w:rPr>
                <w:rFonts w:hAnsi="宋体" w:eastAsia="宋体"/>
                <w:color w:val="auto"/>
                <w:kern w:val="2"/>
                <w:sz w:val="21"/>
                <w:highlight w:val="none"/>
                <w:u w:val="none"/>
                <w:lang w:bidi="ar-SA"/>
              </w:rPr>
              <w:t>．</w:t>
            </w:r>
            <w:r>
              <w:rPr>
                <w:rFonts w:hint="eastAsia" w:hAnsi="宋体"/>
                <w:color w:val="auto"/>
                <w:kern w:val="2"/>
                <w:sz w:val="21"/>
                <w:highlight w:val="none"/>
                <w:u w:val="none"/>
                <w:lang w:eastAsia="zh-CN" w:bidi="ar-SA"/>
              </w:rPr>
              <w:t>执行</w:t>
            </w:r>
            <w:r>
              <w:rPr>
                <w:rFonts w:hAnsi="宋体" w:eastAsia="宋体"/>
                <w:color w:val="auto"/>
                <w:kern w:val="2"/>
                <w:sz w:val="21"/>
                <w:highlight w:val="none"/>
                <w:u w:val="none"/>
                <w:lang w:bidi="ar-SA"/>
              </w:rPr>
              <w:t>平陆运河绿色工程防范管控重点清单、打造特色亮点清单，平陆运河绿色工程评估指标体系。</w:t>
            </w:r>
          </w:p>
        </w:tc>
      </w:tr>
      <w:tr w14:paraId="5BDF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1928" w:type="dxa"/>
            <w:vMerge w:val="continue"/>
            <w:noWrap w:val="0"/>
            <w:vAlign w:val="center"/>
          </w:tcPr>
          <w:p w14:paraId="5953EAC6">
            <w:pPr>
              <w:pStyle w:val="18"/>
              <w:widowControl w:val="0"/>
              <w:jc w:val="both"/>
              <w:rPr>
                <w:rFonts w:eastAsia="宋体"/>
                <w:color w:val="auto"/>
                <w:kern w:val="2"/>
                <w:sz w:val="21"/>
                <w:highlight w:val="none"/>
                <w:u w:val="none"/>
                <w:lang w:bidi="ar-SA"/>
              </w:rPr>
            </w:pPr>
          </w:p>
        </w:tc>
        <w:tc>
          <w:tcPr>
            <w:tcW w:w="1589" w:type="dxa"/>
            <w:vMerge w:val="continue"/>
            <w:noWrap w:val="0"/>
            <w:vAlign w:val="center"/>
          </w:tcPr>
          <w:p w14:paraId="098CD801">
            <w:pPr>
              <w:pStyle w:val="18"/>
              <w:widowControl w:val="0"/>
              <w:jc w:val="center"/>
              <w:rPr>
                <w:rFonts w:eastAsia="宋体"/>
                <w:color w:val="auto"/>
                <w:kern w:val="2"/>
                <w:sz w:val="21"/>
                <w:highlight w:val="none"/>
                <w:u w:val="none"/>
                <w:lang w:bidi="ar-SA"/>
              </w:rPr>
            </w:pPr>
          </w:p>
        </w:tc>
        <w:tc>
          <w:tcPr>
            <w:tcW w:w="2389" w:type="dxa"/>
            <w:noWrap w:val="0"/>
            <w:vAlign w:val="center"/>
          </w:tcPr>
          <w:p w14:paraId="6BFBD110">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污染物排放管控</w:t>
            </w:r>
          </w:p>
        </w:tc>
        <w:tc>
          <w:tcPr>
            <w:tcW w:w="14759" w:type="dxa"/>
            <w:noWrap w:val="0"/>
            <w:vAlign w:val="center"/>
          </w:tcPr>
          <w:p w14:paraId="6D2A3E97">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坚持陆海统筹，强化重大海域、入海河流、海岸带的生态环境统筹协同管控，开展北部湾沿海城市生态环境综合治理。推行河长制、湖长制，持续推进钦江、南流江、九洲江等流域综合治理，鼓励施行生态养殖和清洁生产，从源头控制生产、生活污水排放。推行湾长制，协同推进近岸海域污染治理，实施蓝色海湾整治行动和北部湾入海河流综合治理工程，严格控制水产养殖污染、港口码头船舶污染、采沙污染。</w:t>
            </w:r>
          </w:p>
          <w:p w14:paraId="601FCA88">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围绕建设蓝色海湾城市群，深入推进北钦防生态环境基础设施一体化，统筹推进北钦防三市生态环境齐保共治。加强港口码头环境保护基础设施建设，重点加强有色矿产、硫磺、煤等堆场配套环保设施建设。建立生态环境联防联治平台和机制，推动建立北部湾城市群跨行政区生态环境保护和生态补偿机制。</w:t>
            </w:r>
          </w:p>
          <w:p w14:paraId="3FBE0C9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．推进区域大气污染联防联控。共同开展重点行业污染整治和重污染天气联合应对，加强挥发性有机化合物（</w:t>
            </w:r>
            <w:r>
              <w:rPr>
                <w:rFonts w:eastAsia="宋体"/>
                <w:color w:val="auto"/>
                <w:kern w:val="2"/>
                <w:sz w:val="21"/>
                <w:highlight w:val="none"/>
                <w:u w:val="none"/>
                <w:lang w:bidi="ar-SA"/>
              </w:rPr>
              <w:t>VOCs</w:t>
            </w:r>
            <w:r>
              <w:rPr>
                <w:rFonts w:hAnsi="宋体" w:eastAsia="宋体"/>
                <w:color w:val="auto"/>
                <w:kern w:val="2"/>
                <w:sz w:val="21"/>
                <w:highlight w:val="none"/>
                <w:u w:val="none"/>
                <w:lang w:bidi="ar-SA"/>
              </w:rPr>
              <w:t>）和氮氧化物（</w:t>
            </w:r>
            <w:r>
              <w:rPr>
                <w:rFonts w:eastAsia="宋体"/>
                <w:color w:val="auto"/>
                <w:kern w:val="2"/>
                <w:sz w:val="21"/>
                <w:highlight w:val="none"/>
                <w:u w:val="none"/>
                <w:lang w:bidi="ar-SA"/>
              </w:rPr>
              <w:t>NOx</w:t>
            </w:r>
            <w:r>
              <w:rPr>
                <w:rFonts w:hAnsi="宋体" w:eastAsia="宋体"/>
                <w:color w:val="auto"/>
                <w:kern w:val="2"/>
                <w:sz w:val="21"/>
                <w:highlight w:val="none"/>
                <w:u w:val="none"/>
                <w:lang w:bidi="ar-SA"/>
              </w:rPr>
              <w:t>）协同控制，协同应对区域多污染物，联合开展空气污染综合治理，改善空气质量。严格城市空气质量达标管理，改善城市环境空气质量，对大气质量改善进度进行监督和考核。</w:t>
            </w:r>
          </w:p>
          <w:p w14:paraId="50DBB094">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．严格控制</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两高</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行业项目布局和建设</w:t>
            </w:r>
            <w:r>
              <w:rPr>
                <w:rFonts w:hint="eastAsia" w:hAnsi="宋体"/>
                <w:color w:val="auto"/>
                <w:kern w:val="2"/>
                <w:sz w:val="21"/>
                <w:highlight w:val="none"/>
                <w:u w:val="none"/>
                <w:lang w:eastAsia="zh-CN" w:bidi="ar-SA"/>
              </w:rPr>
              <w:t>，</w:t>
            </w:r>
            <w:r>
              <w:rPr>
                <w:rFonts w:hAnsi="宋体" w:eastAsia="宋体"/>
                <w:color w:val="auto"/>
                <w:kern w:val="2"/>
                <w:sz w:val="21"/>
                <w:highlight w:val="none"/>
                <w:u w:val="none"/>
                <w:lang w:bidi="ar-SA"/>
              </w:rPr>
              <w:t>提升</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两高</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行业清洁生产和减污降碳水平。以碳达峰、碳中和愿景为导向，推动产业转型升级、能源结构优化。开展碳排放权、排污权交易试点。重点管控行业建设项目无主要污染物排放指标来源的，应提出有效的区域削减方案，确保项目投产后区域环境质量不恶化。</w:t>
            </w:r>
          </w:p>
          <w:p w14:paraId="604AA442">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w:t>
            </w:r>
            <w:r>
              <w:rPr>
                <w:rFonts w:hint="eastAsia" w:hAnsi="宋体"/>
                <w:color w:val="auto"/>
                <w:kern w:val="2"/>
                <w:sz w:val="21"/>
                <w:highlight w:val="none"/>
                <w:u w:val="none"/>
                <w:lang w:eastAsia="zh-CN" w:bidi="ar-SA"/>
              </w:rPr>
              <w:t>以</w:t>
            </w:r>
            <w:r>
              <w:rPr>
                <w:rFonts w:hAnsi="宋体" w:eastAsia="宋体"/>
                <w:color w:val="auto"/>
                <w:kern w:val="2"/>
                <w:sz w:val="21"/>
                <w:highlight w:val="none"/>
                <w:u w:val="none"/>
                <w:lang w:bidi="ar-SA"/>
              </w:rPr>
              <w:t>平陆运河、北部湾港</w:t>
            </w:r>
            <w:r>
              <w:rPr>
                <w:rFonts w:hint="eastAsia" w:hAnsi="宋体"/>
                <w:color w:val="auto"/>
                <w:kern w:val="2"/>
                <w:sz w:val="21"/>
                <w:highlight w:val="none"/>
                <w:u w:val="none"/>
                <w:lang w:eastAsia="zh-CN" w:bidi="ar-SA"/>
              </w:rPr>
              <w:t>为重点，</w:t>
            </w:r>
            <w:r>
              <w:rPr>
                <w:rFonts w:hAnsi="宋体" w:eastAsia="宋体"/>
                <w:color w:val="auto"/>
                <w:kern w:val="2"/>
                <w:sz w:val="21"/>
                <w:highlight w:val="none"/>
                <w:u w:val="none"/>
                <w:lang w:bidi="ar-SA"/>
              </w:rPr>
              <w:t>加强船舶和港口污染防治，加快淘汰老旧船舶，鼓励引导高能耗船舶技术改造升级和提前退出。推动新能源、清洁能源动力船舶应用，加快港口供电设施建设，提高船舶岸电设施使用率。</w:t>
            </w:r>
          </w:p>
          <w:p w14:paraId="69595F6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6</w:t>
            </w:r>
            <w:r>
              <w:rPr>
                <w:rFonts w:hAnsi="宋体" w:eastAsia="宋体"/>
                <w:color w:val="auto"/>
                <w:kern w:val="2"/>
                <w:sz w:val="21"/>
                <w:highlight w:val="none"/>
                <w:u w:val="none"/>
                <w:lang w:bidi="ar-SA"/>
              </w:rPr>
              <w:t>．平陆运河沿线城市实施生活污水集中处理设施能力提升全覆盖工程，开展城市污水处理设施差别化精准提标改造。</w:t>
            </w:r>
          </w:p>
        </w:tc>
      </w:tr>
      <w:tr w14:paraId="3E15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928" w:type="dxa"/>
            <w:vMerge w:val="continue"/>
            <w:noWrap w:val="0"/>
            <w:vAlign w:val="center"/>
          </w:tcPr>
          <w:p w14:paraId="62FEE358">
            <w:pPr>
              <w:pStyle w:val="18"/>
              <w:widowControl w:val="0"/>
              <w:jc w:val="both"/>
              <w:rPr>
                <w:rFonts w:eastAsia="宋体"/>
                <w:color w:val="auto"/>
                <w:kern w:val="2"/>
                <w:sz w:val="21"/>
                <w:highlight w:val="none"/>
                <w:u w:val="none"/>
                <w:lang w:bidi="ar-SA"/>
              </w:rPr>
            </w:pPr>
          </w:p>
        </w:tc>
        <w:tc>
          <w:tcPr>
            <w:tcW w:w="1589" w:type="dxa"/>
            <w:vMerge w:val="continue"/>
            <w:noWrap w:val="0"/>
            <w:vAlign w:val="center"/>
          </w:tcPr>
          <w:p w14:paraId="29E31B6F">
            <w:pPr>
              <w:pStyle w:val="18"/>
              <w:widowControl w:val="0"/>
              <w:jc w:val="both"/>
              <w:rPr>
                <w:rFonts w:eastAsia="宋体"/>
                <w:color w:val="auto"/>
                <w:kern w:val="2"/>
                <w:sz w:val="21"/>
                <w:highlight w:val="none"/>
                <w:u w:val="none"/>
                <w:lang w:bidi="ar-SA"/>
              </w:rPr>
            </w:pPr>
          </w:p>
        </w:tc>
        <w:tc>
          <w:tcPr>
            <w:tcW w:w="2389" w:type="dxa"/>
            <w:noWrap w:val="0"/>
            <w:vAlign w:val="center"/>
          </w:tcPr>
          <w:p w14:paraId="1AD27835">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环境风险防控</w:t>
            </w:r>
          </w:p>
        </w:tc>
        <w:tc>
          <w:tcPr>
            <w:tcW w:w="14759" w:type="dxa"/>
            <w:noWrap w:val="0"/>
            <w:vAlign w:val="center"/>
          </w:tcPr>
          <w:p w14:paraId="0945E14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．强化沿海工业园区和沿海石油、石化、化工、冶炼及危化品储运等企业的环境风险防控。</w:t>
            </w:r>
          </w:p>
          <w:p w14:paraId="76F6B90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．建立和完善海上溢油、危险化学品泄漏、赤潮应急反应预案，提升应对海洋突发环境事件能力，防范海上溢油、危险化学品泄漏等重大环境风险。加强海洋环境监测，实施海洋环境预警预报工程。</w:t>
            </w:r>
          </w:p>
          <w:p w14:paraId="04B69D6A">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．实行严格的核污染监控管理，提升核安全治理能力，提高核设施安全水平，降低核安全风险，推进放射性污染防治，确保辐射环境质量保持良好，强化核辐射安全监管体系，消除核安全隐患。</w:t>
            </w:r>
          </w:p>
        </w:tc>
      </w:tr>
      <w:tr w14:paraId="54F9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28" w:type="dxa"/>
            <w:vMerge w:val="continue"/>
            <w:noWrap w:val="0"/>
            <w:vAlign w:val="center"/>
          </w:tcPr>
          <w:p w14:paraId="1793C0E1">
            <w:pPr>
              <w:pStyle w:val="18"/>
              <w:widowControl w:val="0"/>
              <w:jc w:val="both"/>
              <w:rPr>
                <w:rFonts w:eastAsia="宋体"/>
                <w:color w:val="auto"/>
                <w:kern w:val="2"/>
                <w:sz w:val="21"/>
                <w:highlight w:val="none"/>
                <w:u w:val="none"/>
                <w:lang w:bidi="ar-SA"/>
              </w:rPr>
            </w:pPr>
          </w:p>
        </w:tc>
        <w:tc>
          <w:tcPr>
            <w:tcW w:w="1589" w:type="dxa"/>
            <w:vMerge w:val="continue"/>
            <w:noWrap w:val="0"/>
            <w:vAlign w:val="center"/>
          </w:tcPr>
          <w:p w14:paraId="5009E35C">
            <w:pPr>
              <w:pStyle w:val="18"/>
              <w:widowControl w:val="0"/>
              <w:jc w:val="both"/>
              <w:rPr>
                <w:rFonts w:eastAsia="宋体"/>
                <w:color w:val="auto"/>
                <w:kern w:val="2"/>
                <w:sz w:val="21"/>
                <w:highlight w:val="none"/>
                <w:u w:val="none"/>
                <w:lang w:bidi="ar-SA"/>
              </w:rPr>
            </w:pPr>
          </w:p>
        </w:tc>
        <w:tc>
          <w:tcPr>
            <w:tcW w:w="2389" w:type="dxa"/>
            <w:noWrap w:val="0"/>
            <w:vAlign w:val="center"/>
          </w:tcPr>
          <w:p w14:paraId="2DA2882F">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资源开发利用效率要求</w:t>
            </w:r>
          </w:p>
        </w:tc>
        <w:tc>
          <w:tcPr>
            <w:tcW w:w="14759" w:type="dxa"/>
            <w:noWrap w:val="0"/>
            <w:vAlign w:val="center"/>
          </w:tcPr>
          <w:p w14:paraId="60F72BE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．严格执行能耗</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双控</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，新建项目能源利用效率应达到国内先进水平。</w:t>
            </w:r>
          </w:p>
          <w:p w14:paraId="25C539A6">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．实施水资源消耗总量和强度</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双控</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w:t>
            </w:r>
          </w:p>
        </w:tc>
      </w:tr>
    </w:tbl>
    <w:p w14:paraId="2C6E0617">
      <w:pPr>
        <w:widowControl/>
        <w:shd w:val="clear" w:color="auto" w:fill="auto"/>
        <w:jc w:val="left"/>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br w:type="page"/>
      </w:r>
    </w:p>
    <w:p w14:paraId="02EBC892">
      <w:pPr>
        <w:pStyle w:val="6"/>
        <w:keepNext/>
        <w:keepLines/>
        <w:pageBreakBefore w:val="0"/>
        <w:widowControl w:val="0"/>
        <w:kinsoku/>
        <w:wordWrap/>
        <w:overflowPunct/>
        <w:topLinePunct w:val="0"/>
        <w:autoSpaceDE/>
        <w:autoSpaceDN/>
        <w:bidi w:val="0"/>
        <w:adjustRightInd w:val="0"/>
        <w:snapToGrid w:val="0"/>
        <w:spacing w:before="156" w:after="156"/>
        <w:jc w:val="both"/>
        <w:textAlignment w:val="auto"/>
        <w:outlineLvl w:val="0"/>
        <w:rPr>
          <w:rFonts w:ascii="黑体" w:hAnsi="黑体" w:eastAsia="黑体"/>
          <w:color w:val="auto"/>
          <w:kern w:val="2"/>
          <w:szCs w:val="30"/>
          <w:highlight w:val="none"/>
          <w:u w:val="none"/>
          <w:lang w:bidi="ar-SA"/>
        </w:rPr>
      </w:pPr>
      <w:bookmarkStart w:id="67" w:name="_Toc30908"/>
      <w:bookmarkStart w:id="68" w:name="_Toc22468"/>
      <w:bookmarkStart w:id="69" w:name="_Toc10788"/>
      <w:bookmarkStart w:id="70" w:name="_Toc10814"/>
      <w:bookmarkStart w:id="71" w:name="_Toc7622"/>
      <w:bookmarkStart w:id="72" w:name="_Toc12528"/>
      <w:bookmarkStart w:id="73" w:name="_Toc17997"/>
      <w:bookmarkStart w:id="74" w:name="_Toc31722"/>
      <w:r>
        <w:rPr>
          <w:rFonts w:ascii="黑体" w:hAnsi="黑体" w:eastAsia="黑体"/>
          <w:color w:val="auto"/>
          <w:kern w:val="2"/>
          <w:szCs w:val="30"/>
          <w:highlight w:val="none"/>
          <w:u w:val="none"/>
          <w:lang w:bidi="ar-SA"/>
        </w:rPr>
        <w:t>2.2左右江革命老区</w:t>
      </w:r>
      <w:bookmarkEnd w:id="67"/>
      <w:bookmarkEnd w:id="68"/>
      <w:bookmarkEnd w:id="69"/>
      <w:bookmarkEnd w:id="70"/>
      <w:bookmarkEnd w:id="71"/>
      <w:bookmarkEnd w:id="72"/>
      <w:bookmarkEnd w:id="73"/>
      <w:bookmarkEnd w:id="74"/>
    </w:p>
    <w:p w14:paraId="0B1F4C53">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bookmarkStart w:id="75" w:name="_Toc13496"/>
      <w:bookmarkStart w:id="76" w:name="_Toc29495"/>
      <w:bookmarkStart w:id="77" w:name="_Toc13069"/>
      <w:bookmarkStart w:id="78" w:name="_Toc32722"/>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2.2-1  </w:t>
      </w:r>
      <w:r>
        <w:rPr>
          <w:rFonts w:ascii="黑体" w:hAnsi="黑体" w:eastAsia="黑体" w:cs="Times New Roman"/>
          <w:color w:val="auto"/>
          <w:kern w:val="2"/>
          <w:sz w:val="24"/>
          <w:szCs w:val="24"/>
          <w:highlight w:val="none"/>
          <w:u w:val="none"/>
          <w:lang w:val="en-US" w:eastAsia="zh-CN" w:bidi="ar-SA"/>
        </w:rPr>
        <w:t>左右江革命老区生态环境准入及管控要求</w:t>
      </w:r>
      <w:bookmarkEnd w:id="75"/>
      <w:bookmarkEnd w:id="76"/>
      <w:bookmarkEnd w:id="77"/>
      <w:bookmarkEnd w:id="7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540"/>
        <w:gridCol w:w="2211"/>
        <w:gridCol w:w="15102"/>
      </w:tblGrid>
      <w:tr w14:paraId="3955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1977" w:type="dxa"/>
            <w:noWrap w:val="0"/>
            <w:vAlign w:val="center"/>
          </w:tcPr>
          <w:p w14:paraId="170DA822">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1540" w:type="dxa"/>
            <w:noWrap w:val="0"/>
            <w:vAlign w:val="center"/>
          </w:tcPr>
          <w:p w14:paraId="7A2CB195">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2211" w:type="dxa"/>
            <w:noWrap w:val="0"/>
            <w:vAlign w:val="center"/>
          </w:tcPr>
          <w:p w14:paraId="5A3CC544">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15102" w:type="dxa"/>
            <w:noWrap w:val="0"/>
            <w:vAlign w:val="center"/>
          </w:tcPr>
          <w:p w14:paraId="41DD5695">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5E65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jc w:val="center"/>
        </w:trPr>
        <w:tc>
          <w:tcPr>
            <w:tcW w:w="1977" w:type="dxa"/>
            <w:vMerge w:val="restart"/>
            <w:noWrap w:val="0"/>
            <w:vAlign w:val="center"/>
          </w:tcPr>
          <w:p w14:paraId="3B9AA349">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左右江革命老区</w:t>
            </w:r>
          </w:p>
          <w:p w14:paraId="09C75B5B">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全部分区</w:t>
            </w:r>
          </w:p>
        </w:tc>
        <w:tc>
          <w:tcPr>
            <w:tcW w:w="1540" w:type="dxa"/>
            <w:vMerge w:val="restart"/>
            <w:noWrap w:val="0"/>
            <w:vAlign w:val="center"/>
          </w:tcPr>
          <w:p w14:paraId="50A48C7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左右江革命老区（本清单适用于百色市、河池市）</w:t>
            </w:r>
          </w:p>
        </w:tc>
        <w:tc>
          <w:tcPr>
            <w:tcW w:w="2211" w:type="dxa"/>
            <w:noWrap w:val="0"/>
            <w:vAlign w:val="center"/>
          </w:tcPr>
          <w:p w14:paraId="748C41B5">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15102" w:type="dxa"/>
            <w:noWrap w:val="0"/>
            <w:vAlign w:val="center"/>
          </w:tcPr>
          <w:p w14:paraId="61170BE7">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．坚持在高水平保护中高质量发展，将生态优势转化为发展优势，实现产业生态化和生态产业化协同发展。</w:t>
            </w:r>
          </w:p>
          <w:p w14:paraId="3E079AA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．有序承接产业转移，推进产业集群发展和人口集聚，引导企业入园集聚发展。加快推进新型工业化、城镇化、信息化进程，提高综合承载能力。</w:t>
            </w:r>
          </w:p>
          <w:p w14:paraId="64C0F6AF">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．强化矿产资源开发管理和生态修复，大力实施石漠化治理，水土流失综合治理、矿山环境治理等重点生态修复工程，因地制宜开展生态移民。</w:t>
            </w:r>
          </w:p>
          <w:p w14:paraId="5041DC9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统筹推进左右江流域革命老区山水林田湖生态保护修复工程。加快百色、河池等西江上游地区生态公益林建设，建设生态屏障，提升水源涵养和水土保持功能。探索跨流域、区域横向生态补偿机制，严格控制人为因素对自然生态环境的干扰，维护国家生态安全。</w:t>
            </w:r>
          </w:p>
          <w:p w14:paraId="2E6ED480">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防控农业面源污染，控制化肥、农药使用量。调整种植业结构与布局，在百色、河池等缺水地区鼓励发展节水栽培技术，依据当地气候特点，选用耐旱、耐瘠、抗病的旱地作物新品种；在桂西、桂中南、桂北工矿企业区及喀斯特地貌岩溶地区地下水易受污染地区，优先种植需肥需药量低、环境效益突出的农作物。</w:t>
            </w:r>
          </w:p>
          <w:p w14:paraId="048E13B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6</w:t>
            </w:r>
            <w:r>
              <w:rPr>
                <w:rFonts w:hAnsi="宋体" w:eastAsia="宋体"/>
                <w:color w:val="auto"/>
                <w:kern w:val="2"/>
                <w:sz w:val="21"/>
                <w:highlight w:val="none"/>
                <w:u w:val="none"/>
                <w:lang w:bidi="ar-SA"/>
              </w:rPr>
              <w:t>．区直各部门、相关地市人民政府在符合国家法律规范和部门规章要求的前提下，允许在职能范围内对涉边境地区建立相对宽松的约束条件或采用特定快速工作机制开展项目管理，涉及保密的制度和政策按相应管理规定进行。</w:t>
            </w:r>
          </w:p>
        </w:tc>
      </w:tr>
      <w:tr w14:paraId="1C32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1977" w:type="dxa"/>
            <w:vMerge w:val="continue"/>
            <w:noWrap w:val="0"/>
            <w:vAlign w:val="center"/>
          </w:tcPr>
          <w:p w14:paraId="73A98196">
            <w:pPr>
              <w:pStyle w:val="18"/>
              <w:widowControl w:val="0"/>
              <w:jc w:val="center"/>
              <w:rPr>
                <w:rFonts w:eastAsia="宋体"/>
                <w:color w:val="auto"/>
                <w:kern w:val="2"/>
                <w:sz w:val="21"/>
                <w:highlight w:val="none"/>
                <w:u w:val="none"/>
                <w:lang w:bidi="ar-SA"/>
              </w:rPr>
            </w:pPr>
          </w:p>
        </w:tc>
        <w:tc>
          <w:tcPr>
            <w:tcW w:w="1540" w:type="dxa"/>
            <w:vMerge w:val="continue"/>
            <w:noWrap w:val="0"/>
            <w:vAlign w:val="center"/>
          </w:tcPr>
          <w:p w14:paraId="7E3089ED">
            <w:pPr>
              <w:pStyle w:val="18"/>
              <w:widowControl w:val="0"/>
              <w:jc w:val="center"/>
              <w:rPr>
                <w:rFonts w:eastAsia="宋体"/>
                <w:color w:val="auto"/>
                <w:kern w:val="2"/>
                <w:sz w:val="21"/>
                <w:highlight w:val="none"/>
                <w:u w:val="none"/>
                <w:lang w:bidi="ar-SA"/>
              </w:rPr>
            </w:pPr>
          </w:p>
        </w:tc>
        <w:tc>
          <w:tcPr>
            <w:tcW w:w="2211" w:type="dxa"/>
            <w:noWrap w:val="0"/>
            <w:vAlign w:val="center"/>
          </w:tcPr>
          <w:p w14:paraId="0F4FCCF9">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污染物排放管控</w:t>
            </w:r>
          </w:p>
        </w:tc>
        <w:tc>
          <w:tcPr>
            <w:tcW w:w="15102" w:type="dxa"/>
            <w:noWrap w:val="0"/>
            <w:vAlign w:val="center"/>
          </w:tcPr>
          <w:p w14:paraId="247FCAB4">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加强百都河、那布河、平孟河、水口河、难滩河、归春河、平而河等跨国界河流水体的污染防治，提高跨国界水体的环境监测与预警能力，完善区域环保基础设施，探索和建立跨境水体水环境保护长效机制和跨国联动机制。</w:t>
            </w:r>
          </w:p>
          <w:p w14:paraId="5B0493DA">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．涉重金属建设项目实行污染物排放总量控制，加大历史遗留污染场地治理力度，积极开展重金属污染土壤调查与修复试点工作，防范涉重金属环境风险。</w:t>
            </w:r>
          </w:p>
        </w:tc>
      </w:tr>
    </w:tbl>
    <w:p w14:paraId="134820EA">
      <w:pPr>
        <w:widowControl/>
        <w:shd w:val="clear" w:color="auto" w:fill="auto"/>
        <w:jc w:val="left"/>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br w:type="page"/>
      </w:r>
    </w:p>
    <w:p w14:paraId="1F1337E1">
      <w:pPr>
        <w:pStyle w:val="6"/>
        <w:keepNext/>
        <w:keepLines/>
        <w:pageBreakBefore w:val="0"/>
        <w:widowControl w:val="0"/>
        <w:kinsoku/>
        <w:wordWrap/>
        <w:overflowPunct/>
        <w:topLinePunct w:val="0"/>
        <w:autoSpaceDE/>
        <w:autoSpaceDN/>
        <w:bidi w:val="0"/>
        <w:adjustRightInd w:val="0"/>
        <w:snapToGrid w:val="0"/>
        <w:spacing w:before="156" w:after="156"/>
        <w:jc w:val="both"/>
        <w:textAlignment w:val="auto"/>
        <w:outlineLvl w:val="0"/>
        <w:rPr>
          <w:rFonts w:ascii="黑体" w:hAnsi="黑体" w:eastAsia="黑体"/>
          <w:color w:val="auto"/>
          <w:kern w:val="2"/>
          <w:szCs w:val="30"/>
          <w:highlight w:val="none"/>
          <w:u w:val="none"/>
          <w:lang w:bidi="ar-SA"/>
        </w:rPr>
      </w:pPr>
      <w:bookmarkStart w:id="79" w:name="_Toc16370"/>
      <w:bookmarkStart w:id="80" w:name="_Toc6210"/>
      <w:bookmarkStart w:id="81" w:name="_Toc3286"/>
      <w:bookmarkStart w:id="82" w:name="_Toc21340"/>
      <w:bookmarkStart w:id="83" w:name="_Toc11255"/>
      <w:bookmarkStart w:id="84" w:name="_Toc30701"/>
      <w:bookmarkStart w:id="85" w:name="_Toc29596"/>
      <w:bookmarkStart w:id="86" w:name="_Toc451"/>
      <w:r>
        <w:rPr>
          <w:rFonts w:ascii="黑体" w:hAnsi="黑体" w:eastAsia="黑体"/>
          <w:color w:val="auto"/>
          <w:kern w:val="2"/>
          <w:szCs w:val="30"/>
          <w:highlight w:val="none"/>
          <w:u w:val="none"/>
          <w:lang w:bidi="ar-SA"/>
        </w:rPr>
        <w:t>2.3西江经济带</w:t>
      </w:r>
      <w:bookmarkEnd w:id="79"/>
      <w:bookmarkEnd w:id="80"/>
      <w:bookmarkEnd w:id="81"/>
      <w:bookmarkEnd w:id="82"/>
      <w:bookmarkEnd w:id="83"/>
      <w:bookmarkEnd w:id="84"/>
      <w:bookmarkEnd w:id="85"/>
      <w:bookmarkEnd w:id="86"/>
    </w:p>
    <w:p w14:paraId="5492DF56">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bookmarkStart w:id="87" w:name="_Toc26785"/>
      <w:bookmarkStart w:id="88" w:name="_Toc1492"/>
      <w:bookmarkStart w:id="89" w:name="_Toc1072"/>
      <w:bookmarkStart w:id="90" w:name="_Toc23850"/>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2.3-1  </w:t>
      </w:r>
      <w:r>
        <w:rPr>
          <w:rFonts w:ascii="黑体" w:hAnsi="黑体" w:eastAsia="黑体" w:cs="Times New Roman"/>
          <w:color w:val="auto"/>
          <w:kern w:val="2"/>
          <w:sz w:val="24"/>
          <w:szCs w:val="24"/>
          <w:highlight w:val="none"/>
          <w:u w:val="none"/>
          <w:lang w:val="en-US" w:eastAsia="zh-CN" w:bidi="ar-SA"/>
        </w:rPr>
        <w:t>西江经济带生态环境准入及管控要求</w:t>
      </w:r>
      <w:bookmarkEnd w:id="87"/>
      <w:bookmarkEnd w:id="88"/>
      <w:bookmarkEnd w:id="89"/>
      <w:bookmarkEnd w:id="9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537"/>
        <w:gridCol w:w="2337"/>
        <w:gridCol w:w="14454"/>
      </w:tblGrid>
      <w:tr w14:paraId="5511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jc w:val="center"/>
        </w:trPr>
        <w:tc>
          <w:tcPr>
            <w:tcW w:w="1987" w:type="dxa"/>
            <w:noWrap w:val="0"/>
            <w:vAlign w:val="center"/>
          </w:tcPr>
          <w:p w14:paraId="62E8F961">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1537" w:type="dxa"/>
            <w:noWrap w:val="0"/>
            <w:vAlign w:val="center"/>
          </w:tcPr>
          <w:p w14:paraId="326279ED">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2337" w:type="dxa"/>
            <w:noWrap w:val="0"/>
            <w:vAlign w:val="center"/>
          </w:tcPr>
          <w:p w14:paraId="4B9B50DE">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14454" w:type="dxa"/>
            <w:noWrap w:val="0"/>
            <w:vAlign w:val="center"/>
          </w:tcPr>
          <w:p w14:paraId="266BD8FE">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3472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2" w:hRule="atLeast"/>
          <w:jc w:val="center"/>
        </w:trPr>
        <w:tc>
          <w:tcPr>
            <w:tcW w:w="1987" w:type="dxa"/>
            <w:vMerge w:val="restart"/>
            <w:noWrap w:val="0"/>
            <w:vAlign w:val="center"/>
          </w:tcPr>
          <w:p w14:paraId="6DDBAAA4">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西江经济带</w:t>
            </w:r>
          </w:p>
          <w:p w14:paraId="04951C53">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全部分区</w:t>
            </w:r>
          </w:p>
        </w:tc>
        <w:tc>
          <w:tcPr>
            <w:tcW w:w="1537" w:type="dxa"/>
            <w:vMerge w:val="restart"/>
            <w:noWrap w:val="0"/>
            <w:vAlign w:val="center"/>
          </w:tcPr>
          <w:p w14:paraId="1659382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西江经济带（本清单适用于柳州市、来宾市、贵港市、梧州市和贺州市）</w:t>
            </w:r>
          </w:p>
        </w:tc>
        <w:tc>
          <w:tcPr>
            <w:tcW w:w="2337" w:type="dxa"/>
            <w:noWrap w:val="0"/>
            <w:vAlign w:val="center"/>
          </w:tcPr>
          <w:p w14:paraId="36E1399A">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14454" w:type="dxa"/>
            <w:noWrap w:val="0"/>
            <w:vAlign w:val="center"/>
          </w:tcPr>
          <w:p w14:paraId="53B5710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．坚持高质量绿色发展，打造成为我国西南中南地区开放发展新的增长极和东西部合作发展示范区，建设区域协调发展和流域生态文明建设示范区。</w:t>
            </w:r>
          </w:p>
          <w:p w14:paraId="4FCE5A1E">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．涉重金属冶炼企业应向基础设施和环境风险防范措施较完善的工业园区布局。</w:t>
            </w:r>
          </w:p>
          <w:p w14:paraId="1979A43D">
            <w:pPr>
              <w:shd w:val="clear" w:color="auto" w:fill="auto"/>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3</w:t>
            </w:r>
            <w:r>
              <w:rPr>
                <w:rFonts w:ascii="Times New Roman" w:hAnsi="宋体" w:eastAsia="宋体" w:cs="Times New Roman"/>
                <w:color w:val="auto"/>
                <w:szCs w:val="21"/>
                <w:highlight w:val="none"/>
                <w:u w:val="none"/>
              </w:rPr>
              <w:t>．依法淘汰落后产能和过剩产能，鼓励发展节能环保等新兴产业。加快西江流域产业结构转型升级，严格控制流域内高耗能高排放行业布局。</w:t>
            </w:r>
          </w:p>
          <w:p w14:paraId="35B343B0">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．西江流域干流沿岸严格控制石油加工、化学原料和化学制品制造、医药制造、化学纤维制造、有色金属冶炼等项目和相关产业的工业园区建设，合理布局生产装置及危险化学品仓储等设施。</w:t>
            </w:r>
          </w:p>
        </w:tc>
      </w:tr>
      <w:tr w14:paraId="07A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1987" w:type="dxa"/>
            <w:vMerge w:val="continue"/>
            <w:noWrap w:val="0"/>
            <w:vAlign w:val="center"/>
          </w:tcPr>
          <w:p w14:paraId="0F5992CA">
            <w:pPr>
              <w:pStyle w:val="18"/>
              <w:widowControl w:val="0"/>
              <w:jc w:val="both"/>
              <w:rPr>
                <w:rFonts w:eastAsia="宋体"/>
                <w:color w:val="auto"/>
                <w:kern w:val="2"/>
                <w:sz w:val="21"/>
                <w:highlight w:val="none"/>
                <w:u w:val="none"/>
                <w:lang w:bidi="ar-SA"/>
              </w:rPr>
            </w:pPr>
          </w:p>
        </w:tc>
        <w:tc>
          <w:tcPr>
            <w:tcW w:w="1537" w:type="dxa"/>
            <w:vMerge w:val="continue"/>
            <w:noWrap w:val="0"/>
            <w:vAlign w:val="center"/>
          </w:tcPr>
          <w:p w14:paraId="319100D9">
            <w:pPr>
              <w:pStyle w:val="18"/>
              <w:widowControl w:val="0"/>
              <w:jc w:val="center"/>
              <w:rPr>
                <w:rFonts w:eastAsia="宋体"/>
                <w:color w:val="auto"/>
                <w:kern w:val="2"/>
                <w:sz w:val="21"/>
                <w:highlight w:val="none"/>
                <w:u w:val="none"/>
                <w:lang w:bidi="ar-SA"/>
              </w:rPr>
            </w:pPr>
          </w:p>
        </w:tc>
        <w:tc>
          <w:tcPr>
            <w:tcW w:w="2337" w:type="dxa"/>
            <w:noWrap w:val="0"/>
            <w:vAlign w:val="center"/>
          </w:tcPr>
          <w:p w14:paraId="3CF651B3">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污染物排放管控</w:t>
            </w:r>
          </w:p>
        </w:tc>
        <w:tc>
          <w:tcPr>
            <w:tcW w:w="14454" w:type="dxa"/>
            <w:noWrap w:val="0"/>
            <w:vAlign w:val="center"/>
          </w:tcPr>
          <w:p w14:paraId="303FB969">
            <w:pPr>
              <w:pStyle w:val="18"/>
              <w:widowControl w:val="0"/>
              <w:numPr>
                <w:ilvl w:val="0"/>
                <w:numId w:val="1"/>
              </w:numPr>
              <w:jc w:val="both"/>
              <w:rPr>
                <w:rFonts w:eastAsia="宋体"/>
                <w:color w:val="auto"/>
                <w:kern w:val="2"/>
                <w:sz w:val="21"/>
                <w:highlight w:val="none"/>
                <w:u w:val="none"/>
                <w:lang w:bidi="ar-SA"/>
              </w:rPr>
            </w:pPr>
            <w:r>
              <w:rPr>
                <w:rFonts w:hAnsi="宋体" w:eastAsia="宋体"/>
                <w:color w:val="auto"/>
                <w:kern w:val="2"/>
                <w:sz w:val="21"/>
                <w:highlight w:val="none"/>
                <w:u w:val="none"/>
                <w:lang w:bidi="ar-SA"/>
              </w:rPr>
              <w:t>新建、改建、扩建重点行业建设项目主要污染物排放应控制在区域环境承载能力范围内，实施污染物排放区域削减，保障环境质量达标。</w:t>
            </w:r>
          </w:p>
          <w:p w14:paraId="685636EA">
            <w:pPr>
              <w:pStyle w:val="18"/>
              <w:widowControl w:val="0"/>
              <w:numPr>
                <w:ilvl w:val="0"/>
                <w:numId w:val="1"/>
              </w:numPr>
              <w:jc w:val="both"/>
              <w:rPr>
                <w:rFonts w:eastAsia="宋体"/>
                <w:color w:val="auto"/>
                <w:kern w:val="2"/>
                <w:sz w:val="21"/>
                <w:highlight w:val="none"/>
                <w:u w:val="none"/>
                <w:lang w:bidi="ar-SA"/>
              </w:rPr>
            </w:pPr>
            <w:r>
              <w:rPr>
                <w:rFonts w:hAnsi="宋体" w:eastAsia="宋体"/>
                <w:color w:val="auto"/>
                <w:kern w:val="2"/>
                <w:sz w:val="21"/>
                <w:highlight w:val="none"/>
                <w:u w:val="none"/>
                <w:lang w:bidi="ar-SA"/>
              </w:rPr>
              <w:t>提升工业园区废水治理水平。加强化工、医药、有色金属冶炼等行业为主的园区初期雨水的收集和处理。新建、升级工业园区应同步规划、建设污水集中处理设施或利用现有的污水集中处理设施。污水处理设施应具备脱氮除磷工艺，并安装自动在线监控装置。</w:t>
            </w:r>
          </w:p>
          <w:p w14:paraId="75BCB2FA">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加快入河排污口规范化建设。推进城镇污水处理设施建设与改造，加强配套管网建设、管网改造与管网完善。推进农村污水处理设施建设，确保已投入使用设施正常运行。推进污泥处理处置。因地制宜处理农村生活垃圾，并建立农村生活污染治理长效机制。</w:t>
            </w:r>
          </w:p>
          <w:p w14:paraId="4703E8DB">
            <w:pPr>
              <w:shd w:val="clear" w:color="auto" w:fill="auto"/>
              <w:adjustRightInd w:val="0"/>
              <w:snapToGrid w:val="0"/>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t>4</w:t>
            </w:r>
            <w:r>
              <w:rPr>
                <w:rFonts w:ascii="Times New Roman" w:hAnsi="宋体" w:eastAsia="宋体" w:cs="Times New Roman"/>
                <w:color w:val="auto"/>
                <w:szCs w:val="21"/>
                <w:highlight w:val="none"/>
                <w:u w:val="none"/>
              </w:rPr>
              <w:t>．严格控制农业面源污染，调整种植业结构与布局。</w:t>
            </w:r>
          </w:p>
          <w:p w14:paraId="599F0DA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．加强养殖污染治理，控制化肥农药施用量。强化规模化养殖场污染治理设施建设，推广生态养殖技术，畜禽废物实行综合利用。控制水产养殖污染，推广先进的水产生态养殖技术。</w:t>
            </w:r>
          </w:p>
          <w:p w14:paraId="2DA429BC">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6</w:t>
            </w:r>
            <w:r>
              <w:rPr>
                <w:rFonts w:hAnsi="宋体" w:eastAsia="宋体"/>
                <w:color w:val="auto"/>
                <w:kern w:val="2"/>
                <w:sz w:val="21"/>
                <w:highlight w:val="none"/>
                <w:u w:val="none"/>
                <w:lang w:bidi="ar-SA"/>
              </w:rPr>
              <w:t>．控制港口和船舶污染，推进黔江、浔江、邕江等支流航道综合治理，开展垃圾接收、转运及处理处置设施建设，提高含油污水、化学品洗舱水等接收处置能力及污染事故应急能力。</w:t>
            </w:r>
          </w:p>
          <w:p w14:paraId="063BDE5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7</w:t>
            </w:r>
            <w:r>
              <w:rPr>
                <w:rFonts w:hAnsi="宋体" w:eastAsia="宋体"/>
                <w:color w:val="auto"/>
                <w:kern w:val="2"/>
                <w:sz w:val="21"/>
                <w:highlight w:val="none"/>
                <w:u w:val="none"/>
                <w:lang w:bidi="ar-SA"/>
              </w:rPr>
              <w:t>．</w:t>
            </w:r>
            <w:r>
              <w:rPr>
                <w:rFonts w:hint="eastAsia" w:hAnsi="宋体"/>
                <w:color w:val="auto"/>
                <w:kern w:val="2"/>
                <w:sz w:val="21"/>
                <w:highlight w:val="none"/>
                <w:u w:val="none"/>
                <w:lang w:eastAsia="zh-CN" w:bidi="ar-SA"/>
              </w:rPr>
              <w:t>以</w:t>
            </w:r>
            <w:r>
              <w:rPr>
                <w:rFonts w:hAnsi="宋体" w:eastAsia="宋体"/>
                <w:color w:val="auto"/>
                <w:kern w:val="2"/>
                <w:sz w:val="21"/>
                <w:highlight w:val="none"/>
                <w:u w:val="none"/>
                <w:lang w:bidi="ar-SA"/>
              </w:rPr>
              <w:t>西江航运干线</w:t>
            </w:r>
            <w:r>
              <w:rPr>
                <w:rFonts w:hint="eastAsia" w:hAnsi="宋体"/>
                <w:color w:val="auto"/>
                <w:kern w:val="2"/>
                <w:sz w:val="21"/>
                <w:highlight w:val="none"/>
                <w:u w:val="none"/>
                <w:lang w:eastAsia="zh-CN" w:bidi="ar-SA"/>
              </w:rPr>
              <w:t>为重点，</w:t>
            </w:r>
            <w:r>
              <w:rPr>
                <w:rFonts w:hAnsi="宋体" w:eastAsia="宋体"/>
                <w:color w:val="auto"/>
                <w:kern w:val="2"/>
                <w:sz w:val="21"/>
                <w:highlight w:val="none"/>
                <w:u w:val="none"/>
                <w:lang w:bidi="ar-SA"/>
              </w:rPr>
              <w:t>加快淘汰老旧船舶，鼓励引导高能耗船舶技术改造升级和提前退出。推动新能源、清洁能源动力船舶应用，加快港口供电设施建设，提高船舶岸电设施使用率。</w:t>
            </w:r>
          </w:p>
          <w:p w14:paraId="27ADB14C">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8</w:t>
            </w:r>
            <w:r>
              <w:rPr>
                <w:rFonts w:hAnsi="宋体" w:eastAsia="宋体"/>
                <w:color w:val="auto"/>
                <w:kern w:val="2"/>
                <w:sz w:val="21"/>
                <w:highlight w:val="none"/>
                <w:u w:val="none"/>
                <w:lang w:bidi="ar-SA"/>
              </w:rPr>
              <w:t>．珠江</w:t>
            </w:r>
            <w:r>
              <w:rPr>
                <w:rFonts w:eastAsia="宋体"/>
                <w:color w:val="auto"/>
                <w:kern w:val="2"/>
                <w:sz w:val="21"/>
                <w:highlight w:val="none"/>
                <w:u w:val="none"/>
                <w:lang w:bidi="ar-SA"/>
              </w:rPr>
              <w:t>—</w:t>
            </w:r>
            <w:r>
              <w:rPr>
                <w:rFonts w:hAnsi="宋体" w:eastAsia="宋体"/>
                <w:color w:val="auto"/>
                <w:kern w:val="2"/>
                <w:sz w:val="21"/>
                <w:highlight w:val="none"/>
                <w:u w:val="none"/>
                <w:lang w:bidi="ar-SA"/>
              </w:rPr>
              <w:t>西江经济带城市实施生活污水集中处理设施能力提升全覆盖工程，开展城市污水处理设施差别化精准提标改造。</w:t>
            </w:r>
          </w:p>
        </w:tc>
      </w:tr>
      <w:tr w14:paraId="11DC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987" w:type="dxa"/>
            <w:vMerge w:val="continue"/>
            <w:noWrap w:val="0"/>
            <w:vAlign w:val="center"/>
          </w:tcPr>
          <w:p w14:paraId="42C592D3">
            <w:pPr>
              <w:pStyle w:val="18"/>
              <w:widowControl w:val="0"/>
              <w:jc w:val="both"/>
              <w:rPr>
                <w:rFonts w:eastAsia="宋体"/>
                <w:color w:val="auto"/>
                <w:kern w:val="2"/>
                <w:sz w:val="21"/>
                <w:highlight w:val="none"/>
                <w:u w:val="none"/>
                <w:lang w:bidi="ar-SA"/>
              </w:rPr>
            </w:pPr>
          </w:p>
        </w:tc>
        <w:tc>
          <w:tcPr>
            <w:tcW w:w="1537" w:type="dxa"/>
            <w:vMerge w:val="continue"/>
            <w:noWrap w:val="0"/>
            <w:vAlign w:val="center"/>
          </w:tcPr>
          <w:p w14:paraId="3CA97697">
            <w:pPr>
              <w:pStyle w:val="18"/>
              <w:widowControl w:val="0"/>
              <w:jc w:val="center"/>
              <w:rPr>
                <w:rFonts w:eastAsia="宋体"/>
                <w:color w:val="auto"/>
                <w:kern w:val="2"/>
                <w:sz w:val="21"/>
                <w:highlight w:val="none"/>
                <w:u w:val="none"/>
                <w:lang w:bidi="ar-SA"/>
              </w:rPr>
            </w:pPr>
          </w:p>
        </w:tc>
        <w:tc>
          <w:tcPr>
            <w:tcW w:w="2337" w:type="dxa"/>
            <w:noWrap w:val="0"/>
            <w:vAlign w:val="center"/>
          </w:tcPr>
          <w:p w14:paraId="674FC854">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环境风险防控</w:t>
            </w:r>
          </w:p>
        </w:tc>
        <w:tc>
          <w:tcPr>
            <w:tcW w:w="14454" w:type="dxa"/>
            <w:noWrap w:val="0"/>
            <w:vAlign w:val="center"/>
          </w:tcPr>
          <w:p w14:paraId="6AE74B11">
            <w:pPr>
              <w:pStyle w:val="18"/>
              <w:widowControl w:val="0"/>
              <w:jc w:val="both"/>
              <w:rPr>
                <w:rFonts w:eastAsia="宋体"/>
                <w:color w:val="auto"/>
                <w:kern w:val="2"/>
                <w:sz w:val="21"/>
                <w:highlight w:val="none"/>
                <w:u w:val="none"/>
                <w:lang w:bidi="ar-SA"/>
              </w:rPr>
            </w:pPr>
            <w:r>
              <w:rPr>
                <w:rFonts w:hAnsi="宋体" w:eastAsia="宋体"/>
                <w:color w:val="auto"/>
                <w:kern w:val="2"/>
                <w:sz w:val="21"/>
                <w:highlight w:val="none"/>
                <w:u w:val="none"/>
                <w:lang w:bidi="ar-SA"/>
              </w:rPr>
              <w:t>加强西江沿江水环境风险防控，优化高风险产业布局。完善应急处置物资储备库建设，加强水环境应急救援队伍建设，强化应急演练，重点提高油品、危险化学品泄漏事故应急能力。</w:t>
            </w:r>
          </w:p>
        </w:tc>
      </w:tr>
      <w:tr w14:paraId="0348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1987" w:type="dxa"/>
            <w:vMerge w:val="continue"/>
            <w:noWrap w:val="0"/>
            <w:vAlign w:val="center"/>
          </w:tcPr>
          <w:p w14:paraId="336AEB2C">
            <w:pPr>
              <w:pStyle w:val="18"/>
              <w:widowControl w:val="0"/>
              <w:jc w:val="both"/>
              <w:rPr>
                <w:rFonts w:eastAsia="宋体"/>
                <w:color w:val="auto"/>
                <w:kern w:val="2"/>
                <w:sz w:val="21"/>
                <w:highlight w:val="none"/>
                <w:u w:val="none"/>
                <w:lang w:bidi="ar-SA"/>
              </w:rPr>
            </w:pPr>
          </w:p>
        </w:tc>
        <w:tc>
          <w:tcPr>
            <w:tcW w:w="1537" w:type="dxa"/>
            <w:vMerge w:val="continue"/>
            <w:noWrap w:val="0"/>
            <w:vAlign w:val="center"/>
          </w:tcPr>
          <w:p w14:paraId="6F9B23B1">
            <w:pPr>
              <w:pStyle w:val="18"/>
              <w:widowControl w:val="0"/>
              <w:jc w:val="center"/>
              <w:rPr>
                <w:rFonts w:eastAsia="宋体"/>
                <w:color w:val="auto"/>
                <w:kern w:val="2"/>
                <w:sz w:val="21"/>
                <w:highlight w:val="none"/>
                <w:u w:val="none"/>
                <w:lang w:bidi="ar-SA"/>
              </w:rPr>
            </w:pPr>
          </w:p>
        </w:tc>
        <w:tc>
          <w:tcPr>
            <w:tcW w:w="2337" w:type="dxa"/>
            <w:noWrap w:val="0"/>
            <w:vAlign w:val="center"/>
          </w:tcPr>
          <w:p w14:paraId="7CF8EDF8">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资源开发利用</w:t>
            </w:r>
          </w:p>
          <w:p w14:paraId="01D4F9D3">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效率要求</w:t>
            </w:r>
          </w:p>
        </w:tc>
        <w:tc>
          <w:tcPr>
            <w:tcW w:w="14454" w:type="dxa"/>
            <w:noWrap w:val="0"/>
            <w:vAlign w:val="center"/>
          </w:tcPr>
          <w:p w14:paraId="40AC6207">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加强工业水循环利用。推动钢铁、纺织印染、造纸、石油石化、化工、制革等高耗水企业废水深度处理回用。支持和推动具有经济效益的节水治污技术和示范项目。鼓励一水多用和再生水开发利用，提高企业工业用水回用率。</w:t>
            </w:r>
          </w:p>
          <w:p w14:paraId="33CAB204">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促进再生水利用。逐步完善再生水利用设施，制定工业生产、城市绿化、道路清扫、车辆冲洗、建筑施工以及生态景观等用水优先使用再生水的政策。严格钢铁、火电、化工、制浆造纸、冶炼、印染等建设项目水资源论证，具备再生水使用条件但未充分利用的项目，</w:t>
            </w:r>
            <w:r>
              <w:rPr>
                <w:rFonts w:hAnsi="宋体" w:eastAsia="宋体"/>
                <w:b/>
                <w:bCs/>
                <w:color w:val="auto"/>
                <w:kern w:val="2"/>
                <w:sz w:val="21"/>
                <w:highlight w:val="none"/>
                <w:u w:val="none"/>
                <w:lang w:bidi="ar-SA"/>
              </w:rPr>
              <w:t>不得</w:t>
            </w:r>
            <w:r>
              <w:rPr>
                <w:rFonts w:hAnsi="宋体" w:eastAsia="宋体"/>
                <w:color w:val="auto"/>
                <w:kern w:val="2"/>
                <w:sz w:val="21"/>
                <w:highlight w:val="none"/>
                <w:u w:val="none"/>
                <w:lang w:bidi="ar-SA"/>
              </w:rPr>
              <w:t>批准其新增取水许可。</w:t>
            </w:r>
          </w:p>
        </w:tc>
      </w:tr>
    </w:tbl>
    <w:p w14:paraId="2936FA18">
      <w:pPr>
        <w:widowControl/>
        <w:shd w:val="clear" w:color="auto" w:fill="auto"/>
        <w:jc w:val="left"/>
        <w:rPr>
          <w:rFonts w:ascii="Times New Roman" w:hAnsi="Times New Roman" w:eastAsia="宋体" w:cs="Times New Roman"/>
          <w:color w:val="auto"/>
          <w:szCs w:val="21"/>
          <w:highlight w:val="none"/>
          <w:u w:val="none"/>
        </w:rPr>
      </w:pPr>
      <w:r>
        <w:rPr>
          <w:rFonts w:ascii="Times New Roman" w:hAnsi="Times New Roman" w:eastAsia="宋体" w:cs="Times New Roman"/>
          <w:color w:val="auto"/>
          <w:szCs w:val="21"/>
          <w:highlight w:val="none"/>
          <w:u w:val="none"/>
        </w:rPr>
        <w:br w:type="page"/>
      </w:r>
    </w:p>
    <w:p w14:paraId="45EC2B02">
      <w:pPr>
        <w:pStyle w:val="6"/>
        <w:keepNext/>
        <w:keepLines/>
        <w:pageBreakBefore w:val="0"/>
        <w:widowControl w:val="0"/>
        <w:kinsoku/>
        <w:wordWrap/>
        <w:overflowPunct/>
        <w:topLinePunct w:val="0"/>
        <w:autoSpaceDE/>
        <w:autoSpaceDN/>
        <w:bidi w:val="0"/>
        <w:adjustRightInd w:val="0"/>
        <w:snapToGrid w:val="0"/>
        <w:spacing w:before="156" w:after="156"/>
        <w:jc w:val="both"/>
        <w:textAlignment w:val="auto"/>
        <w:outlineLvl w:val="0"/>
        <w:rPr>
          <w:rFonts w:ascii="黑体" w:hAnsi="黑体" w:eastAsia="黑体"/>
          <w:color w:val="auto"/>
          <w:kern w:val="2"/>
          <w:szCs w:val="30"/>
          <w:highlight w:val="none"/>
          <w:u w:val="none"/>
          <w:lang w:bidi="ar-SA"/>
        </w:rPr>
      </w:pPr>
      <w:bookmarkStart w:id="91" w:name="_Toc15246"/>
      <w:bookmarkStart w:id="92" w:name="_Toc7213"/>
      <w:bookmarkStart w:id="93" w:name="_Toc24321"/>
      <w:bookmarkStart w:id="94" w:name="_Toc6482"/>
      <w:bookmarkStart w:id="95" w:name="_Toc14089"/>
      <w:bookmarkStart w:id="96" w:name="_Toc31726"/>
      <w:bookmarkStart w:id="97" w:name="_Toc23383"/>
      <w:bookmarkStart w:id="98" w:name="_Toc12351"/>
      <w:r>
        <w:rPr>
          <w:rFonts w:ascii="黑体" w:hAnsi="黑体" w:eastAsia="黑体"/>
          <w:color w:val="auto"/>
          <w:kern w:val="2"/>
          <w:szCs w:val="30"/>
          <w:highlight w:val="none"/>
          <w:u w:val="none"/>
          <w:lang w:bidi="ar-SA"/>
        </w:rPr>
        <w:t>2.4桂林国际旅游胜地</w:t>
      </w:r>
      <w:bookmarkEnd w:id="91"/>
      <w:bookmarkEnd w:id="92"/>
      <w:bookmarkEnd w:id="93"/>
      <w:bookmarkEnd w:id="94"/>
      <w:bookmarkEnd w:id="95"/>
      <w:bookmarkEnd w:id="96"/>
      <w:bookmarkEnd w:id="97"/>
      <w:bookmarkEnd w:id="98"/>
    </w:p>
    <w:p w14:paraId="0F1245E6">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黑体" w:hAnsi="Times New Roman" w:eastAsia="黑体" w:cs="Times New Roman"/>
          <w:color w:val="auto"/>
          <w:kern w:val="2"/>
          <w:sz w:val="24"/>
          <w:szCs w:val="24"/>
          <w:highlight w:val="none"/>
          <w:u w:val="none"/>
          <w:lang w:val="en-US" w:eastAsia="zh-CN" w:bidi="ar-SA"/>
        </w:rPr>
      </w:pPr>
      <w:bookmarkStart w:id="99" w:name="_Toc17704"/>
      <w:bookmarkStart w:id="100" w:name="_Toc28888"/>
      <w:bookmarkStart w:id="101" w:name="_Toc16553"/>
      <w:bookmarkStart w:id="102" w:name="_Toc19049"/>
      <w:r>
        <w:rPr>
          <w:rFonts w:ascii="黑体" w:hAnsi="黑体" w:eastAsia="黑体" w:cs="Times New Roman"/>
          <w:color w:val="auto"/>
          <w:kern w:val="2"/>
          <w:sz w:val="24"/>
          <w:szCs w:val="24"/>
          <w:highlight w:val="none"/>
          <w:u w:val="none"/>
          <w:lang w:val="en-US" w:eastAsia="zh-CN" w:bidi="ar-SA"/>
        </w:rPr>
        <w:t>表</w:t>
      </w:r>
      <w:r>
        <w:rPr>
          <w:rFonts w:ascii="黑体" w:hAnsi="Times New Roman" w:eastAsia="黑体" w:cs="Times New Roman"/>
          <w:color w:val="auto"/>
          <w:kern w:val="2"/>
          <w:sz w:val="24"/>
          <w:szCs w:val="24"/>
          <w:highlight w:val="none"/>
          <w:u w:val="none"/>
          <w:lang w:val="en-US" w:eastAsia="zh-CN" w:bidi="ar-SA"/>
        </w:rPr>
        <w:t xml:space="preserve">2.4-1  </w:t>
      </w:r>
      <w:r>
        <w:rPr>
          <w:rFonts w:ascii="黑体" w:hAnsi="黑体" w:eastAsia="黑体" w:cs="Times New Roman"/>
          <w:color w:val="auto"/>
          <w:kern w:val="2"/>
          <w:sz w:val="24"/>
          <w:szCs w:val="24"/>
          <w:highlight w:val="none"/>
          <w:u w:val="none"/>
          <w:lang w:val="en-US" w:eastAsia="zh-CN" w:bidi="ar-SA"/>
        </w:rPr>
        <w:t>桂林国际旅游胜地生态环境准入及管控要求</w:t>
      </w:r>
      <w:bookmarkEnd w:id="99"/>
      <w:bookmarkEnd w:id="100"/>
      <w:bookmarkEnd w:id="101"/>
      <w:bookmarkEnd w:id="10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41"/>
        <w:gridCol w:w="2365"/>
        <w:gridCol w:w="14764"/>
      </w:tblGrid>
      <w:tr w14:paraId="4AD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880" w:type="dxa"/>
            <w:noWrap w:val="0"/>
            <w:vAlign w:val="center"/>
          </w:tcPr>
          <w:p w14:paraId="475E0B53">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适用分区</w:t>
            </w:r>
          </w:p>
        </w:tc>
        <w:tc>
          <w:tcPr>
            <w:tcW w:w="1541" w:type="dxa"/>
            <w:noWrap w:val="0"/>
            <w:vAlign w:val="center"/>
          </w:tcPr>
          <w:p w14:paraId="3D88219E">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适用对象</w:t>
            </w:r>
          </w:p>
        </w:tc>
        <w:tc>
          <w:tcPr>
            <w:tcW w:w="2365" w:type="dxa"/>
            <w:noWrap w:val="0"/>
            <w:vAlign w:val="center"/>
          </w:tcPr>
          <w:p w14:paraId="1E9962EE">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管控要求类别</w:t>
            </w:r>
          </w:p>
        </w:tc>
        <w:tc>
          <w:tcPr>
            <w:tcW w:w="14764" w:type="dxa"/>
            <w:noWrap w:val="0"/>
            <w:vAlign w:val="center"/>
          </w:tcPr>
          <w:p w14:paraId="5A4E45A4">
            <w:pPr>
              <w:pStyle w:val="20"/>
              <w:widowControl w:val="0"/>
              <w:rPr>
                <w:rFonts w:eastAsia="宋体" w:cs="Times New Roman"/>
                <w:color w:val="auto"/>
                <w:kern w:val="2"/>
                <w:szCs w:val="21"/>
                <w:highlight w:val="none"/>
                <w:u w:val="none"/>
                <w:lang w:bidi="ar-SA"/>
              </w:rPr>
            </w:pPr>
            <w:r>
              <w:rPr>
                <w:rFonts w:hAnsi="宋体" w:eastAsia="宋体" w:cs="Times New Roman"/>
                <w:color w:val="auto"/>
                <w:kern w:val="2"/>
                <w:szCs w:val="21"/>
                <w:highlight w:val="none"/>
                <w:u w:val="none"/>
                <w:lang w:bidi="ar-SA"/>
              </w:rPr>
              <w:t>生态环境准入及管控要求</w:t>
            </w:r>
          </w:p>
        </w:tc>
      </w:tr>
      <w:tr w14:paraId="55A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1880" w:type="dxa"/>
            <w:vMerge w:val="restart"/>
            <w:noWrap w:val="0"/>
            <w:vAlign w:val="center"/>
          </w:tcPr>
          <w:p w14:paraId="20436932">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桂林国际旅游胜地全部分区</w:t>
            </w:r>
          </w:p>
        </w:tc>
        <w:tc>
          <w:tcPr>
            <w:tcW w:w="1541" w:type="dxa"/>
            <w:vMerge w:val="restart"/>
            <w:noWrap w:val="0"/>
            <w:vAlign w:val="center"/>
          </w:tcPr>
          <w:p w14:paraId="063B0C7F">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桂林国际旅游胜地（本清单适用于桂林市）</w:t>
            </w:r>
          </w:p>
        </w:tc>
        <w:tc>
          <w:tcPr>
            <w:tcW w:w="2365" w:type="dxa"/>
            <w:noWrap w:val="0"/>
            <w:vAlign w:val="center"/>
          </w:tcPr>
          <w:p w14:paraId="4E0EA38D">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空间布局约束</w:t>
            </w:r>
          </w:p>
        </w:tc>
        <w:tc>
          <w:tcPr>
            <w:tcW w:w="14764" w:type="dxa"/>
            <w:noWrap w:val="0"/>
            <w:vAlign w:val="center"/>
          </w:tcPr>
          <w:p w14:paraId="66AAAD93">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．桂林国际旅游胜地坚持可持续发展创新示范，打造世界一流的山水观光休闲度假旅游目的地和旅游集散地，建设国家生态文明示范区。</w:t>
            </w:r>
          </w:p>
          <w:p w14:paraId="4A24F2A0">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坚持生态优先，以加强生态文明建设和生态环境保护为根本，妥善处理好保护与开发的关系；注重低碳环保和资源、能源集约利用，形成资源节约型和环境友好型的产业结构、发展方式和消费模式，实现生态环境与经济社会的协调可持续发展。</w:t>
            </w:r>
          </w:p>
          <w:p w14:paraId="1E0A0FCE">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．持续推进漓江流域山水林田湖草沙一体化保护和修复，持续推动漓江流域生态环境持续改善、生态系统持续优化、整体功能持续提升。</w:t>
            </w:r>
          </w:p>
          <w:p w14:paraId="33CF94E7">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．漓江流域严格按照《广西壮族自治区漓江流域生态环境保护条例》进行管控。</w:t>
            </w:r>
          </w:p>
          <w:p w14:paraId="6AC9BD75">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．实施漓江流域生态保护和修复提升工程，提升流域水源涵养和水土保持能力。探索建立漓江流域生态环境保护补偿机制。</w:t>
            </w:r>
          </w:p>
        </w:tc>
      </w:tr>
      <w:tr w14:paraId="452A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1880" w:type="dxa"/>
            <w:vMerge w:val="continue"/>
            <w:noWrap w:val="0"/>
            <w:vAlign w:val="center"/>
          </w:tcPr>
          <w:p w14:paraId="67E0B842">
            <w:pPr>
              <w:pStyle w:val="18"/>
              <w:widowControl w:val="0"/>
              <w:jc w:val="center"/>
              <w:rPr>
                <w:rFonts w:eastAsia="宋体"/>
                <w:color w:val="auto"/>
                <w:kern w:val="2"/>
                <w:sz w:val="21"/>
                <w:highlight w:val="none"/>
                <w:u w:val="none"/>
                <w:lang w:bidi="ar-SA"/>
              </w:rPr>
            </w:pPr>
          </w:p>
        </w:tc>
        <w:tc>
          <w:tcPr>
            <w:tcW w:w="1541" w:type="dxa"/>
            <w:vMerge w:val="continue"/>
            <w:noWrap w:val="0"/>
            <w:vAlign w:val="center"/>
          </w:tcPr>
          <w:p w14:paraId="0457A1AB">
            <w:pPr>
              <w:pStyle w:val="18"/>
              <w:widowControl w:val="0"/>
              <w:jc w:val="center"/>
              <w:rPr>
                <w:rFonts w:eastAsia="宋体"/>
                <w:color w:val="auto"/>
                <w:kern w:val="2"/>
                <w:sz w:val="21"/>
                <w:highlight w:val="none"/>
                <w:u w:val="none"/>
                <w:lang w:bidi="ar-SA"/>
              </w:rPr>
            </w:pPr>
          </w:p>
        </w:tc>
        <w:tc>
          <w:tcPr>
            <w:tcW w:w="2365" w:type="dxa"/>
            <w:noWrap w:val="0"/>
            <w:vAlign w:val="center"/>
          </w:tcPr>
          <w:p w14:paraId="7EBADBB9">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污染物排放管控</w:t>
            </w:r>
          </w:p>
        </w:tc>
        <w:tc>
          <w:tcPr>
            <w:tcW w:w="14764" w:type="dxa"/>
            <w:noWrap w:val="0"/>
            <w:vAlign w:val="center"/>
          </w:tcPr>
          <w:p w14:paraId="4D2BDC06">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控制工业开发强度，加强工业园区污水处理设施建设。完善漓江流域工业园区集中式污水处理设施建设；园区集中式污水处理设施总排口安装自动监控系统、视频监控系统，并与生态环境主管部门联网。入园企业要完成清洁化改造，按照</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清污分流、雨污分流</w:t>
            </w:r>
            <w:r>
              <w:rPr>
                <w:rFonts w:hint="eastAsia"/>
                <w:color w:val="auto"/>
                <w:kern w:val="2"/>
                <w:sz w:val="21"/>
                <w:highlight w:val="none"/>
                <w:u w:val="none"/>
                <w:lang w:eastAsia="zh-CN" w:bidi="ar-SA"/>
              </w:rPr>
              <w:t>”</w:t>
            </w:r>
            <w:r>
              <w:rPr>
                <w:rFonts w:hAnsi="宋体" w:eastAsia="宋体"/>
                <w:color w:val="auto"/>
                <w:kern w:val="2"/>
                <w:sz w:val="21"/>
                <w:highlight w:val="none"/>
                <w:u w:val="none"/>
                <w:lang w:bidi="ar-SA"/>
              </w:rPr>
              <w:t>原则，实施废水分类收集、分质处理，园区集中处理达标统一排口外排。</w:t>
            </w:r>
          </w:p>
          <w:p w14:paraId="0786B83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．加强城镇污水处理设施建设及提标改造，全面加强配套管网建设。对新建城区，管网和污水处理设施要与城镇发展同步规划、同步建设，做到雨污分流。</w:t>
            </w:r>
          </w:p>
          <w:p w14:paraId="7D288421">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3</w:t>
            </w:r>
            <w:r>
              <w:rPr>
                <w:rFonts w:hAnsi="宋体" w:eastAsia="宋体"/>
                <w:color w:val="auto"/>
                <w:kern w:val="2"/>
                <w:sz w:val="21"/>
                <w:highlight w:val="none"/>
                <w:u w:val="none"/>
                <w:lang w:bidi="ar-SA"/>
              </w:rPr>
              <w:t>．开展漓江小流域治理。对漓江及其主要支流小流域进行综合治理，改善支流生态环境，提高漓江防洪治涝能力。</w:t>
            </w:r>
          </w:p>
          <w:p w14:paraId="18A011E7">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4</w:t>
            </w:r>
            <w:r>
              <w:rPr>
                <w:rFonts w:hAnsi="宋体" w:eastAsia="宋体"/>
                <w:color w:val="auto"/>
                <w:kern w:val="2"/>
                <w:sz w:val="21"/>
                <w:highlight w:val="none"/>
                <w:u w:val="none"/>
                <w:lang w:bidi="ar-SA"/>
              </w:rPr>
              <w:t>．推进农业农村环境综合整治，加大畜禽养殖业污染治理，控制农业面源污染。</w:t>
            </w:r>
          </w:p>
          <w:p w14:paraId="22B2DBED">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5</w:t>
            </w:r>
            <w:r>
              <w:rPr>
                <w:rFonts w:hAnsi="宋体" w:eastAsia="宋体"/>
                <w:color w:val="auto"/>
                <w:kern w:val="2"/>
                <w:sz w:val="21"/>
                <w:highlight w:val="none"/>
                <w:u w:val="none"/>
                <w:lang w:bidi="ar-SA"/>
              </w:rPr>
              <w:t>．控制船舶污染。建设完善船舶污染物接收处理设施，提高含油污水、化学品洗舱水、船舶垃圾等接收处置能力及污染事故应急能力；依法强制报废超过使用年限的船舶，规范拆船行为；实施漓江游船、排筏节能减排改造提升，提高漓江流域环境质量。</w:t>
            </w:r>
          </w:p>
          <w:p w14:paraId="6F1FDFFB">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6</w:t>
            </w:r>
            <w:r>
              <w:rPr>
                <w:rFonts w:hAnsi="宋体" w:eastAsia="宋体"/>
                <w:color w:val="auto"/>
                <w:kern w:val="2"/>
                <w:sz w:val="21"/>
                <w:highlight w:val="none"/>
                <w:u w:val="none"/>
                <w:lang w:bidi="ar-SA"/>
              </w:rPr>
              <w:t>．推进垃圾分类投放、收集、运输和处理系统建设，加强垃圾无害化资源化处理，推进污泥资源化利用，推动实现垃圾渗滤液全收集全处理。</w:t>
            </w:r>
          </w:p>
        </w:tc>
      </w:tr>
      <w:tr w14:paraId="34AA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880" w:type="dxa"/>
            <w:vMerge w:val="continue"/>
            <w:noWrap w:val="0"/>
            <w:vAlign w:val="center"/>
          </w:tcPr>
          <w:p w14:paraId="48DD9AF9">
            <w:pPr>
              <w:pStyle w:val="18"/>
              <w:widowControl w:val="0"/>
              <w:jc w:val="center"/>
              <w:rPr>
                <w:rFonts w:eastAsia="宋体"/>
                <w:color w:val="auto"/>
                <w:kern w:val="2"/>
                <w:sz w:val="21"/>
                <w:highlight w:val="none"/>
                <w:u w:val="none"/>
                <w:lang w:bidi="ar-SA"/>
              </w:rPr>
            </w:pPr>
          </w:p>
        </w:tc>
        <w:tc>
          <w:tcPr>
            <w:tcW w:w="1541" w:type="dxa"/>
            <w:vMerge w:val="continue"/>
            <w:noWrap w:val="0"/>
            <w:vAlign w:val="center"/>
          </w:tcPr>
          <w:p w14:paraId="0497AD43">
            <w:pPr>
              <w:pStyle w:val="18"/>
              <w:widowControl w:val="0"/>
              <w:jc w:val="center"/>
              <w:rPr>
                <w:rFonts w:eastAsia="宋体"/>
                <w:color w:val="auto"/>
                <w:kern w:val="2"/>
                <w:sz w:val="21"/>
                <w:highlight w:val="none"/>
                <w:u w:val="none"/>
                <w:lang w:bidi="ar-SA"/>
              </w:rPr>
            </w:pPr>
          </w:p>
        </w:tc>
        <w:tc>
          <w:tcPr>
            <w:tcW w:w="2365" w:type="dxa"/>
            <w:noWrap w:val="0"/>
            <w:vAlign w:val="center"/>
          </w:tcPr>
          <w:p w14:paraId="4C7BF227">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环境风险防控</w:t>
            </w:r>
          </w:p>
        </w:tc>
        <w:tc>
          <w:tcPr>
            <w:tcW w:w="14764" w:type="dxa"/>
            <w:noWrap w:val="0"/>
            <w:vAlign w:val="center"/>
          </w:tcPr>
          <w:p w14:paraId="32968118">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1</w:t>
            </w:r>
            <w:r>
              <w:rPr>
                <w:rFonts w:hAnsi="宋体" w:eastAsia="宋体"/>
                <w:color w:val="auto"/>
                <w:kern w:val="2"/>
                <w:sz w:val="21"/>
                <w:highlight w:val="none"/>
                <w:u w:val="none"/>
                <w:lang w:bidi="ar-SA"/>
              </w:rPr>
              <w:t>．</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在漓江干流、支流、水库使用不符合国家规定防污条件的水上运载工具运载油类以及其他有毒有害物品。</w:t>
            </w:r>
          </w:p>
          <w:p w14:paraId="26C2D75E">
            <w:pPr>
              <w:pStyle w:val="18"/>
              <w:widowControl w:val="0"/>
              <w:jc w:val="both"/>
              <w:rPr>
                <w:rFonts w:eastAsia="宋体"/>
                <w:color w:val="auto"/>
                <w:kern w:val="2"/>
                <w:sz w:val="21"/>
                <w:highlight w:val="none"/>
                <w:u w:val="none"/>
                <w:lang w:bidi="ar-SA"/>
              </w:rPr>
            </w:pPr>
            <w:r>
              <w:rPr>
                <w:rFonts w:eastAsia="宋体"/>
                <w:color w:val="auto"/>
                <w:kern w:val="2"/>
                <w:sz w:val="21"/>
                <w:highlight w:val="none"/>
                <w:u w:val="none"/>
                <w:lang w:bidi="ar-SA"/>
              </w:rPr>
              <w:t>2</w:t>
            </w:r>
            <w:r>
              <w:rPr>
                <w:rFonts w:hAnsi="宋体" w:eastAsia="宋体"/>
                <w:color w:val="auto"/>
                <w:kern w:val="2"/>
                <w:sz w:val="21"/>
                <w:highlight w:val="none"/>
                <w:u w:val="none"/>
                <w:lang w:bidi="ar-SA"/>
              </w:rPr>
              <w:t>．</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向漓江源头、干流、支流和水库等水体倾倒矿渣、有毒有害物质、垃圾、农业投入品废弃物以及其他污染水体的废弃物，</w:t>
            </w:r>
            <w:r>
              <w:rPr>
                <w:rFonts w:hAnsi="宋体" w:eastAsia="宋体"/>
                <w:b/>
                <w:bCs/>
                <w:color w:val="auto"/>
                <w:kern w:val="2"/>
                <w:sz w:val="21"/>
                <w:highlight w:val="none"/>
                <w:u w:val="none"/>
                <w:lang w:bidi="ar-SA"/>
              </w:rPr>
              <w:t>禁止</w:t>
            </w:r>
            <w:r>
              <w:rPr>
                <w:rFonts w:hAnsi="宋体" w:eastAsia="宋体"/>
                <w:color w:val="auto"/>
                <w:kern w:val="2"/>
                <w:sz w:val="21"/>
                <w:highlight w:val="none"/>
                <w:u w:val="none"/>
                <w:lang w:bidi="ar-SA"/>
              </w:rPr>
              <w:t>向水体丢弃死亡禽畜动物尸体和排放油类或者含病原体的污水及残液。</w:t>
            </w:r>
          </w:p>
        </w:tc>
      </w:tr>
      <w:tr w14:paraId="785E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80" w:type="dxa"/>
            <w:vMerge w:val="continue"/>
            <w:noWrap w:val="0"/>
            <w:vAlign w:val="center"/>
          </w:tcPr>
          <w:p w14:paraId="5EBD74CC">
            <w:pPr>
              <w:pStyle w:val="18"/>
              <w:widowControl w:val="0"/>
              <w:jc w:val="center"/>
              <w:rPr>
                <w:rFonts w:eastAsia="宋体"/>
                <w:color w:val="auto"/>
                <w:kern w:val="2"/>
                <w:sz w:val="21"/>
                <w:highlight w:val="none"/>
                <w:u w:val="none"/>
                <w:lang w:bidi="ar-SA"/>
              </w:rPr>
            </w:pPr>
          </w:p>
        </w:tc>
        <w:tc>
          <w:tcPr>
            <w:tcW w:w="1541" w:type="dxa"/>
            <w:vMerge w:val="continue"/>
            <w:noWrap w:val="0"/>
            <w:vAlign w:val="center"/>
          </w:tcPr>
          <w:p w14:paraId="15BDDD04">
            <w:pPr>
              <w:pStyle w:val="18"/>
              <w:widowControl w:val="0"/>
              <w:jc w:val="center"/>
              <w:rPr>
                <w:rFonts w:eastAsia="宋体"/>
                <w:color w:val="auto"/>
                <w:kern w:val="2"/>
                <w:sz w:val="21"/>
                <w:highlight w:val="none"/>
                <w:u w:val="none"/>
                <w:lang w:bidi="ar-SA"/>
              </w:rPr>
            </w:pPr>
          </w:p>
        </w:tc>
        <w:tc>
          <w:tcPr>
            <w:tcW w:w="2365" w:type="dxa"/>
            <w:noWrap w:val="0"/>
            <w:vAlign w:val="center"/>
          </w:tcPr>
          <w:p w14:paraId="5B78731C">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资源开发利用</w:t>
            </w:r>
          </w:p>
          <w:p w14:paraId="17506916">
            <w:pPr>
              <w:pStyle w:val="18"/>
              <w:widowControl w:val="0"/>
              <w:jc w:val="center"/>
              <w:rPr>
                <w:rFonts w:eastAsia="宋体"/>
                <w:color w:val="auto"/>
                <w:kern w:val="2"/>
                <w:sz w:val="21"/>
                <w:highlight w:val="none"/>
                <w:u w:val="none"/>
                <w:lang w:bidi="ar-SA"/>
              </w:rPr>
            </w:pPr>
            <w:r>
              <w:rPr>
                <w:rFonts w:hAnsi="宋体" w:eastAsia="宋体"/>
                <w:color w:val="auto"/>
                <w:kern w:val="2"/>
                <w:sz w:val="21"/>
                <w:highlight w:val="none"/>
                <w:u w:val="none"/>
                <w:lang w:bidi="ar-SA"/>
              </w:rPr>
              <w:t>效率要求</w:t>
            </w:r>
          </w:p>
        </w:tc>
        <w:tc>
          <w:tcPr>
            <w:tcW w:w="14764" w:type="dxa"/>
            <w:noWrap w:val="0"/>
            <w:vAlign w:val="center"/>
          </w:tcPr>
          <w:p w14:paraId="05D96CF3">
            <w:pPr>
              <w:pStyle w:val="18"/>
              <w:widowControl w:val="0"/>
              <w:jc w:val="both"/>
              <w:rPr>
                <w:rFonts w:eastAsia="宋体"/>
                <w:color w:val="auto"/>
                <w:kern w:val="2"/>
                <w:sz w:val="21"/>
                <w:highlight w:val="none"/>
                <w:u w:val="none"/>
                <w:lang w:bidi="ar-SA"/>
              </w:rPr>
            </w:pPr>
            <w:r>
              <w:rPr>
                <w:rFonts w:hAnsi="宋体" w:eastAsia="宋体"/>
                <w:color w:val="auto"/>
                <w:kern w:val="2"/>
                <w:sz w:val="21"/>
                <w:highlight w:val="none"/>
                <w:u w:val="none"/>
                <w:lang w:bidi="ar-SA"/>
              </w:rPr>
              <w:t>在地下水超采地区，严格控制开采地下水。在城市供水管网到达的范围，限期关闭自备水井。</w:t>
            </w:r>
          </w:p>
        </w:tc>
      </w:tr>
    </w:tbl>
    <w:p w14:paraId="07FD2297">
      <w:pPr>
        <w:sectPr>
          <w:pgSz w:w="23757" w:h="16783" w:orient="landscape"/>
          <w:pgMar w:top="1800" w:right="1440" w:bottom="1800" w:left="1440" w:header="851" w:footer="1134" w:gutter="0"/>
          <w:cols w:space="720" w:num="1"/>
          <w:docGrid w:type="lines" w:linePitch="312" w:charSpace="0"/>
        </w:sectPr>
      </w:pPr>
    </w:p>
    <w:p w14:paraId="68C3919E">
      <w:pPr>
        <w:pStyle w:val="2"/>
        <w:keepNext w:val="0"/>
        <w:keepLines w:val="0"/>
        <w:pageBreakBefore w:val="0"/>
        <w:widowControl w:val="0"/>
        <w:kinsoku/>
        <w:wordWrap/>
        <w:overflowPunct/>
        <w:topLinePunct w:val="0"/>
        <w:bidi w:val="0"/>
        <w:snapToGrid/>
        <w:spacing w:line="240" w:lineRule="auto"/>
        <w:jc w:val="left"/>
      </w:pPr>
    </w:p>
    <w:sectPr>
      <w:headerReference r:id="rId13" w:type="default"/>
      <w:pgSz w:w="11850" w:h="16840"/>
      <w:pgMar w:top="1440" w:right="1361" w:bottom="1701" w:left="1474" w:header="96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BFBF">
    <w:pPr>
      <w:widowControl w:val="0"/>
      <w:shd w:val="clear" w:color="auto" w:fill="auto"/>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47C236">
                          <w:pPr>
                            <w:widowControl w:val="0"/>
                            <w:shd w:val="clear" w:color="auto" w:fill="auto"/>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1247C236">
                    <w:pPr>
                      <w:widowControl w:val="0"/>
                      <w:shd w:val="clear" w:color="auto" w:fill="auto"/>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753A">
    <w:pPr>
      <w:widowControl w:val="0"/>
      <w:shd w:val="clear" w:color="auto" w:fill="auto"/>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E5488">
                          <w:pPr>
                            <w:widowControl w:val="0"/>
                            <w:shd w:val="clear" w:color="auto" w:fill="auto"/>
                            <w:snapToGrid w:val="0"/>
                            <w:jc w:val="left"/>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29E5488">
                    <w:pPr>
                      <w:widowControl w:val="0"/>
                      <w:shd w:val="clear" w:color="auto" w:fill="auto"/>
                      <w:snapToGrid w:val="0"/>
                      <w:jc w:val="left"/>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BBE8">
    <w:pPr>
      <w:pStyle w:val="8"/>
      <w:rPr>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1019">
    <w:pPr>
      <w:pStyle w:val="8"/>
      <w:rPr>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23BA">
    <w:pPr>
      <w:shd w:val="clear" w:color="auto" w:fill="auto"/>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w:t xml:space="preserve">- </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PAGE   \* MERGEFORMAT</w:instrText>
    </w:r>
    <w:r>
      <w:rPr>
        <w:rFonts w:ascii="Times New Roman" w:hAnsi="Times New Roman" w:eastAsia="宋体" w:cs="Times New Roman"/>
        <w:szCs w:val="21"/>
      </w:rPr>
      <w:fldChar w:fldCharType="separate"/>
    </w:r>
    <w:r>
      <w:rPr>
        <w:rFonts w:ascii="Times New Roman" w:hAnsi="Times New Roman" w:eastAsia="宋体" w:cs="Times New Roman"/>
        <w:szCs w:val="21"/>
        <w:lang w:val="zh-CN"/>
      </w:rPr>
      <w:t>218</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D04B">
    <w:pPr>
      <w:pStyle w:val="8"/>
      <w:ind w:right="280"/>
      <w:jc w:val="right"/>
      <w:rPr>
        <w:rFonts w:ascii="Calibri" w:hAnsi="Calibri" w:eastAsia="宋体"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C4E0CB">
                          <w:pPr>
                            <w:pStyle w:val="8"/>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C4E0CB">
                    <w:pPr>
                      <w:pStyle w:val="8"/>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A1AF">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8DDE">
    <w:pPr>
      <w:pStyle w:val="9"/>
      <w:widowControl w:val="0"/>
      <w:rPr>
        <w:rFonts w:hint="eastAsia" w:ascii="Calibri" w:hAnsi="Calibri" w:eastAsia="宋体" w:cs="Times New Roman"/>
        <w:kern w:val="2"/>
        <w:sz w:val="20"/>
        <w:lang w:eastAsia="zh-CN" w:bidi="ar-SA"/>
      </w:rPr>
    </w:pPr>
    <w:r>
      <w:rPr>
        <w:rFonts w:hint="eastAsia" w:ascii="Calibri" w:hAnsi="Calibri" w:eastAsia="宋体" w:cs="Times New Roman"/>
        <w:kern w:val="2"/>
        <w:sz w:val="20"/>
        <w:lang w:eastAsia="zh-CN" w:bidi="ar-SA"/>
      </w:rPr>
      <w:t>广西壮族自治区生态环境准入清单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55BA">
    <w:pPr>
      <w:pBdr>
        <w:bottom w:val="single" w:color="auto" w:sz="6" w:space="1"/>
      </w:pBdr>
      <w:shd w:val="clear" w:color="auto" w:fill="auto"/>
      <w:tabs>
        <w:tab w:val="center" w:pos="4153"/>
        <w:tab w:val="right" w:pos="8306"/>
      </w:tabs>
      <w:snapToGrid w:val="0"/>
      <w:jc w:val="center"/>
      <w:rPr>
        <w:rFonts w:hint="eastAsia" w:ascii="Calibri" w:hAnsi="Calibri" w:eastAsia="宋体" w:cs="Times New Roman"/>
        <w:sz w:val="20"/>
        <w:szCs w:val="18"/>
        <w:lang w:eastAsia="zh-CN"/>
      </w:rPr>
    </w:pPr>
    <w:r>
      <w:rPr>
        <w:rFonts w:hint="eastAsia" w:ascii="Calibri" w:hAnsi="Calibri" w:eastAsia="宋体" w:cs="Times New Roman"/>
        <w:sz w:val="20"/>
        <w:szCs w:val="18"/>
        <w:lang w:eastAsia="zh-CN"/>
      </w:rPr>
      <w:t>广西壮族自治区生态环境准入及管控要求清单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9403">
    <w:pPr>
      <w:pStyle w:val="9"/>
      <w:widowControl w:val="0"/>
      <w:rPr>
        <w:rFonts w:hint="eastAsia" w:ascii="Calibri" w:hAnsi="Calibri" w:eastAsia="宋体" w:cs="Times New Roman"/>
        <w:kern w:val="2"/>
        <w:lang w:eastAsia="zh-CN" w:bidi="ar-SA"/>
      </w:rPr>
    </w:pPr>
    <w:r>
      <w:rPr>
        <w:rFonts w:hint="eastAsia" w:ascii="Calibri" w:hAnsi="Calibri" w:eastAsia="宋体" w:cs="Times New Roman"/>
        <w:kern w:val="2"/>
        <w:lang w:eastAsia="zh-CN" w:bidi="ar-SA"/>
      </w:rPr>
      <w:t>广西壮族自治区生态环境准入清单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57E4">
    <w:pPr>
      <w:pStyle w:val="9"/>
      <w:widowControl w:val="0"/>
      <w:pBdr>
        <w:bottom w:val="none" w:color="auto" w:sz="0" w:space="1"/>
      </w:pBdr>
      <w:jc w:val="both"/>
      <w:rPr>
        <w:rFonts w:hint="eastAsia" w:ascii="Calibri" w:hAnsi="Calibri" w:eastAsia="宋体" w:cs="Times New Roman"/>
        <w:kern w:val="2"/>
        <w:lang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56A03"/>
    <w:multiLevelType w:val="singleLevel"/>
    <w:tmpl w:val="BDA56A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2YyZTk1NWZhOTUwODI2Y2E1YWI4OTUxN2E1OGYifQ=="/>
  </w:docVars>
  <w:rsids>
    <w:rsidRoot w:val="0D767496"/>
    <w:rsid w:val="0D767496"/>
    <w:rsid w:val="5325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
    <w:pPr>
      <w:keepNext/>
      <w:keepLines/>
      <w:pBdr>
        <w:top w:val="none" w:color="auto" w:sz="0" w:space="0"/>
        <w:left w:val="none" w:color="auto" w:sz="0" w:space="0"/>
        <w:bottom w:val="none" w:color="auto" w:sz="0" w:space="0"/>
        <w:right w:val="none" w:color="auto" w:sz="0" w:space="0"/>
        <w:between w:val="none" w:color="auto" w:sz="0" w:space="0"/>
      </w:pBdr>
      <w:adjustRightInd w:val="0"/>
      <w:snapToGrid w:val="0"/>
      <w:spacing w:beforeLines="50" w:afterLines="50" w:line="300" w:lineRule="auto"/>
      <w:jc w:val="both"/>
      <w:outlineLvl w:val="0"/>
    </w:pPr>
    <w:rPr>
      <w:rFonts w:ascii="Times New Roman" w:hAnsi="Times New Roman" w:eastAsia="黑体"/>
      <w:bCs/>
      <w:kern w:val="44"/>
      <w:sz w:val="32"/>
      <w:szCs w:val="44"/>
      <w:lang w:val="en-US" w:eastAsia="zh-CN"/>
    </w:rPr>
  </w:style>
  <w:style w:type="paragraph" w:styleId="6">
    <w:name w:val="heading 2"/>
    <w:basedOn w:val="1"/>
    <w:next w:val="1"/>
    <w:unhideWhenUsed/>
    <w:qFormat/>
    <w:uiPriority w:val="0"/>
    <w:pPr>
      <w:keepNext/>
      <w:keepLines/>
      <w:pBdr>
        <w:top w:val="none" w:color="auto" w:sz="0" w:space="0"/>
        <w:left w:val="none" w:color="auto" w:sz="0" w:space="0"/>
        <w:bottom w:val="none" w:color="auto" w:sz="0" w:space="0"/>
        <w:right w:val="none" w:color="auto" w:sz="0" w:space="0"/>
        <w:between w:val="none" w:color="auto" w:sz="0" w:space="0"/>
      </w:pBdr>
      <w:adjustRightInd w:val="0"/>
      <w:snapToGrid w:val="0"/>
      <w:spacing w:beforeLines="50" w:afterLines="50" w:line="300" w:lineRule="auto"/>
      <w:jc w:val="both"/>
      <w:outlineLvl w:val="1"/>
    </w:pPr>
    <w:rPr>
      <w:rFonts w:ascii="Times New Roman" w:hAnsi="Times New Roman" w:eastAsia="黑体" w:cs="Times New Roman"/>
      <w:bCs/>
      <w:sz w:val="30"/>
      <w:szCs w:val="32"/>
      <w:lang w:val="en-US" w:eastAsia="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index 6"/>
    <w:basedOn w:val="1"/>
    <w:next w:val="1"/>
    <w:qFormat/>
    <w:uiPriority w:val="0"/>
    <w:pPr>
      <w:ind w:left="2100"/>
      <w:jc w:val="both"/>
    </w:pPr>
    <w:rPr>
      <w:rFonts w:ascii="Times New Roman" w:hAnsi="Times New Roman"/>
      <w:kern w:val="2"/>
      <w:sz w:val="21"/>
      <w:szCs w:val="24"/>
    </w:rPr>
  </w:style>
  <w:style w:type="paragraph" w:styleId="7">
    <w:name w:val="Body Text"/>
    <w:next w:val="1"/>
    <w:qFormat/>
    <w:uiPriority w:val="0"/>
    <w:pPr>
      <w:widowControl w:val="0"/>
      <w:autoSpaceDE w:val="0"/>
      <w:autoSpaceDN w:val="0"/>
      <w:jc w:val="left"/>
    </w:pPr>
    <w:rPr>
      <w:rFonts w:ascii="方正仿宋_GBK" w:hAnsi="方正仿宋_GBK" w:eastAsia="方正仿宋_GBK" w:cs="方正仿宋_GBK"/>
      <w:kern w:val="0"/>
      <w:sz w:val="32"/>
      <w:szCs w:val="32"/>
      <w:lang w:val="zh-CN" w:eastAsia="zh-CN" w:bidi="zh-CN"/>
    </w:rPr>
  </w:style>
  <w:style w:type="paragraph" w:styleId="8">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9">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val="en-US" w:eastAsia="zh-CN"/>
    </w:rPr>
  </w:style>
  <w:style w:type="paragraph" w:styleId="10">
    <w:name w:val="toc 1"/>
    <w:basedOn w:val="1"/>
    <w:next w:val="1"/>
    <w:unhideWhenUsed/>
    <w:qFormat/>
    <w:uiPriority w:val="39"/>
    <w:pPr>
      <w:widowControl/>
      <w:pBdr>
        <w:top w:val="none" w:color="auto" w:sz="0" w:space="0"/>
        <w:left w:val="none" w:color="auto" w:sz="0" w:space="0"/>
        <w:bottom w:val="none" w:color="auto" w:sz="0" w:space="0"/>
        <w:right w:val="none" w:color="auto" w:sz="0" w:space="0"/>
        <w:between w:val="none" w:color="auto" w:sz="0" w:space="0"/>
      </w:pBdr>
      <w:spacing w:after="100" w:line="276" w:lineRule="auto"/>
      <w:jc w:val="left"/>
    </w:pPr>
    <w:rPr>
      <w:kern w:val="0"/>
      <w:sz w:val="22"/>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rPr>
      <w:rFonts w:ascii="Times New Roman" w:hAnsi="Times New Roman" w:eastAsia="仿宋_GB2312" w:cs="Times New Roman"/>
      <w:lang w:bidi="ar-SA"/>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 w:type="table" w:customStyle="1" w:styleId="17">
    <w:name w:val="网格型24"/>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内容"/>
    <w:basedOn w:val="1"/>
    <w:qFormat/>
    <w:uiPriority w:val="0"/>
    <w:pPr>
      <w:pBdr>
        <w:top w:val="none" w:color="auto" w:sz="0" w:space="0"/>
        <w:left w:val="none" w:color="auto" w:sz="0" w:space="0"/>
        <w:bottom w:val="none" w:color="auto" w:sz="0" w:space="0"/>
        <w:right w:val="none" w:color="auto" w:sz="0" w:space="0"/>
        <w:between w:val="none" w:color="auto" w:sz="0" w:space="0"/>
      </w:pBdr>
      <w:adjustRightInd w:val="0"/>
      <w:snapToGrid w:val="0"/>
      <w:jc w:val="both"/>
    </w:pPr>
    <w:rPr>
      <w:rFonts w:ascii="Times New Roman" w:hAnsi="Times New Roman" w:eastAsia="宋体" w:cs="Times New Roman"/>
      <w:szCs w:val="21"/>
      <w:lang w:val="en-US" w:eastAsia="zh-CN"/>
    </w:rPr>
  </w:style>
  <w:style w:type="paragraph" w:styleId="19">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jc w:val="both"/>
    </w:pPr>
    <w:rPr>
      <w:lang w:val="en-US" w:eastAsia="zh-CN"/>
    </w:rPr>
  </w:style>
  <w:style w:type="paragraph" w:customStyle="1" w:styleId="20">
    <w:name w:val="表格首行"/>
    <w:basedOn w:val="21"/>
    <w:qFormat/>
    <w:uiPriority w:val="0"/>
    <w:pPr>
      <w:pBdr>
        <w:top w:val="none" w:color="auto" w:sz="0" w:space="0"/>
        <w:left w:val="none" w:color="auto" w:sz="0" w:space="0"/>
        <w:bottom w:val="none" w:color="auto" w:sz="0" w:space="0"/>
        <w:right w:val="none" w:color="auto" w:sz="0" w:space="0"/>
        <w:between w:val="none" w:color="auto" w:sz="0" w:space="0"/>
      </w:pBdr>
      <w:adjustRightInd w:val="0"/>
      <w:snapToGrid w:val="0"/>
      <w:spacing w:line="240" w:lineRule="auto"/>
      <w:jc w:val="center"/>
    </w:pPr>
    <w:rPr>
      <w:rFonts w:ascii="Times New Roman" w:hAnsi="Times New Roman" w:eastAsia="宋体"/>
      <w:b/>
      <w:sz w:val="21"/>
      <w:lang w:val="en-US" w:eastAsia="zh-CN"/>
    </w:rPr>
  </w:style>
  <w:style w:type="paragraph" w:customStyle="1" w:styleId="21">
    <w:name w:val="样式 样式 样式 首行缩进:  2 字符 + 首行缩进:  2 字符 + 首行缩进:  2 字符"/>
    <w:basedOn w:val="1"/>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rPr>
      <w:rFonts w:ascii="Arial" w:hAnsi="Arial" w:eastAsia="新宋体" w:cs="宋体"/>
      <w:sz w:val="24"/>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26221</Words>
  <Characters>26493</Characters>
  <Lines>0</Lines>
  <Paragraphs>0</Paragraphs>
  <TotalTime>4</TotalTime>
  <ScaleCrop>false</ScaleCrop>
  <LinksUpToDate>false</LinksUpToDate>
  <CharactersWithSpaces>26529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2024-08-13T16:21:00Z</dcterms:created>
  <dc:creator>韦卫华</dc:creator>
  <cp:lastModifiedBy></cp:lastModifiedBy>
  <dcterms:modified xsi:type="dcterms:W3CDTF">2024-08-13T09:41:46Z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808AEFD8FF6A4D2BBF0E2F6B30B17307_12</vt:lpwstr>
  </property>
</Properties>
</file>