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AF8CE8">
      <w:pPr>
        <w:keepNext w:val="0"/>
        <w:keepLines w:val="0"/>
        <w:pageBreakBefore/>
        <w:widowControl w:val="0"/>
        <w:shd w:val="clear" w:color="auto" w:fill="auto"/>
        <w:kinsoku/>
        <w:wordWrap/>
        <w:overflowPunct/>
        <w:topLinePunct w:val="0"/>
        <w:autoSpaceDE/>
        <w:autoSpaceDN/>
        <w:bidi w:val="0"/>
        <w:adjustRightInd w:val="0"/>
        <w:snapToGrid w:val="0"/>
        <w:spacing w:line="600" w:lineRule="exact"/>
        <w:jc w:val="center"/>
        <w:textAlignment w:val="auto"/>
        <w:rPr>
          <w:rFonts w:hint="eastAsia" w:ascii="方正小标宋_GBK" w:hAnsi="方正小标宋_GBK" w:eastAsia="方正小标宋_GBK" w:cs="方正小标宋_GBK"/>
          <w:b w:val="0"/>
          <w:bCs w:val="0"/>
          <w:color w:val="auto"/>
          <w:sz w:val="44"/>
          <w:szCs w:val="44"/>
          <w:highlight w:val="none"/>
          <w:u w:val="none"/>
          <w:lang w:eastAsia="zh-CN"/>
        </w:rPr>
      </w:pPr>
      <w:r>
        <w:rPr>
          <w:rFonts w:hint="eastAsia" w:ascii="方正小标宋_GBK" w:hAnsi="方正小标宋_GBK" w:eastAsia="方正小标宋_GBK" w:cs="方正小标宋_GBK"/>
          <w:b w:val="0"/>
          <w:bCs w:val="0"/>
          <w:color w:val="auto"/>
          <w:sz w:val="44"/>
          <w:szCs w:val="44"/>
          <w:highlight w:val="none"/>
          <w:u w:val="none"/>
          <w:lang w:eastAsia="zh-CN"/>
        </w:rPr>
        <w:t>广西壮族自治区生态环境分区管控</w:t>
      </w:r>
    </w:p>
    <w:p w14:paraId="28CA53F0">
      <w:pPr>
        <w:keepNext w:val="0"/>
        <w:keepLines w:val="0"/>
        <w:pageBreakBefore w:val="0"/>
        <w:widowControl w:val="0"/>
        <w:shd w:val="clear" w:color="auto" w:fill="auto"/>
        <w:kinsoku/>
        <w:wordWrap/>
        <w:overflowPunct/>
        <w:topLinePunct w:val="0"/>
        <w:autoSpaceDE/>
        <w:autoSpaceDN/>
        <w:bidi w:val="0"/>
        <w:adjustRightInd w:val="0"/>
        <w:snapToGrid w:val="0"/>
        <w:spacing w:line="600" w:lineRule="exact"/>
        <w:jc w:val="center"/>
        <w:textAlignment w:val="auto"/>
        <w:rPr>
          <w:rFonts w:hint="eastAsia" w:ascii="方正小标宋_GBK" w:hAnsi="方正小标宋_GBK" w:eastAsia="方正小标宋_GBK" w:cs="方正小标宋_GBK"/>
          <w:b w:val="0"/>
          <w:bCs w:val="0"/>
          <w:color w:val="auto"/>
          <w:sz w:val="44"/>
          <w:szCs w:val="44"/>
          <w:highlight w:val="none"/>
          <w:u w:val="none"/>
          <w:lang w:eastAsia="zh-CN"/>
        </w:rPr>
      </w:pPr>
      <w:r>
        <w:rPr>
          <w:rFonts w:hint="eastAsia" w:ascii="方正小标宋_GBK" w:hAnsi="方正小标宋_GBK" w:eastAsia="方正小标宋_GBK" w:cs="方正小标宋_GBK"/>
          <w:b w:val="0"/>
          <w:bCs w:val="0"/>
          <w:color w:val="auto"/>
          <w:sz w:val="44"/>
          <w:szCs w:val="44"/>
          <w:highlight w:val="none"/>
          <w:u w:val="none"/>
          <w:lang w:eastAsia="zh-CN"/>
        </w:rPr>
        <w:t>动态更新成果（</w:t>
      </w:r>
      <w:r>
        <w:rPr>
          <w:rFonts w:hint="default" w:ascii="Times New Roman" w:hAnsi="Times New Roman" w:eastAsia="方正小标宋_GBK" w:cs="Times New Roman"/>
          <w:b w:val="0"/>
          <w:bCs w:val="0"/>
          <w:color w:val="auto"/>
          <w:sz w:val="44"/>
          <w:szCs w:val="44"/>
          <w:highlight w:val="none"/>
          <w:u w:val="none"/>
          <w:lang w:eastAsia="zh-CN"/>
        </w:rPr>
        <w:t>2023</w:t>
      </w:r>
      <w:r>
        <w:rPr>
          <w:rFonts w:hint="eastAsia" w:ascii="方正小标宋_GBK" w:hAnsi="方正小标宋_GBK" w:eastAsia="方正小标宋_GBK" w:cs="方正小标宋_GBK"/>
          <w:b w:val="0"/>
          <w:bCs w:val="0"/>
          <w:color w:val="auto"/>
          <w:sz w:val="44"/>
          <w:szCs w:val="44"/>
          <w:highlight w:val="none"/>
          <w:u w:val="none"/>
          <w:lang w:eastAsia="zh-CN"/>
        </w:rPr>
        <w:t>年）</w:t>
      </w:r>
    </w:p>
    <w:p w14:paraId="5E18EAB0">
      <w:pPr>
        <w:keepNext w:val="0"/>
        <w:keepLines w:val="0"/>
        <w:pageBreakBefore w:val="0"/>
        <w:widowControl w:val="0"/>
        <w:shd w:val="clear" w:color="auto" w:fill="auto"/>
        <w:kinsoku/>
        <w:wordWrap/>
        <w:overflowPunct/>
        <w:topLinePunct w:val="0"/>
        <w:autoSpaceDE w:val="0"/>
        <w:autoSpaceDN w:val="0"/>
        <w:bidi w:val="0"/>
        <w:adjustRightInd w:val="0"/>
        <w:spacing w:line="600" w:lineRule="exact"/>
        <w:jc w:val="center"/>
        <w:textAlignment w:val="baseline"/>
        <w:rPr>
          <w:rFonts w:hint="eastAsia" w:ascii="方正楷体_GBK" w:hAnsi="方正楷体_GBK" w:eastAsia="方正楷体_GBK" w:cs="方正楷体_GBK"/>
          <w:b w:val="0"/>
          <w:bCs w:val="0"/>
          <w:color w:val="auto"/>
          <w:kern w:val="2"/>
          <w:sz w:val="32"/>
          <w:szCs w:val="32"/>
          <w:highlight w:val="none"/>
          <w:u w:val="none"/>
          <w:lang w:val="en-US" w:eastAsia="zh-CN" w:bidi="ar-SA"/>
        </w:rPr>
      </w:pPr>
    </w:p>
    <w:p w14:paraId="42DC514D">
      <w:pPr>
        <w:keepNext w:val="0"/>
        <w:keepLines w:val="0"/>
        <w:pageBreakBefore w:val="0"/>
        <w:widowControl w:val="0"/>
        <w:shd w:val="clear" w:color="auto" w:fill="auto"/>
        <w:kinsoku/>
        <w:wordWrap/>
        <w:overflowPunct/>
        <w:topLinePunct w:val="0"/>
        <w:bidi w:val="0"/>
        <w:spacing w:line="580" w:lineRule="exact"/>
        <w:ind w:firstLine="640" w:firstLineChars="200"/>
        <w:rPr>
          <w:rFonts w:hint="default" w:ascii="Times New Roman" w:hAnsi="Times New Roman" w:eastAsia="仿宋" w:cs="Times New Roman"/>
          <w:b w:val="0"/>
          <w:i w:val="0"/>
          <w:caps w:val="0"/>
          <w:color w:val="auto"/>
          <w:spacing w:val="0"/>
          <w:w w:val="100"/>
          <w:sz w:val="32"/>
          <w:szCs w:val="32"/>
          <w:highlight w:val="none"/>
          <w:lang w:val="en-US" w:eastAsia="zh-CN" w:bidi="ar"/>
        </w:rPr>
      </w:pPr>
      <w:r>
        <w:rPr>
          <w:rFonts w:hint="default" w:ascii="Times New Roman" w:hAnsi="Times New Roman" w:eastAsia="仿宋" w:cs="Times New Roman"/>
          <w:b w:val="0"/>
          <w:bCs w:val="0"/>
          <w:color w:val="auto"/>
          <w:kern w:val="2"/>
          <w:sz w:val="32"/>
          <w:szCs w:val="32"/>
          <w:lang w:val="en-US" w:eastAsia="zh-CN" w:bidi="ar-SA"/>
        </w:rPr>
        <w:t>根据生态环境部办公厅《关于印发</w:t>
      </w:r>
      <w:r>
        <w:rPr>
          <w:rFonts w:hint="eastAsia" w:ascii="Times New Roman" w:hAnsi="Times New Roman" w:eastAsia="仿宋" w:cs="Times New Roman"/>
          <w:b w:val="0"/>
          <w:bCs w:val="0"/>
          <w:color w:val="auto"/>
          <w:kern w:val="2"/>
          <w:sz w:val="32"/>
          <w:szCs w:val="32"/>
          <w:lang w:val="en-US" w:eastAsia="zh-CN" w:bidi="ar-SA"/>
        </w:rPr>
        <w:t>〈</w:t>
      </w:r>
      <w:r>
        <w:rPr>
          <w:rFonts w:hint="default" w:ascii="Times New Roman" w:hAnsi="Times New Roman" w:eastAsia="仿宋" w:cs="Times New Roman"/>
          <w:b w:val="0"/>
          <w:bCs w:val="0"/>
          <w:color w:val="auto"/>
          <w:kern w:val="2"/>
          <w:sz w:val="32"/>
          <w:szCs w:val="32"/>
          <w:lang w:val="en-US" w:eastAsia="zh-CN" w:bidi="ar-SA"/>
        </w:rPr>
        <w:t>2023年生态环境分区管控成果动态更新工作方案</w:t>
      </w:r>
      <w:r>
        <w:rPr>
          <w:rFonts w:hint="eastAsia" w:ascii="Times New Roman" w:hAnsi="Times New Roman" w:eastAsia="仿宋" w:cs="Times New Roman"/>
          <w:b w:val="0"/>
          <w:bCs w:val="0"/>
          <w:color w:val="auto"/>
          <w:kern w:val="2"/>
          <w:sz w:val="32"/>
          <w:szCs w:val="32"/>
          <w:lang w:val="en-US" w:eastAsia="zh-CN" w:bidi="ar-SA"/>
        </w:rPr>
        <w:t>〉</w:t>
      </w:r>
      <w:r>
        <w:rPr>
          <w:rFonts w:hint="default" w:ascii="Times New Roman" w:hAnsi="Times New Roman" w:eastAsia="仿宋" w:cs="Times New Roman"/>
          <w:b w:val="0"/>
          <w:bCs w:val="0"/>
          <w:color w:val="auto"/>
          <w:kern w:val="2"/>
          <w:sz w:val="32"/>
          <w:szCs w:val="32"/>
          <w:lang w:val="en-US" w:eastAsia="zh-CN" w:bidi="ar-SA"/>
        </w:rPr>
        <w:t>的通知》（环办环评函〔2023〕81号）要求，重点围绕自治区</w:t>
      </w:r>
      <w:r>
        <w:rPr>
          <w:rFonts w:hint="eastAsia" w:ascii="Times New Roman" w:hAnsi="Times New Roman" w:eastAsia="仿宋" w:cs="Times New Roman"/>
          <w:b w:val="0"/>
          <w:bCs w:val="0"/>
          <w:color w:val="auto"/>
          <w:kern w:val="2"/>
          <w:sz w:val="32"/>
          <w:szCs w:val="32"/>
          <w:lang w:val="en-US" w:eastAsia="zh-CN" w:bidi="ar-SA"/>
        </w:rPr>
        <w:t>“</w:t>
      </w:r>
      <w:r>
        <w:rPr>
          <w:rFonts w:hint="default" w:ascii="Times New Roman" w:hAnsi="Times New Roman" w:eastAsia="仿宋" w:cs="Times New Roman"/>
          <w:b w:val="0"/>
          <w:bCs w:val="0"/>
          <w:color w:val="auto"/>
          <w:kern w:val="2"/>
          <w:sz w:val="32"/>
          <w:szCs w:val="32"/>
          <w:lang w:val="en-US" w:eastAsia="zh-CN" w:bidi="ar-SA"/>
        </w:rPr>
        <w:t>三区三线</w:t>
      </w:r>
      <w:r>
        <w:rPr>
          <w:rFonts w:hint="eastAsia" w:ascii="Times New Roman" w:hAnsi="Times New Roman" w:eastAsia="仿宋" w:cs="Times New Roman"/>
          <w:b w:val="0"/>
          <w:bCs w:val="0"/>
          <w:color w:val="auto"/>
          <w:kern w:val="2"/>
          <w:sz w:val="32"/>
          <w:szCs w:val="32"/>
          <w:lang w:val="en-US" w:eastAsia="zh-CN" w:bidi="ar-SA"/>
        </w:rPr>
        <w:t>”</w:t>
      </w:r>
      <w:r>
        <w:rPr>
          <w:rFonts w:hint="default" w:ascii="Times New Roman" w:hAnsi="Times New Roman" w:eastAsia="仿宋" w:cs="Times New Roman"/>
          <w:b w:val="0"/>
          <w:bCs w:val="0"/>
          <w:color w:val="auto"/>
          <w:kern w:val="2"/>
          <w:sz w:val="32"/>
          <w:szCs w:val="32"/>
          <w:lang w:val="en-US" w:eastAsia="zh-CN" w:bidi="ar-SA"/>
        </w:rPr>
        <w:t>划定成果、国家及自治区重大战略规划、</w:t>
      </w:r>
      <w:r>
        <w:rPr>
          <w:rFonts w:hint="eastAsia" w:ascii="Times New Roman" w:hAnsi="Times New Roman" w:eastAsia="仿宋" w:cs="Times New Roman"/>
          <w:b w:val="0"/>
          <w:bCs w:val="0"/>
          <w:color w:val="auto"/>
          <w:kern w:val="2"/>
          <w:sz w:val="32"/>
          <w:szCs w:val="32"/>
          <w:lang w:val="en-US" w:eastAsia="zh-CN" w:bidi="ar-SA"/>
        </w:rPr>
        <w:t>“</w:t>
      </w:r>
      <w:r>
        <w:rPr>
          <w:rFonts w:hint="default" w:ascii="Times New Roman" w:hAnsi="Times New Roman" w:eastAsia="仿宋" w:cs="Times New Roman"/>
          <w:b w:val="0"/>
          <w:bCs w:val="0"/>
          <w:color w:val="auto"/>
          <w:kern w:val="2"/>
          <w:sz w:val="32"/>
          <w:szCs w:val="32"/>
          <w:lang w:val="en-US" w:eastAsia="zh-CN" w:bidi="ar-SA"/>
        </w:rPr>
        <w:t>十四五</w:t>
      </w:r>
      <w:r>
        <w:rPr>
          <w:rFonts w:hint="eastAsia" w:ascii="Times New Roman" w:hAnsi="Times New Roman" w:eastAsia="仿宋" w:cs="Times New Roman"/>
          <w:b w:val="0"/>
          <w:bCs w:val="0"/>
          <w:color w:val="auto"/>
          <w:kern w:val="2"/>
          <w:sz w:val="32"/>
          <w:szCs w:val="32"/>
          <w:lang w:val="en-US" w:eastAsia="zh-CN" w:bidi="ar-SA"/>
        </w:rPr>
        <w:t>”</w:t>
      </w:r>
      <w:r>
        <w:rPr>
          <w:rFonts w:hint="default" w:ascii="Times New Roman" w:hAnsi="Times New Roman" w:eastAsia="仿宋" w:cs="Times New Roman"/>
          <w:b w:val="0"/>
          <w:bCs w:val="0"/>
          <w:color w:val="auto"/>
          <w:kern w:val="2"/>
          <w:sz w:val="32"/>
          <w:szCs w:val="32"/>
          <w:lang w:val="en-US" w:eastAsia="zh-CN" w:bidi="ar-SA"/>
        </w:rPr>
        <w:t>环境质量、能源资源管理目标和要求等，对广西生态环境分区管控成果进行更新调整，建立了更为科学、精准、适宜的生态环境分区管控方案。</w:t>
      </w:r>
      <w:r>
        <w:rPr>
          <w:rFonts w:hint="default" w:ascii="Times New Roman" w:hAnsi="Times New Roman" w:eastAsia="仿宋" w:cs="Times New Roman"/>
          <w:color w:val="auto"/>
          <w:sz w:val="32"/>
          <w:szCs w:val="32"/>
        </w:rPr>
        <w:t>调整后</w:t>
      </w:r>
      <w:r>
        <w:rPr>
          <w:rFonts w:hint="default" w:ascii="Times New Roman" w:hAnsi="Times New Roman" w:eastAsia="仿宋" w:cs="Times New Roman"/>
          <w:color w:val="auto"/>
          <w:sz w:val="32"/>
          <w:szCs w:val="32"/>
          <w:lang w:eastAsia="zh-CN"/>
        </w:rPr>
        <w:t>的</w:t>
      </w:r>
      <w:r>
        <w:rPr>
          <w:rFonts w:hint="default" w:ascii="Times New Roman" w:hAnsi="Times New Roman" w:eastAsia="仿宋" w:cs="Times New Roman"/>
          <w:color w:val="auto"/>
          <w:sz w:val="32"/>
          <w:szCs w:val="32"/>
        </w:rPr>
        <w:t>生态环境分区管控按优先保护、重点管控、一般管控三大类共划定</w:t>
      </w:r>
      <w:r>
        <w:rPr>
          <w:rFonts w:hint="default" w:ascii="Times New Roman" w:hAnsi="Times New Roman" w:eastAsia="仿宋" w:cs="Times New Roman"/>
          <w:color w:val="auto"/>
          <w:sz w:val="32"/>
          <w:szCs w:val="32"/>
          <w:lang w:val="en-US" w:eastAsia="zh-CN"/>
        </w:rPr>
        <w:t>1673</w:t>
      </w:r>
      <w:r>
        <w:rPr>
          <w:rFonts w:hint="default" w:ascii="Times New Roman" w:hAnsi="Times New Roman" w:eastAsia="仿宋" w:cs="Times New Roman"/>
          <w:color w:val="auto"/>
          <w:sz w:val="32"/>
          <w:szCs w:val="32"/>
        </w:rPr>
        <w:t>个环境管控单元</w:t>
      </w:r>
      <w:r>
        <w:rPr>
          <w:rFonts w:hint="default" w:ascii="Times New Roman" w:hAnsi="Times New Roman" w:eastAsia="仿宋" w:cs="Times New Roman"/>
          <w:color w:val="auto"/>
          <w:sz w:val="32"/>
          <w:szCs w:val="32"/>
          <w:lang w:eastAsia="zh-CN"/>
        </w:rPr>
        <w:t>。</w:t>
      </w:r>
      <w:r>
        <w:rPr>
          <w:rFonts w:hint="default" w:ascii="Times New Roman" w:hAnsi="Times New Roman" w:eastAsia="仿宋" w:cs="Times New Roman"/>
          <w:color w:val="auto"/>
          <w:sz w:val="32"/>
          <w:szCs w:val="32"/>
        </w:rPr>
        <w:t>全</w:t>
      </w:r>
      <w:r>
        <w:rPr>
          <w:rFonts w:hint="default" w:ascii="Times New Roman" w:hAnsi="Times New Roman" w:eastAsia="仿宋" w:cs="Times New Roman"/>
          <w:color w:val="auto"/>
          <w:sz w:val="32"/>
          <w:szCs w:val="32"/>
          <w:lang w:eastAsia="zh-CN"/>
        </w:rPr>
        <w:t>区</w:t>
      </w:r>
      <w:r>
        <w:rPr>
          <w:rFonts w:hint="default" w:ascii="Times New Roman" w:hAnsi="Times New Roman" w:eastAsia="仿宋" w:cs="Times New Roman"/>
          <w:b w:val="0"/>
          <w:bCs w:val="0"/>
          <w:color w:val="auto"/>
          <w:sz w:val="32"/>
          <w:szCs w:val="32"/>
          <w:highlight w:val="none"/>
          <w:lang w:val="en-US" w:eastAsia="zh-CN"/>
        </w:rPr>
        <w:t>陆域共</w:t>
      </w:r>
      <w:r>
        <w:rPr>
          <w:rFonts w:hint="default" w:ascii="Times New Roman" w:hAnsi="Times New Roman" w:eastAsia="仿宋" w:cs="Times New Roman"/>
          <w:color w:val="auto"/>
          <w:sz w:val="32"/>
          <w:szCs w:val="32"/>
        </w:rPr>
        <w:t>划分为</w:t>
      </w:r>
      <w:r>
        <w:rPr>
          <w:rFonts w:hint="default" w:ascii="Times New Roman" w:hAnsi="Times New Roman" w:eastAsia="仿宋" w:cs="Times New Roman"/>
          <w:color w:val="auto"/>
          <w:sz w:val="32"/>
          <w:szCs w:val="32"/>
          <w:lang w:val="en-US" w:eastAsia="zh-CN"/>
        </w:rPr>
        <w:t>1461</w:t>
      </w:r>
      <w:r>
        <w:rPr>
          <w:rFonts w:hint="default" w:ascii="Times New Roman" w:hAnsi="Times New Roman" w:eastAsia="仿宋" w:cs="Times New Roman"/>
          <w:color w:val="auto"/>
          <w:sz w:val="32"/>
          <w:szCs w:val="32"/>
        </w:rPr>
        <w:t>个环境管控单元。其中，优先保护单元</w:t>
      </w:r>
      <w:r>
        <w:rPr>
          <w:rFonts w:hint="default" w:ascii="Times New Roman" w:hAnsi="Times New Roman" w:eastAsia="仿宋" w:cs="Times New Roman"/>
          <w:color w:val="auto"/>
          <w:sz w:val="32"/>
          <w:szCs w:val="32"/>
          <w:highlight w:val="none"/>
          <w:lang w:val="en-US" w:eastAsia="zh-CN"/>
        </w:rPr>
        <w:t>831</w:t>
      </w:r>
      <w:r>
        <w:rPr>
          <w:rFonts w:hint="default" w:ascii="Times New Roman" w:hAnsi="Times New Roman" w:eastAsia="仿宋" w:cs="Times New Roman"/>
          <w:color w:val="auto"/>
          <w:sz w:val="32"/>
          <w:szCs w:val="32"/>
        </w:rPr>
        <w:t>个，面积占比47.86%；重点管控单元519个，面积占比</w:t>
      </w:r>
      <w:r>
        <w:rPr>
          <w:rFonts w:hint="default" w:ascii="Times New Roman" w:hAnsi="Times New Roman" w:eastAsia="仿宋" w:cs="Times New Roman"/>
          <w:color w:val="auto"/>
          <w:sz w:val="32"/>
          <w:szCs w:val="32"/>
          <w:highlight w:val="none"/>
          <w:lang w:val="en-US" w:eastAsia="zh-CN"/>
        </w:rPr>
        <w:t>20.12</w:t>
      </w:r>
      <w:r>
        <w:rPr>
          <w:rFonts w:hint="default" w:ascii="Times New Roman" w:hAnsi="Times New Roman" w:eastAsia="仿宋" w:cs="Times New Roman"/>
          <w:color w:val="auto"/>
          <w:sz w:val="32"/>
          <w:szCs w:val="32"/>
        </w:rPr>
        <w:t>%；一般管控单元</w:t>
      </w:r>
      <w:r>
        <w:rPr>
          <w:rFonts w:hint="default" w:ascii="Times New Roman" w:hAnsi="Times New Roman" w:eastAsia="仿宋" w:cs="Times New Roman"/>
          <w:color w:val="auto"/>
          <w:sz w:val="32"/>
          <w:szCs w:val="32"/>
          <w:highlight w:val="none"/>
          <w:lang w:val="en-US" w:eastAsia="zh-CN"/>
        </w:rPr>
        <w:t>111</w:t>
      </w:r>
      <w:r>
        <w:rPr>
          <w:rFonts w:hint="default" w:ascii="Times New Roman" w:hAnsi="Times New Roman" w:eastAsia="仿宋" w:cs="Times New Roman"/>
          <w:color w:val="auto"/>
          <w:sz w:val="32"/>
          <w:szCs w:val="32"/>
        </w:rPr>
        <w:t>个，面积占比32.02</w:t>
      </w:r>
      <w:r>
        <w:rPr>
          <w:rFonts w:hint="eastAsia" w:ascii="Times New Roman" w:hAnsi="Times New Roman" w:eastAsia="仿宋" w:cs="Times New Roman"/>
          <w:color w:val="auto"/>
          <w:sz w:val="32"/>
          <w:szCs w:val="32"/>
          <w:lang w:val="en-US" w:eastAsia="zh-CN"/>
        </w:rPr>
        <w:t xml:space="preserve"> </w:t>
      </w:r>
      <w:r>
        <w:rPr>
          <w:rFonts w:hint="default" w:ascii="Times New Roman" w:hAnsi="Times New Roman" w:eastAsia="仿宋" w:cs="Times New Roman"/>
          <w:color w:val="auto"/>
          <w:sz w:val="32"/>
          <w:szCs w:val="32"/>
        </w:rPr>
        <w:t>%。近岸海域共划</w:t>
      </w:r>
      <w:r>
        <w:rPr>
          <w:rFonts w:hint="default" w:ascii="Times New Roman" w:hAnsi="Times New Roman" w:eastAsia="仿宋" w:cs="Times New Roman"/>
          <w:color w:val="auto"/>
          <w:sz w:val="32"/>
          <w:szCs w:val="32"/>
          <w:lang w:eastAsia="zh-CN"/>
        </w:rPr>
        <w:t>分</w:t>
      </w:r>
      <w:r>
        <w:rPr>
          <w:rFonts w:hint="default" w:ascii="Times New Roman" w:hAnsi="Times New Roman" w:eastAsia="仿宋" w:cs="Times New Roman"/>
          <w:color w:val="auto"/>
          <w:sz w:val="32"/>
          <w:szCs w:val="32"/>
        </w:rPr>
        <w:t>为212个环境管控单元</w:t>
      </w:r>
      <w:r>
        <w:rPr>
          <w:rFonts w:hint="eastAsia" w:ascii="Times New Roman" w:hAnsi="Times New Roman" w:eastAsia="仿宋" w:cs="Times New Roman"/>
          <w:color w:val="auto"/>
          <w:sz w:val="32"/>
          <w:szCs w:val="32"/>
          <w:lang w:eastAsia="zh-CN"/>
        </w:rPr>
        <w:t>。</w:t>
      </w:r>
      <w:r>
        <w:rPr>
          <w:rFonts w:hint="default" w:ascii="Times New Roman" w:hAnsi="Times New Roman" w:eastAsia="仿宋" w:cs="Times New Roman"/>
          <w:color w:val="auto"/>
          <w:sz w:val="32"/>
          <w:szCs w:val="32"/>
          <w:lang w:eastAsia="zh-CN"/>
        </w:rPr>
        <w:t>其中，优先保护单元101个，面积占比12.6</w:t>
      </w:r>
      <w:r>
        <w:rPr>
          <w:rFonts w:hint="eastAsia" w:ascii="Times New Roman" w:hAnsi="Times New Roman" w:eastAsia="仿宋" w:cs="Times New Roman"/>
          <w:color w:val="auto"/>
          <w:sz w:val="32"/>
          <w:szCs w:val="32"/>
          <w:lang w:val="en-US" w:eastAsia="zh-CN"/>
        </w:rPr>
        <w:t>7</w:t>
      </w:r>
      <w:r>
        <w:rPr>
          <w:rFonts w:hint="default" w:ascii="Times New Roman" w:hAnsi="Times New Roman" w:eastAsia="仿宋" w:cs="Times New Roman"/>
          <w:color w:val="auto"/>
          <w:sz w:val="32"/>
          <w:szCs w:val="32"/>
          <w:lang w:eastAsia="zh-CN"/>
        </w:rPr>
        <w:t>%；</w:t>
      </w:r>
      <w:r>
        <w:rPr>
          <w:rFonts w:hint="default" w:ascii="Times New Roman" w:hAnsi="Times New Roman" w:eastAsia="仿宋" w:cs="Times New Roman"/>
          <w:b w:val="0"/>
          <w:i w:val="0"/>
          <w:caps w:val="0"/>
          <w:color w:val="auto"/>
          <w:spacing w:val="0"/>
          <w:w w:val="100"/>
          <w:sz w:val="32"/>
          <w:szCs w:val="32"/>
          <w:highlight w:val="none"/>
          <w:lang w:val="en-US" w:eastAsia="zh-CN" w:bidi="ar"/>
        </w:rPr>
        <w:t>重点管控单元72个，面积占比5.60%；一般管控单元39个，面积占比81.73%。详见广西壮族自治区生态环境分区管控单元更新调整结果表和分类图。</w:t>
      </w:r>
    </w:p>
    <w:p w14:paraId="25A0818A">
      <w:pPr>
        <w:keepNext w:val="0"/>
        <w:keepLines w:val="0"/>
        <w:pageBreakBefore w:val="0"/>
        <w:widowControl w:val="0"/>
        <w:shd w:val="clear" w:color="auto" w:fill="auto"/>
        <w:kinsoku/>
        <w:wordWrap/>
        <w:overflowPunct/>
        <w:topLinePunct w:val="0"/>
        <w:bidi w:val="0"/>
        <w:spacing w:line="580" w:lineRule="exact"/>
        <w:ind w:firstLine="640" w:firstLineChars="200"/>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lang w:val="en-US" w:eastAsia="zh-CN"/>
        </w:rPr>
        <w:t>依据现行的国家、自治区相关法律法规、政策文件等管理要求，更新全区陆域、近岸海域以及四大板块总体</w:t>
      </w:r>
      <w:r>
        <w:rPr>
          <w:rFonts w:hint="eastAsia" w:ascii="Times New Roman" w:hAnsi="Times New Roman" w:eastAsia="仿宋" w:cs="Times New Roman"/>
          <w:color w:val="auto"/>
          <w:sz w:val="32"/>
          <w:szCs w:val="32"/>
          <w:lang w:val="en-US" w:eastAsia="zh-CN"/>
        </w:rPr>
        <w:t>生态环境</w:t>
      </w:r>
      <w:r>
        <w:rPr>
          <w:rFonts w:hint="default" w:ascii="Times New Roman" w:hAnsi="Times New Roman" w:eastAsia="仿宋" w:cs="Times New Roman"/>
          <w:color w:val="auto"/>
          <w:sz w:val="32"/>
          <w:szCs w:val="32"/>
          <w:lang w:val="en-US" w:eastAsia="zh-CN"/>
        </w:rPr>
        <w:t>准入</w:t>
      </w:r>
      <w:r>
        <w:rPr>
          <w:rFonts w:hint="eastAsia" w:ascii="Times New Roman" w:hAnsi="Times New Roman" w:eastAsia="仿宋" w:cs="Times New Roman"/>
          <w:color w:val="auto"/>
          <w:sz w:val="32"/>
          <w:szCs w:val="32"/>
          <w:lang w:val="en-US" w:eastAsia="zh-CN"/>
        </w:rPr>
        <w:t>及管控</w:t>
      </w:r>
      <w:r>
        <w:rPr>
          <w:rFonts w:hint="default" w:ascii="Times New Roman" w:hAnsi="Times New Roman" w:eastAsia="仿宋" w:cs="Times New Roman"/>
          <w:color w:val="auto"/>
          <w:sz w:val="32"/>
          <w:szCs w:val="32"/>
          <w:lang w:val="en-US" w:eastAsia="zh-CN"/>
        </w:rPr>
        <w:t>要求。详见广西壮族自治区生态环境准入清单（2023年）。</w:t>
      </w:r>
    </w:p>
    <w:p w14:paraId="0BA67A3D">
      <w:pPr>
        <w:rPr>
          <w:rFonts w:hint="default" w:ascii="Times New Roman" w:hAnsi="Times New Roman" w:cs="Times New Roman"/>
        </w:rPr>
        <w:sectPr>
          <w:headerReference r:id="rId3" w:type="default"/>
          <w:footerReference r:id="rId4" w:type="default"/>
          <w:pgSz w:w="11906" w:h="16838"/>
          <w:pgMar w:top="1440" w:right="1361" w:bottom="1701" w:left="1474" w:header="1134" w:footer="1304" w:gutter="0"/>
          <w:pgNumType w:fmt="decimal" w:start="3"/>
          <w:cols w:space="720" w:num="1"/>
          <w:docGrid w:type="lines" w:linePitch="312" w:charSpace="0"/>
        </w:sectPr>
      </w:pPr>
    </w:p>
    <w:p w14:paraId="43B87FBB">
      <w:pPr>
        <w:widowControl w:val="0"/>
        <w:shd w:val="clear" w:color="auto" w:fill="auto"/>
        <w:autoSpaceDE w:val="0"/>
        <w:autoSpaceDN w:val="0"/>
        <w:adjustRightInd w:val="0"/>
        <w:jc w:val="both"/>
        <w:textAlignment w:val="baseline"/>
        <w:rPr>
          <w:rFonts w:hint="eastAsia" w:ascii="方正小标宋_GBK" w:hAnsi="方正小标宋_GBK" w:eastAsia="方正小标宋_GBK" w:cs="Times New Roman"/>
          <w:color w:val="000000"/>
          <w:kern w:val="2"/>
          <w:sz w:val="24"/>
          <w:szCs w:val="24"/>
          <w:lang w:val="en-US" w:eastAsia="zh-CN" w:bidi="ar-SA"/>
        </w:rPr>
      </w:pPr>
    </w:p>
    <w:p w14:paraId="50171F78">
      <w:pPr>
        <w:keepNext w:val="0"/>
        <w:keepLines w:val="0"/>
        <w:pageBreakBefore w:val="0"/>
        <w:widowControl w:val="0"/>
        <w:shd w:val="clear" w:color="auto" w:fill="auto"/>
        <w:kinsoku/>
        <w:wordWrap/>
        <w:overflowPunct/>
        <w:topLinePunct w:val="0"/>
        <w:autoSpaceDE w:val="0"/>
        <w:autoSpaceDN w:val="0"/>
        <w:bidi w:val="0"/>
        <w:adjustRightInd w:val="0"/>
        <w:snapToGrid/>
        <w:spacing w:line="580" w:lineRule="exact"/>
        <w:jc w:val="center"/>
        <w:textAlignment w:val="auto"/>
        <w:outlineLvl w:val="9"/>
        <w:rPr>
          <w:rFonts w:ascii="黑体" w:hAnsi="黑体" w:eastAsia="黑体" w:cs="黑体"/>
          <w:color w:val="000000"/>
          <w:sz w:val="32"/>
          <w:szCs w:val="32"/>
          <w:lang w:bidi="ar"/>
        </w:rPr>
      </w:pPr>
      <w:r>
        <w:rPr>
          <w:rFonts w:hint="eastAsia" w:ascii="黑体" w:hAnsi="黑体" w:eastAsia="黑体" w:cs="黑体"/>
          <w:color w:val="000000"/>
          <w:sz w:val="32"/>
          <w:szCs w:val="32"/>
          <w:lang w:bidi="ar"/>
        </w:rPr>
        <w:t>广西壮族自治区</w:t>
      </w:r>
      <w:r>
        <w:rPr>
          <w:rFonts w:hint="eastAsia" w:ascii="黑体" w:hAnsi="黑体" w:eastAsia="黑体" w:cs="黑体"/>
          <w:color w:val="000000"/>
          <w:sz w:val="32"/>
          <w:szCs w:val="32"/>
          <w:highlight w:val="none"/>
          <w:lang w:eastAsia="zh-CN" w:bidi="ar"/>
        </w:rPr>
        <w:t>生态</w:t>
      </w:r>
      <w:r>
        <w:rPr>
          <w:rFonts w:hint="eastAsia" w:ascii="黑体" w:hAnsi="黑体" w:eastAsia="黑体" w:cs="黑体"/>
          <w:color w:val="000000"/>
          <w:sz w:val="32"/>
          <w:szCs w:val="32"/>
          <w:highlight w:val="none"/>
          <w:lang w:bidi="ar"/>
        </w:rPr>
        <w:t>环境</w:t>
      </w:r>
      <w:r>
        <w:rPr>
          <w:rFonts w:hint="eastAsia" w:ascii="黑体" w:hAnsi="黑体" w:eastAsia="黑体" w:cs="黑体"/>
          <w:color w:val="000000"/>
          <w:sz w:val="32"/>
          <w:szCs w:val="32"/>
          <w:highlight w:val="none"/>
          <w:lang w:eastAsia="zh-CN" w:bidi="ar"/>
        </w:rPr>
        <w:t>管控</w:t>
      </w:r>
      <w:r>
        <w:rPr>
          <w:rFonts w:hint="eastAsia" w:ascii="黑体" w:hAnsi="黑体" w:eastAsia="黑体" w:cs="黑体"/>
          <w:color w:val="000000"/>
          <w:sz w:val="32"/>
          <w:szCs w:val="32"/>
          <w:highlight w:val="none"/>
          <w:lang w:bidi="ar"/>
        </w:rPr>
        <w:t>单元</w:t>
      </w:r>
      <w:r>
        <w:rPr>
          <w:rFonts w:hint="eastAsia" w:ascii="黑体" w:hAnsi="黑体" w:eastAsia="黑体" w:cs="黑体"/>
          <w:color w:val="000000"/>
          <w:sz w:val="32"/>
          <w:szCs w:val="32"/>
          <w:highlight w:val="none"/>
          <w:lang w:eastAsia="zh-CN" w:bidi="ar"/>
        </w:rPr>
        <w:t>更新</w:t>
      </w:r>
      <w:r>
        <w:rPr>
          <w:rFonts w:hint="eastAsia" w:ascii="黑体" w:hAnsi="黑体" w:eastAsia="黑体" w:cs="黑体"/>
          <w:color w:val="000000"/>
          <w:sz w:val="32"/>
          <w:szCs w:val="32"/>
          <w:lang w:eastAsia="zh-CN" w:bidi="ar"/>
        </w:rPr>
        <w:t>调整结果</w:t>
      </w:r>
      <w:r>
        <w:rPr>
          <w:rFonts w:hint="eastAsia" w:ascii="黑体" w:hAnsi="黑体" w:eastAsia="黑体" w:cs="黑体"/>
          <w:color w:val="000000"/>
          <w:sz w:val="32"/>
          <w:szCs w:val="32"/>
          <w:lang w:bidi="ar"/>
        </w:rPr>
        <w:t>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3"/>
        <w:gridCol w:w="1300"/>
        <w:gridCol w:w="1350"/>
        <w:gridCol w:w="1155"/>
        <w:gridCol w:w="1204"/>
        <w:gridCol w:w="1286"/>
        <w:gridCol w:w="1035"/>
        <w:gridCol w:w="980"/>
        <w:gridCol w:w="1157"/>
        <w:gridCol w:w="1050"/>
        <w:gridCol w:w="1408"/>
      </w:tblGrid>
      <w:tr w14:paraId="74FBE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13" w:type="dxa"/>
            <w:vMerge w:val="restart"/>
            <w:noWrap w:val="0"/>
            <w:vAlign w:val="center"/>
          </w:tcPr>
          <w:p w14:paraId="282764A4">
            <w:pPr>
              <w:shd w:val="clear" w:color="auto" w:fill="auto"/>
              <w:jc w:val="center"/>
              <w:rPr>
                <w:rFonts w:ascii="Times New Roman" w:hAnsi="Times New Roman" w:eastAsia="宋体" w:cs="Times New Roman"/>
                <w:b/>
                <w:bCs/>
                <w:sz w:val="28"/>
                <w:szCs w:val="28"/>
              </w:rPr>
            </w:pPr>
            <w:r>
              <w:rPr>
                <w:rFonts w:ascii="Times New Roman" w:hAnsi="Times New Roman" w:eastAsia="宋体" w:cs="Times New Roman"/>
                <w:b/>
                <w:bCs/>
                <w:sz w:val="28"/>
                <w:szCs w:val="28"/>
              </w:rPr>
              <w:t>单元类别</w:t>
            </w:r>
          </w:p>
        </w:tc>
        <w:tc>
          <w:tcPr>
            <w:tcW w:w="3805" w:type="dxa"/>
            <w:gridSpan w:val="3"/>
            <w:noWrap w:val="0"/>
            <w:vAlign w:val="center"/>
          </w:tcPr>
          <w:p w14:paraId="7A6B05E5">
            <w:pPr>
              <w:shd w:val="clear" w:color="auto" w:fill="auto"/>
              <w:jc w:val="center"/>
              <w:rPr>
                <w:rFonts w:ascii="Times New Roman" w:hAnsi="Times New Roman" w:eastAsia="宋体" w:cs="Times New Roman"/>
                <w:b/>
                <w:bCs/>
                <w:sz w:val="28"/>
                <w:szCs w:val="28"/>
              </w:rPr>
            </w:pPr>
            <w:r>
              <w:rPr>
                <w:rFonts w:ascii="Times New Roman" w:hAnsi="Times New Roman" w:eastAsia="宋体" w:cs="Times New Roman"/>
                <w:b/>
                <w:bCs/>
                <w:sz w:val="28"/>
                <w:szCs w:val="28"/>
              </w:rPr>
              <w:t>优先保护单元</w:t>
            </w:r>
            <w:r>
              <w:rPr>
                <w:rFonts w:hint="eastAsia" w:ascii="Times New Roman" w:hAnsi="Times New Roman" w:eastAsia="宋体" w:cs="Times New Roman"/>
                <w:b/>
                <w:bCs/>
                <w:sz w:val="28"/>
                <w:szCs w:val="28"/>
                <w:vertAlign w:val="superscript"/>
              </w:rPr>
              <w:t>1,4</w:t>
            </w:r>
          </w:p>
        </w:tc>
        <w:tc>
          <w:tcPr>
            <w:tcW w:w="3525" w:type="dxa"/>
            <w:gridSpan w:val="3"/>
            <w:noWrap w:val="0"/>
            <w:vAlign w:val="center"/>
          </w:tcPr>
          <w:p w14:paraId="0290F61D">
            <w:pPr>
              <w:shd w:val="clear" w:color="auto" w:fill="auto"/>
              <w:jc w:val="center"/>
              <w:rPr>
                <w:rFonts w:ascii="Times New Roman" w:hAnsi="Times New Roman" w:eastAsia="宋体" w:cs="Times New Roman"/>
                <w:b/>
                <w:bCs/>
                <w:sz w:val="28"/>
                <w:szCs w:val="28"/>
              </w:rPr>
            </w:pPr>
            <w:r>
              <w:rPr>
                <w:rFonts w:ascii="Times New Roman" w:hAnsi="Times New Roman" w:eastAsia="宋体" w:cs="Times New Roman"/>
                <w:b/>
                <w:bCs/>
                <w:sz w:val="28"/>
                <w:szCs w:val="28"/>
              </w:rPr>
              <w:t>重点管控单元</w:t>
            </w:r>
            <w:r>
              <w:rPr>
                <w:rFonts w:hint="eastAsia" w:ascii="Times New Roman" w:hAnsi="Times New Roman" w:eastAsia="宋体" w:cs="Times New Roman"/>
                <w:b/>
                <w:bCs/>
                <w:sz w:val="28"/>
                <w:szCs w:val="28"/>
                <w:vertAlign w:val="superscript"/>
              </w:rPr>
              <w:t>5</w:t>
            </w:r>
          </w:p>
        </w:tc>
        <w:tc>
          <w:tcPr>
            <w:tcW w:w="3187" w:type="dxa"/>
            <w:gridSpan w:val="3"/>
            <w:noWrap w:val="0"/>
            <w:vAlign w:val="center"/>
          </w:tcPr>
          <w:p w14:paraId="6471334D">
            <w:pPr>
              <w:shd w:val="clear" w:color="auto" w:fill="auto"/>
              <w:jc w:val="center"/>
              <w:rPr>
                <w:rFonts w:ascii="Times New Roman" w:hAnsi="Times New Roman" w:eastAsia="宋体" w:cs="Times New Roman"/>
                <w:b/>
                <w:bCs/>
                <w:sz w:val="28"/>
                <w:szCs w:val="28"/>
              </w:rPr>
            </w:pPr>
            <w:r>
              <w:rPr>
                <w:rFonts w:ascii="Times New Roman" w:hAnsi="Times New Roman" w:eastAsia="宋体" w:cs="Times New Roman"/>
                <w:b/>
                <w:bCs/>
                <w:sz w:val="28"/>
                <w:szCs w:val="28"/>
              </w:rPr>
              <w:t>一般管控单元</w:t>
            </w:r>
          </w:p>
        </w:tc>
        <w:tc>
          <w:tcPr>
            <w:tcW w:w="1408" w:type="dxa"/>
            <w:vMerge w:val="restart"/>
            <w:noWrap w:val="0"/>
            <w:vAlign w:val="center"/>
          </w:tcPr>
          <w:p w14:paraId="0952C316">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hint="eastAsia" w:ascii="Times New Roman" w:hAnsi="Times New Roman" w:eastAsia="宋体" w:cs="Times New Roman"/>
                <w:b/>
                <w:bCs/>
                <w:sz w:val="28"/>
                <w:szCs w:val="28"/>
                <w:lang w:eastAsia="zh-CN"/>
              </w:rPr>
            </w:pPr>
            <w:r>
              <w:rPr>
                <w:rFonts w:hint="eastAsia" w:ascii="Times New Roman" w:hAnsi="Times New Roman" w:eastAsia="宋体" w:cs="Times New Roman"/>
                <w:b/>
                <w:bCs/>
                <w:sz w:val="28"/>
                <w:szCs w:val="28"/>
                <w:lang w:eastAsia="zh-CN"/>
              </w:rPr>
              <w:t>数量</w:t>
            </w:r>
            <w:r>
              <w:rPr>
                <w:rFonts w:hint="eastAsia" w:ascii="Times New Roman" w:hAnsi="Times New Roman" w:eastAsia="宋体" w:cs="Times New Roman"/>
                <w:b/>
                <w:bCs/>
                <w:sz w:val="28"/>
                <w:szCs w:val="28"/>
              </w:rPr>
              <w:t>总计</w:t>
            </w:r>
            <w:r>
              <w:rPr>
                <w:rFonts w:hint="eastAsia" w:ascii="Times New Roman" w:hAnsi="Times New Roman" w:eastAsia="宋体" w:cs="Times New Roman"/>
                <w:b/>
                <w:bCs/>
                <w:sz w:val="28"/>
                <w:szCs w:val="28"/>
                <w:lang w:eastAsia="zh-CN"/>
              </w:rPr>
              <w:t>（个）</w:t>
            </w:r>
          </w:p>
        </w:tc>
      </w:tr>
      <w:tr w14:paraId="5E948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13" w:type="dxa"/>
            <w:vMerge w:val="continue"/>
            <w:noWrap w:val="0"/>
            <w:vAlign w:val="center"/>
          </w:tcPr>
          <w:p w14:paraId="58EA030C">
            <w:pPr>
              <w:shd w:val="clear" w:color="auto" w:fill="auto"/>
              <w:jc w:val="center"/>
              <w:rPr>
                <w:rFonts w:ascii="Times New Roman" w:hAnsi="Times New Roman" w:eastAsia="宋体" w:cs="Times New Roman"/>
                <w:b/>
                <w:bCs/>
                <w:sz w:val="28"/>
                <w:szCs w:val="28"/>
              </w:rPr>
            </w:pPr>
          </w:p>
        </w:tc>
        <w:tc>
          <w:tcPr>
            <w:tcW w:w="1300" w:type="dxa"/>
            <w:noWrap w:val="0"/>
            <w:vAlign w:val="center"/>
          </w:tcPr>
          <w:p w14:paraId="7D1A2058">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ascii="Times New Roman" w:hAnsi="Times New Roman" w:eastAsia="宋体" w:cs="Times New Roman"/>
                <w:b/>
                <w:bCs/>
                <w:sz w:val="28"/>
                <w:szCs w:val="28"/>
              </w:rPr>
            </w:pPr>
            <w:r>
              <w:rPr>
                <w:rFonts w:hint="eastAsia" w:ascii="Times New Roman" w:hAnsi="Times New Roman" w:eastAsia="宋体" w:cs="Times New Roman"/>
                <w:b/>
                <w:bCs/>
                <w:sz w:val="28"/>
                <w:szCs w:val="28"/>
              </w:rPr>
              <w:t>数量（个）</w:t>
            </w:r>
          </w:p>
        </w:tc>
        <w:tc>
          <w:tcPr>
            <w:tcW w:w="1350" w:type="dxa"/>
            <w:noWrap w:val="0"/>
            <w:vAlign w:val="center"/>
          </w:tcPr>
          <w:p w14:paraId="06652EC8">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hint="eastAsia" w:ascii="Times New Roman" w:hAnsi="Times New Roman" w:eastAsia="宋体" w:cs="Times New Roman"/>
                <w:b/>
                <w:bCs/>
                <w:sz w:val="28"/>
                <w:szCs w:val="28"/>
              </w:rPr>
            </w:pPr>
            <w:r>
              <w:rPr>
                <w:rFonts w:hint="eastAsia" w:ascii="Times New Roman" w:hAnsi="Times New Roman" w:eastAsia="宋体" w:cs="Times New Roman"/>
                <w:b/>
                <w:bCs/>
                <w:sz w:val="28"/>
                <w:szCs w:val="28"/>
              </w:rPr>
              <w:t>面积</w:t>
            </w:r>
          </w:p>
          <w:p w14:paraId="45C589C0">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hint="eastAsia" w:ascii="Times New Roman" w:hAnsi="Times New Roman" w:eastAsia="宋体" w:cs="Times New Roman"/>
                <w:b/>
                <w:bCs/>
                <w:sz w:val="28"/>
                <w:szCs w:val="28"/>
              </w:rPr>
            </w:pPr>
            <w:r>
              <w:rPr>
                <w:rFonts w:hint="eastAsia" w:ascii="Times New Roman" w:hAnsi="Times New Roman" w:eastAsia="宋体" w:cs="Times New Roman"/>
                <w:b/>
                <w:bCs/>
                <w:sz w:val="28"/>
                <w:szCs w:val="28"/>
              </w:rPr>
              <w:t>（km</w:t>
            </w:r>
            <w:r>
              <w:rPr>
                <w:rFonts w:hint="eastAsia" w:ascii="Times New Roman" w:hAnsi="Times New Roman" w:eastAsia="宋体" w:cs="Times New Roman"/>
                <w:b/>
                <w:bCs/>
                <w:sz w:val="28"/>
                <w:szCs w:val="28"/>
                <w:vertAlign w:val="superscript"/>
              </w:rPr>
              <w:t>2</w:t>
            </w:r>
            <w:r>
              <w:rPr>
                <w:rFonts w:hint="eastAsia" w:ascii="Times New Roman" w:hAnsi="Times New Roman" w:eastAsia="宋体" w:cs="Times New Roman"/>
                <w:b/>
                <w:bCs/>
                <w:sz w:val="28"/>
                <w:szCs w:val="28"/>
              </w:rPr>
              <w:t>）</w:t>
            </w:r>
          </w:p>
        </w:tc>
        <w:tc>
          <w:tcPr>
            <w:tcW w:w="1155" w:type="dxa"/>
            <w:noWrap w:val="0"/>
            <w:vAlign w:val="center"/>
          </w:tcPr>
          <w:p w14:paraId="7DAF477C">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hint="eastAsia" w:ascii="Times New Roman" w:hAnsi="Times New Roman" w:eastAsia="宋体" w:cs="Times New Roman"/>
                <w:b/>
                <w:bCs/>
                <w:sz w:val="28"/>
                <w:szCs w:val="28"/>
              </w:rPr>
            </w:pPr>
            <w:r>
              <w:rPr>
                <w:rFonts w:hint="default" w:ascii="Times New Roman" w:hAnsi="Times New Roman" w:eastAsia="宋体" w:cs="Times New Roman"/>
                <w:b/>
                <w:bCs/>
                <w:sz w:val="28"/>
                <w:szCs w:val="28"/>
                <w:lang w:val="en-US" w:eastAsia="zh-CN"/>
              </w:rPr>
              <w:t>占比</w:t>
            </w:r>
            <w:r>
              <w:rPr>
                <w:rFonts w:hint="eastAsia" w:ascii="Times New Roman" w:hAnsi="Times New Roman" w:eastAsia="宋体" w:cs="Times New Roman"/>
                <w:b/>
                <w:bCs/>
                <w:sz w:val="28"/>
                <w:szCs w:val="28"/>
                <w:lang w:val="en-US" w:eastAsia="zh-CN"/>
              </w:rPr>
              <w:t>（</w:t>
            </w:r>
            <w:r>
              <w:rPr>
                <w:rFonts w:hint="default" w:ascii="Times New Roman" w:hAnsi="Times New Roman" w:eastAsia="宋体" w:cs="Times New Roman"/>
                <w:b/>
                <w:bCs/>
                <w:sz w:val="28"/>
                <w:szCs w:val="28"/>
                <w:lang w:val="en-US" w:eastAsia="zh-CN"/>
              </w:rPr>
              <w:t>%</w:t>
            </w:r>
            <w:r>
              <w:rPr>
                <w:rFonts w:hint="eastAsia" w:ascii="Times New Roman" w:hAnsi="Times New Roman" w:eastAsia="宋体" w:cs="Times New Roman"/>
                <w:b/>
                <w:bCs/>
                <w:sz w:val="28"/>
                <w:szCs w:val="28"/>
                <w:lang w:val="en-US" w:eastAsia="zh-CN"/>
              </w:rPr>
              <w:t>）</w:t>
            </w:r>
          </w:p>
        </w:tc>
        <w:tc>
          <w:tcPr>
            <w:tcW w:w="1204" w:type="dxa"/>
            <w:noWrap w:val="0"/>
            <w:vAlign w:val="center"/>
          </w:tcPr>
          <w:p w14:paraId="12F2B3A9">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hint="eastAsia" w:ascii="Times New Roman" w:hAnsi="Times New Roman" w:eastAsia="宋体" w:cs="Times New Roman"/>
                <w:b/>
                <w:bCs/>
                <w:sz w:val="28"/>
                <w:szCs w:val="28"/>
              </w:rPr>
            </w:pPr>
            <w:r>
              <w:rPr>
                <w:rFonts w:hint="eastAsia" w:ascii="Times New Roman" w:hAnsi="Times New Roman" w:eastAsia="宋体" w:cs="Times New Roman"/>
                <w:b/>
                <w:bCs/>
                <w:sz w:val="28"/>
                <w:szCs w:val="28"/>
              </w:rPr>
              <w:t>数量（个）</w:t>
            </w:r>
          </w:p>
        </w:tc>
        <w:tc>
          <w:tcPr>
            <w:tcW w:w="1286" w:type="dxa"/>
            <w:noWrap w:val="0"/>
            <w:vAlign w:val="center"/>
          </w:tcPr>
          <w:p w14:paraId="57809421">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hint="eastAsia" w:ascii="Times New Roman" w:hAnsi="Times New Roman" w:eastAsia="宋体" w:cs="Times New Roman"/>
                <w:b/>
                <w:bCs/>
                <w:sz w:val="28"/>
                <w:szCs w:val="28"/>
              </w:rPr>
            </w:pPr>
            <w:r>
              <w:rPr>
                <w:rFonts w:hint="eastAsia" w:ascii="Times New Roman" w:hAnsi="Times New Roman" w:eastAsia="宋体" w:cs="Times New Roman"/>
                <w:b/>
                <w:bCs/>
                <w:sz w:val="28"/>
                <w:szCs w:val="28"/>
              </w:rPr>
              <w:t>面积</w:t>
            </w:r>
          </w:p>
          <w:p w14:paraId="66EA3A36">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hint="eastAsia" w:ascii="Times New Roman" w:hAnsi="Times New Roman" w:eastAsia="宋体" w:cs="Times New Roman"/>
                <w:b/>
                <w:bCs/>
                <w:sz w:val="28"/>
                <w:szCs w:val="28"/>
              </w:rPr>
            </w:pPr>
            <w:r>
              <w:rPr>
                <w:rFonts w:hint="eastAsia" w:ascii="Times New Roman" w:hAnsi="Times New Roman" w:eastAsia="宋体" w:cs="Times New Roman"/>
                <w:b/>
                <w:bCs/>
                <w:sz w:val="28"/>
                <w:szCs w:val="28"/>
              </w:rPr>
              <w:t>（km</w:t>
            </w:r>
            <w:r>
              <w:rPr>
                <w:rFonts w:hint="eastAsia" w:ascii="Times New Roman" w:hAnsi="Times New Roman" w:eastAsia="宋体" w:cs="Times New Roman"/>
                <w:b/>
                <w:bCs/>
                <w:sz w:val="28"/>
                <w:szCs w:val="28"/>
                <w:vertAlign w:val="superscript"/>
              </w:rPr>
              <w:t>2</w:t>
            </w:r>
            <w:r>
              <w:rPr>
                <w:rFonts w:hint="eastAsia" w:ascii="Times New Roman" w:hAnsi="Times New Roman" w:eastAsia="宋体" w:cs="Times New Roman"/>
                <w:b/>
                <w:bCs/>
                <w:sz w:val="28"/>
                <w:szCs w:val="28"/>
              </w:rPr>
              <w:t>）</w:t>
            </w:r>
          </w:p>
        </w:tc>
        <w:tc>
          <w:tcPr>
            <w:tcW w:w="1035" w:type="dxa"/>
            <w:noWrap w:val="0"/>
            <w:vAlign w:val="center"/>
          </w:tcPr>
          <w:p w14:paraId="0BFCA5CE">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hint="eastAsia" w:ascii="Times New Roman" w:hAnsi="Times New Roman" w:eastAsia="宋体" w:cs="Times New Roman"/>
                <w:b/>
                <w:bCs/>
                <w:sz w:val="28"/>
                <w:szCs w:val="28"/>
              </w:rPr>
            </w:pPr>
            <w:r>
              <w:rPr>
                <w:rFonts w:hint="default" w:ascii="Times New Roman" w:hAnsi="Times New Roman" w:eastAsia="宋体" w:cs="Times New Roman"/>
                <w:b/>
                <w:bCs/>
                <w:sz w:val="28"/>
                <w:szCs w:val="28"/>
                <w:lang w:val="en-US" w:eastAsia="zh-CN"/>
              </w:rPr>
              <w:t>占比</w:t>
            </w:r>
            <w:r>
              <w:rPr>
                <w:rFonts w:hint="eastAsia" w:ascii="Times New Roman" w:hAnsi="Times New Roman" w:eastAsia="宋体" w:cs="Times New Roman"/>
                <w:b/>
                <w:bCs/>
                <w:sz w:val="28"/>
                <w:szCs w:val="28"/>
                <w:lang w:val="en-US" w:eastAsia="zh-CN"/>
              </w:rPr>
              <w:t>（</w:t>
            </w:r>
            <w:r>
              <w:rPr>
                <w:rFonts w:hint="default" w:ascii="Times New Roman" w:hAnsi="Times New Roman" w:eastAsia="宋体" w:cs="Times New Roman"/>
                <w:b/>
                <w:bCs/>
                <w:sz w:val="28"/>
                <w:szCs w:val="28"/>
                <w:lang w:val="en-US" w:eastAsia="zh-CN"/>
              </w:rPr>
              <w:t>%</w:t>
            </w:r>
            <w:r>
              <w:rPr>
                <w:rFonts w:hint="eastAsia" w:ascii="Times New Roman" w:hAnsi="Times New Roman" w:eastAsia="宋体" w:cs="Times New Roman"/>
                <w:b/>
                <w:bCs/>
                <w:sz w:val="28"/>
                <w:szCs w:val="28"/>
                <w:lang w:val="en-US" w:eastAsia="zh-CN"/>
              </w:rPr>
              <w:t>）</w:t>
            </w:r>
          </w:p>
        </w:tc>
        <w:tc>
          <w:tcPr>
            <w:tcW w:w="980" w:type="dxa"/>
            <w:noWrap w:val="0"/>
            <w:vAlign w:val="center"/>
          </w:tcPr>
          <w:p w14:paraId="0AC8D75A">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ascii="Times New Roman" w:hAnsi="Times New Roman" w:eastAsia="宋体" w:cs="Times New Roman"/>
                <w:b/>
                <w:bCs/>
                <w:sz w:val="28"/>
                <w:szCs w:val="28"/>
              </w:rPr>
            </w:pPr>
            <w:r>
              <w:rPr>
                <w:rFonts w:hint="eastAsia" w:ascii="Times New Roman" w:hAnsi="Times New Roman" w:eastAsia="宋体" w:cs="Times New Roman"/>
                <w:b/>
                <w:bCs/>
                <w:sz w:val="28"/>
                <w:szCs w:val="28"/>
              </w:rPr>
              <w:t>数量（个）</w:t>
            </w:r>
          </w:p>
        </w:tc>
        <w:tc>
          <w:tcPr>
            <w:tcW w:w="1157" w:type="dxa"/>
            <w:noWrap w:val="0"/>
            <w:vAlign w:val="center"/>
          </w:tcPr>
          <w:p w14:paraId="2ACA2476">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hint="eastAsia" w:ascii="Times New Roman" w:hAnsi="Times New Roman" w:eastAsia="宋体" w:cs="Times New Roman"/>
                <w:b/>
                <w:bCs/>
                <w:sz w:val="28"/>
                <w:szCs w:val="28"/>
              </w:rPr>
            </w:pPr>
            <w:r>
              <w:rPr>
                <w:rFonts w:hint="eastAsia" w:ascii="Times New Roman" w:hAnsi="Times New Roman" w:eastAsia="宋体" w:cs="Times New Roman"/>
                <w:b/>
                <w:bCs/>
                <w:sz w:val="28"/>
                <w:szCs w:val="28"/>
              </w:rPr>
              <w:t>面积</w:t>
            </w:r>
          </w:p>
          <w:p w14:paraId="066DA95D">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ascii="Times New Roman" w:hAnsi="Times New Roman" w:eastAsia="宋体" w:cs="Times New Roman"/>
                <w:b/>
                <w:bCs/>
                <w:sz w:val="28"/>
                <w:szCs w:val="28"/>
              </w:rPr>
            </w:pPr>
            <w:r>
              <w:rPr>
                <w:rFonts w:hint="eastAsia" w:ascii="Times New Roman" w:hAnsi="Times New Roman" w:eastAsia="宋体" w:cs="Times New Roman"/>
                <w:b/>
                <w:bCs/>
                <w:sz w:val="28"/>
                <w:szCs w:val="28"/>
              </w:rPr>
              <w:t>（km</w:t>
            </w:r>
            <w:r>
              <w:rPr>
                <w:rFonts w:hint="eastAsia" w:ascii="Times New Roman" w:hAnsi="Times New Roman" w:eastAsia="宋体" w:cs="Times New Roman"/>
                <w:b/>
                <w:bCs/>
                <w:sz w:val="28"/>
                <w:szCs w:val="28"/>
                <w:vertAlign w:val="superscript"/>
              </w:rPr>
              <w:t>2</w:t>
            </w:r>
            <w:r>
              <w:rPr>
                <w:rFonts w:hint="eastAsia" w:ascii="Times New Roman" w:hAnsi="Times New Roman" w:eastAsia="宋体" w:cs="Times New Roman"/>
                <w:b/>
                <w:bCs/>
                <w:sz w:val="28"/>
                <w:szCs w:val="28"/>
              </w:rPr>
              <w:t>）</w:t>
            </w:r>
          </w:p>
        </w:tc>
        <w:tc>
          <w:tcPr>
            <w:tcW w:w="1050" w:type="dxa"/>
            <w:noWrap w:val="0"/>
            <w:vAlign w:val="center"/>
          </w:tcPr>
          <w:p w14:paraId="42D27D0D">
            <w:pPr>
              <w:keepNext w:val="0"/>
              <w:keepLines w:val="0"/>
              <w:pageBreakBefore w:val="0"/>
              <w:widowControl w:val="0"/>
              <w:shd w:val="clear" w:color="auto" w:fill="auto"/>
              <w:kinsoku/>
              <w:wordWrap/>
              <w:overflowPunct/>
              <w:topLinePunct w:val="0"/>
              <w:autoSpaceDE/>
              <w:autoSpaceDN/>
              <w:bidi w:val="0"/>
              <w:adjustRightInd w:val="0"/>
              <w:snapToGrid w:val="0"/>
              <w:jc w:val="center"/>
              <w:textAlignment w:val="auto"/>
              <w:rPr>
                <w:rFonts w:ascii="Times New Roman" w:hAnsi="Times New Roman" w:eastAsia="宋体" w:cs="Times New Roman"/>
                <w:b/>
                <w:bCs/>
                <w:sz w:val="28"/>
                <w:szCs w:val="28"/>
              </w:rPr>
            </w:pPr>
            <w:r>
              <w:rPr>
                <w:rFonts w:hint="default" w:ascii="Times New Roman" w:hAnsi="Times New Roman" w:eastAsia="宋体" w:cs="Times New Roman"/>
                <w:b/>
                <w:bCs/>
                <w:sz w:val="28"/>
                <w:szCs w:val="28"/>
                <w:lang w:val="en-US" w:eastAsia="zh-CN"/>
              </w:rPr>
              <w:t>占比</w:t>
            </w:r>
            <w:r>
              <w:rPr>
                <w:rFonts w:hint="eastAsia" w:ascii="Times New Roman" w:hAnsi="Times New Roman" w:eastAsia="宋体" w:cs="Times New Roman"/>
                <w:b/>
                <w:bCs/>
                <w:sz w:val="28"/>
                <w:szCs w:val="28"/>
                <w:lang w:val="en-US" w:eastAsia="zh-CN"/>
              </w:rPr>
              <w:t>（</w:t>
            </w:r>
            <w:r>
              <w:rPr>
                <w:rFonts w:hint="default" w:ascii="Times New Roman" w:hAnsi="Times New Roman" w:eastAsia="宋体" w:cs="Times New Roman"/>
                <w:b/>
                <w:bCs/>
                <w:sz w:val="28"/>
                <w:szCs w:val="28"/>
                <w:lang w:val="en-US" w:eastAsia="zh-CN"/>
              </w:rPr>
              <w:t>%</w:t>
            </w:r>
            <w:r>
              <w:rPr>
                <w:rFonts w:hint="eastAsia" w:ascii="Times New Roman" w:hAnsi="Times New Roman" w:eastAsia="宋体" w:cs="Times New Roman"/>
                <w:b/>
                <w:bCs/>
                <w:sz w:val="28"/>
                <w:szCs w:val="28"/>
                <w:lang w:val="en-US" w:eastAsia="zh-CN"/>
              </w:rPr>
              <w:t>）</w:t>
            </w:r>
          </w:p>
        </w:tc>
        <w:tc>
          <w:tcPr>
            <w:tcW w:w="1408" w:type="dxa"/>
            <w:vMerge w:val="continue"/>
            <w:noWrap w:val="0"/>
            <w:vAlign w:val="center"/>
          </w:tcPr>
          <w:p w14:paraId="4A2E127E">
            <w:pPr>
              <w:shd w:val="clear" w:color="auto" w:fill="auto"/>
              <w:jc w:val="center"/>
              <w:rPr>
                <w:rFonts w:ascii="Times New Roman" w:hAnsi="Times New Roman" w:eastAsia="宋体" w:cs="Times New Roman"/>
                <w:b/>
                <w:bCs/>
                <w:sz w:val="28"/>
                <w:szCs w:val="28"/>
              </w:rPr>
            </w:pPr>
          </w:p>
        </w:tc>
      </w:tr>
      <w:tr w14:paraId="0AC79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13" w:type="dxa"/>
            <w:noWrap w:val="0"/>
            <w:vAlign w:val="center"/>
          </w:tcPr>
          <w:p w14:paraId="68FFCFCB">
            <w:pPr>
              <w:shd w:val="clear" w:color="auto" w:fill="auto"/>
              <w:jc w:val="center"/>
              <w:rPr>
                <w:rFonts w:ascii="Times New Roman" w:hAnsi="Times New Roman" w:eastAsia="宋体" w:cs="Times New Roman"/>
                <w:sz w:val="28"/>
                <w:szCs w:val="28"/>
              </w:rPr>
            </w:pPr>
            <w:r>
              <w:rPr>
                <w:rFonts w:ascii="Times New Roman" w:hAnsi="Times New Roman" w:eastAsia="宋体" w:cs="Times New Roman"/>
                <w:sz w:val="28"/>
                <w:szCs w:val="28"/>
              </w:rPr>
              <w:t>陆域</w:t>
            </w:r>
          </w:p>
        </w:tc>
        <w:tc>
          <w:tcPr>
            <w:tcW w:w="1300" w:type="dxa"/>
            <w:noWrap w:val="0"/>
            <w:vAlign w:val="center"/>
          </w:tcPr>
          <w:p w14:paraId="0294A983">
            <w:pPr>
              <w:shd w:val="clear" w:color="auto" w:fill="auto"/>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831</w:t>
            </w:r>
          </w:p>
        </w:tc>
        <w:tc>
          <w:tcPr>
            <w:tcW w:w="1350" w:type="dxa"/>
            <w:noWrap w:val="0"/>
            <w:vAlign w:val="center"/>
          </w:tcPr>
          <w:p w14:paraId="39F1420D">
            <w:pPr>
              <w:shd w:val="clear" w:color="auto" w:fill="auto"/>
              <w:jc w:val="center"/>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113302</w:t>
            </w:r>
          </w:p>
        </w:tc>
        <w:tc>
          <w:tcPr>
            <w:tcW w:w="1155" w:type="dxa"/>
            <w:noWrap w:val="0"/>
            <w:vAlign w:val="center"/>
          </w:tcPr>
          <w:p w14:paraId="41317B03">
            <w:pPr>
              <w:shd w:val="clear" w:color="auto" w:fill="auto"/>
              <w:jc w:val="center"/>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47.86</w:t>
            </w:r>
          </w:p>
        </w:tc>
        <w:tc>
          <w:tcPr>
            <w:tcW w:w="1204" w:type="dxa"/>
            <w:noWrap w:val="0"/>
            <w:vAlign w:val="center"/>
          </w:tcPr>
          <w:p w14:paraId="48636A9D">
            <w:pPr>
              <w:shd w:val="clear" w:color="auto" w:fill="auto"/>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519</w:t>
            </w:r>
          </w:p>
        </w:tc>
        <w:tc>
          <w:tcPr>
            <w:tcW w:w="1286" w:type="dxa"/>
            <w:noWrap w:val="0"/>
            <w:vAlign w:val="center"/>
          </w:tcPr>
          <w:p w14:paraId="25E71CE5">
            <w:pPr>
              <w:shd w:val="clear" w:color="auto" w:fill="auto"/>
              <w:jc w:val="center"/>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4763</w:t>
            </w:r>
            <w:r>
              <w:rPr>
                <w:rFonts w:hint="eastAsia" w:ascii="Times New Roman" w:hAnsi="Times New Roman" w:eastAsia="宋体" w:cs="Times New Roman"/>
                <w:sz w:val="28"/>
                <w:szCs w:val="28"/>
                <w:lang w:val="en-US" w:eastAsia="zh-CN"/>
              </w:rPr>
              <w:t>1</w:t>
            </w:r>
          </w:p>
        </w:tc>
        <w:tc>
          <w:tcPr>
            <w:tcW w:w="1035" w:type="dxa"/>
            <w:noWrap w:val="0"/>
            <w:vAlign w:val="center"/>
          </w:tcPr>
          <w:p w14:paraId="12181FBA">
            <w:pPr>
              <w:shd w:val="clear" w:color="auto" w:fill="auto"/>
              <w:jc w:val="center"/>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20.12</w:t>
            </w:r>
          </w:p>
        </w:tc>
        <w:tc>
          <w:tcPr>
            <w:tcW w:w="980" w:type="dxa"/>
            <w:noWrap w:val="0"/>
            <w:vAlign w:val="center"/>
          </w:tcPr>
          <w:p w14:paraId="767E8B0D">
            <w:pPr>
              <w:shd w:val="clear" w:color="auto" w:fill="auto"/>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111</w:t>
            </w:r>
          </w:p>
        </w:tc>
        <w:tc>
          <w:tcPr>
            <w:tcW w:w="1157" w:type="dxa"/>
            <w:noWrap w:val="0"/>
            <w:vAlign w:val="center"/>
          </w:tcPr>
          <w:p w14:paraId="54CB5521">
            <w:pPr>
              <w:shd w:val="clear" w:color="auto" w:fill="auto"/>
              <w:jc w:val="center"/>
              <w:rPr>
                <w:rFonts w:hint="eastAsia" w:ascii="Times New Roman" w:hAnsi="Times New Roman" w:eastAsia="宋体" w:cs="Times New Roman"/>
                <w:sz w:val="28"/>
                <w:szCs w:val="28"/>
                <w:lang w:eastAsia="zh-CN"/>
              </w:rPr>
            </w:pPr>
            <w:r>
              <w:rPr>
                <w:rFonts w:hint="eastAsia" w:ascii="Times New Roman" w:hAnsi="Times New Roman" w:eastAsia="宋体" w:cs="Times New Roman"/>
                <w:sz w:val="28"/>
                <w:szCs w:val="28"/>
              </w:rPr>
              <w:t>7579</w:t>
            </w:r>
            <w:r>
              <w:rPr>
                <w:rFonts w:hint="eastAsia" w:ascii="Times New Roman" w:hAnsi="Times New Roman" w:eastAsia="宋体" w:cs="Times New Roman"/>
                <w:sz w:val="28"/>
                <w:szCs w:val="28"/>
                <w:lang w:val="en-US" w:eastAsia="zh-CN"/>
              </w:rPr>
              <w:t>7</w:t>
            </w:r>
          </w:p>
        </w:tc>
        <w:tc>
          <w:tcPr>
            <w:tcW w:w="1050" w:type="dxa"/>
            <w:noWrap w:val="0"/>
            <w:vAlign w:val="center"/>
          </w:tcPr>
          <w:p w14:paraId="5D1FDC2A">
            <w:pPr>
              <w:shd w:val="clear" w:color="auto" w:fill="auto"/>
              <w:jc w:val="center"/>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32.02</w:t>
            </w:r>
          </w:p>
        </w:tc>
        <w:tc>
          <w:tcPr>
            <w:tcW w:w="1408" w:type="dxa"/>
            <w:noWrap w:val="0"/>
            <w:vAlign w:val="center"/>
          </w:tcPr>
          <w:p w14:paraId="6E4F339B">
            <w:pPr>
              <w:shd w:val="clear" w:color="auto" w:fill="auto"/>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1461</w:t>
            </w:r>
          </w:p>
        </w:tc>
      </w:tr>
      <w:tr w14:paraId="09C2C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13" w:type="dxa"/>
            <w:noWrap w:val="0"/>
            <w:vAlign w:val="center"/>
          </w:tcPr>
          <w:p w14:paraId="34A4936B">
            <w:pPr>
              <w:shd w:val="clear" w:color="auto" w:fill="auto"/>
              <w:jc w:val="center"/>
              <w:rPr>
                <w:rFonts w:ascii="Times New Roman" w:hAnsi="Times New Roman" w:eastAsia="宋体" w:cs="Times New Roman"/>
                <w:sz w:val="28"/>
                <w:szCs w:val="28"/>
              </w:rPr>
            </w:pPr>
            <w:r>
              <w:rPr>
                <w:rFonts w:ascii="Times New Roman" w:hAnsi="Times New Roman" w:eastAsia="宋体" w:cs="Times New Roman"/>
                <w:sz w:val="28"/>
                <w:szCs w:val="28"/>
              </w:rPr>
              <w:t>近岸海域</w:t>
            </w:r>
          </w:p>
        </w:tc>
        <w:tc>
          <w:tcPr>
            <w:tcW w:w="1300" w:type="dxa"/>
            <w:noWrap w:val="0"/>
            <w:vAlign w:val="center"/>
          </w:tcPr>
          <w:p w14:paraId="67286A26">
            <w:pPr>
              <w:shd w:val="clear" w:color="auto" w:fill="auto"/>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101</w:t>
            </w:r>
          </w:p>
        </w:tc>
        <w:tc>
          <w:tcPr>
            <w:tcW w:w="1350" w:type="dxa"/>
            <w:noWrap w:val="0"/>
            <w:vAlign w:val="center"/>
          </w:tcPr>
          <w:p w14:paraId="7BFBBC20">
            <w:pPr>
              <w:shd w:val="clear" w:color="auto" w:fill="auto"/>
              <w:jc w:val="center"/>
              <w:rPr>
                <w:rFonts w:hint="default"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eastAsia="zh-CN"/>
              </w:rPr>
              <w:t>1711</w:t>
            </w:r>
          </w:p>
        </w:tc>
        <w:tc>
          <w:tcPr>
            <w:tcW w:w="1155" w:type="dxa"/>
            <w:noWrap w:val="0"/>
            <w:vAlign w:val="center"/>
          </w:tcPr>
          <w:p w14:paraId="55799B2C">
            <w:pPr>
              <w:shd w:val="clear" w:color="auto" w:fill="auto"/>
              <w:jc w:val="center"/>
              <w:rPr>
                <w:rFonts w:hint="eastAsia" w:ascii="Times New Roman" w:hAnsi="Times New Roman" w:eastAsia="宋体" w:cs="Times New Roman"/>
                <w:sz w:val="28"/>
                <w:szCs w:val="28"/>
                <w:lang w:eastAsia="zh-CN"/>
              </w:rPr>
            </w:pPr>
            <w:r>
              <w:rPr>
                <w:rFonts w:hint="eastAsia" w:ascii="Times New Roman" w:hAnsi="Times New Roman" w:eastAsia="宋体" w:cs="Times New Roman"/>
                <w:sz w:val="28"/>
                <w:szCs w:val="28"/>
              </w:rPr>
              <w:t>12.6</w:t>
            </w:r>
            <w:r>
              <w:rPr>
                <w:rFonts w:hint="eastAsia" w:ascii="Times New Roman" w:hAnsi="Times New Roman" w:cs="Times New Roman"/>
                <w:sz w:val="28"/>
                <w:szCs w:val="28"/>
                <w:lang w:val="en-US" w:eastAsia="zh-CN"/>
              </w:rPr>
              <w:t>7</w:t>
            </w:r>
          </w:p>
        </w:tc>
        <w:tc>
          <w:tcPr>
            <w:tcW w:w="1204" w:type="dxa"/>
            <w:noWrap w:val="0"/>
            <w:vAlign w:val="center"/>
          </w:tcPr>
          <w:p w14:paraId="737F334B">
            <w:pPr>
              <w:shd w:val="clear" w:color="auto" w:fill="auto"/>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72</w:t>
            </w:r>
          </w:p>
        </w:tc>
        <w:tc>
          <w:tcPr>
            <w:tcW w:w="1286" w:type="dxa"/>
            <w:noWrap w:val="0"/>
            <w:vAlign w:val="center"/>
          </w:tcPr>
          <w:p w14:paraId="4BA746A8">
            <w:pPr>
              <w:shd w:val="clear" w:color="auto" w:fill="auto"/>
              <w:jc w:val="center"/>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757</w:t>
            </w:r>
          </w:p>
        </w:tc>
        <w:tc>
          <w:tcPr>
            <w:tcW w:w="1035" w:type="dxa"/>
            <w:noWrap w:val="0"/>
            <w:vAlign w:val="center"/>
          </w:tcPr>
          <w:p w14:paraId="78306ED6">
            <w:pPr>
              <w:shd w:val="clear" w:color="auto" w:fill="auto"/>
              <w:jc w:val="center"/>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5.60</w:t>
            </w:r>
          </w:p>
        </w:tc>
        <w:tc>
          <w:tcPr>
            <w:tcW w:w="980" w:type="dxa"/>
            <w:noWrap w:val="0"/>
            <w:vAlign w:val="center"/>
          </w:tcPr>
          <w:p w14:paraId="7A663054">
            <w:pPr>
              <w:shd w:val="clear" w:color="auto" w:fill="auto"/>
              <w:jc w:val="center"/>
              <w:rPr>
                <w:rFonts w:ascii="Times New Roman" w:hAnsi="Times New Roman" w:eastAsia="宋体" w:cs="Times New Roman"/>
                <w:sz w:val="28"/>
                <w:szCs w:val="28"/>
              </w:rPr>
            </w:pPr>
            <w:r>
              <w:rPr>
                <w:rFonts w:ascii="Times New Roman" w:hAnsi="Times New Roman" w:eastAsia="宋体" w:cs="Times New Roman"/>
                <w:sz w:val="28"/>
                <w:szCs w:val="28"/>
              </w:rPr>
              <w:t>39</w:t>
            </w:r>
          </w:p>
        </w:tc>
        <w:tc>
          <w:tcPr>
            <w:tcW w:w="1157" w:type="dxa"/>
            <w:noWrap w:val="0"/>
            <w:vAlign w:val="center"/>
          </w:tcPr>
          <w:p w14:paraId="4DA19D4B">
            <w:pPr>
              <w:shd w:val="clear" w:color="auto" w:fill="auto"/>
              <w:jc w:val="center"/>
              <w:rPr>
                <w:rFonts w:hint="eastAsia" w:ascii="Times New Roman" w:hAnsi="Times New Roman" w:eastAsia="宋体" w:cs="Times New Roman"/>
                <w:sz w:val="28"/>
                <w:szCs w:val="28"/>
                <w:lang w:eastAsia="zh-CN"/>
              </w:rPr>
            </w:pPr>
            <w:r>
              <w:rPr>
                <w:rFonts w:hint="eastAsia" w:ascii="Times New Roman" w:hAnsi="Times New Roman" w:eastAsia="宋体" w:cs="Times New Roman"/>
                <w:sz w:val="28"/>
                <w:szCs w:val="28"/>
              </w:rPr>
              <w:t>1104</w:t>
            </w:r>
            <w:r>
              <w:rPr>
                <w:rFonts w:hint="eastAsia" w:ascii="Times New Roman" w:hAnsi="Times New Roman" w:eastAsia="宋体" w:cs="Times New Roman"/>
                <w:sz w:val="28"/>
                <w:szCs w:val="28"/>
                <w:lang w:val="en-US" w:eastAsia="zh-CN"/>
              </w:rPr>
              <w:t>3</w:t>
            </w:r>
          </w:p>
        </w:tc>
        <w:tc>
          <w:tcPr>
            <w:tcW w:w="1050" w:type="dxa"/>
            <w:noWrap w:val="0"/>
            <w:vAlign w:val="center"/>
          </w:tcPr>
          <w:p w14:paraId="45DE3910">
            <w:pPr>
              <w:shd w:val="clear" w:color="auto" w:fill="auto"/>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81.73</w:t>
            </w:r>
          </w:p>
        </w:tc>
        <w:tc>
          <w:tcPr>
            <w:tcW w:w="1408" w:type="dxa"/>
            <w:noWrap w:val="0"/>
            <w:vAlign w:val="center"/>
          </w:tcPr>
          <w:p w14:paraId="0C6B49D5">
            <w:pPr>
              <w:shd w:val="clear" w:color="auto" w:fill="auto"/>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212</w:t>
            </w:r>
          </w:p>
        </w:tc>
      </w:tr>
      <w:tr w14:paraId="56FAF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13" w:type="dxa"/>
            <w:noWrap w:val="0"/>
            <w:vAlign w:val="center"/>
          </w:tcPr>
          <w:p w14:paraId="282ADBDC">
            <w:pPr>
              <w:shd w:val="clear" w:color="auto" w:fill="auto"/>
              <w:jc w:val="center"/>
              <w:rPr>
                <w:rFonts w:ascii="Times New Roman" w:hAnsi="Times New Roman" w:eastAsia="宋体" w:cs="Times New Roman"/>
                <w:sz w:val="28"/>
                <w:szCs w:val="28"/>
              </w:rPr>
            </w:pPr>
            <w:r>
              <w:rPr>
                <w:rFonts w:ascii="Times New Roman" w:hAnsi="Times New Roman" w:eastAsia="宋体" w:cs="Times New Roman"/>
                <w:sz w:val="28"/>
                <w:szCs w:val="28"/>
              </w:rPr>
              <w:t>合计</w:t>
            </w:r>
          </w:p>
        </w:tc>
        <w:tc>
          <w:tcPr>
            <w:tcW w:w="1300" w:type="dxa"/>
            <w:noWrap w:val="0"/>
            <w:vAlign w:val="center"/>
          </w:tcPr>
          <w:p w14:paraId="254A160C">
            <w:pPr>
              <w:shd w:val="clear" w:color="auto" w:fill="auto"/>
              <w:jc w:val="center"/>
              <w:rPr>
                <w:rFonts w:hint="default" w:ascii="Times New Roman" w:hAnsi="Times New Roman" w:eastAsia="宋体" w:cs="Times New Roman"/>
                <w:sz w:val="28"/>
                <w:szCs w:val="28"/>
                <w:lang w:val="en-US" w:eastAsia="zh-CN"/>
              </w:rPr>
            </w:pPr>
            <w:r>
              <w:rPr>
                <w:rFonts w:ascii="Times New Roman" w:hAnsi="Times New Roman" w:eastAsia="宋体" w:cs="Times New Roman"/>
                <w:sz w:val="28"/>
                <w:szCs w:val="28"/>
              </w:rPr>
              <w:t>9</w:t>
            </w:r>
            <w:r>
              <w:rPr>
                <w:rFonts w:hint="eastAsia" w:ascii="Times New Roman" w:hAnsi="Times New Roman" w:eastAsia="宋体" w:cs="Times New Roman"/>
                <w:sz w:val="28"/>
                <w:szCs w:val="28"/>
                <w:lang w:val="en-US" w:eastAsia="zh-CN"/>
              </w:rPr>
              <w:t>32</w:t>
            </w:r>
          </w:p>
        </w:tc>
        <w:tc>
          <w:tcPr>
            <w:tcW w:w="1350" w:type="dxa"/>
            <w:noWrap w:val="0"/>
            <w:vAlign w:val="center"/>
          </w:tcPr>
          <w:p w14:paraId="3826DB22">
            <w:pPr>
              <w:shd w:val="clear" w:color="auto" w:fill="auto"/>
              <w:jc w:val="center"/>
              <w:rPr>
                <w:rFonts w:hint="eastAsia"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w:t>
            </w:r>
          </w:p>
        </w:tc>
        <w:tc>
          <w:tcPr>
            <w:tcW w:w="1155" w:type="dxa"/>
            <w:noWrap w:val="0"/>
            <w:vAlign w:val="center"/>
          </w:tcPr>
          <w:p w14:paraId="44FEF7E5">
            <w:pPr>
              <w:shd w:val="clear" w:color="auto" w:fill="auto"/>
              <w:jc w:val="center"/>
              <w:rPr>
                <w:rFonts w:hint="eastAsia"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w:t>
            </w:r>
          </w:p>
        </w:tc>
        <w:tc>
          <w:tcPr>
            <w:tcW w:w="1204" w:type="dxa"/>
            <w:noWrap w:val="0"/>
            <w:vAlign w:val="center"/>
          </w:tcPr>
          <w:p w14:paraId="13AD74BA">
            <w:pPr>
              <w:shd w:val="clear" w:color="auto" w:fill="auto"/>
              <w:jc w:val="center"/>
              <w:rPr>
                <w:rFonts w:hint="default"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591</w:t>
            </w:r>
          </w:p>
        </w:tc>
        <w:tc>
          <w:tcPr>
            <w:tcW w:w="1286" w:type="dxa"/>
            <w:noWrap w:val="0"/>
            <w:vAlign w:val="center"/>
          </w:tcPr>
          <w:p w14:paraId="73AAE7CB">
            <w:pPr>
              <w:shd w:val="clear" w:color="auto" w:fill="auto"/>
              <w:jc w:val="center"/>
              <w:rPr>
                <w:rFonts w:hint="default"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w:t>
            </w:r>
          </w:p>
        </w:tc>
        <w:tc>
          <w:tcPr>
            <w:tcW w:w="1035" w:type="dxa"/>
            <w:noWrap w:val="0"/>
            <w:vAlign w:val="center"/>
          </w:tcPr>
          <w:p w14:paraId="0D48305E">
            <w:pPr>
              <w:shd w:val="clear" w:color="auto" w:fill="auto"/>
              <w:jc w:val="center"/>
              <w:rPr>
                <w:rFonts w:hint="default"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w:t>
            </w:r>
          </w:p>
        </w:tc>
        <w:tc>
          <w:tcPr>
            <w:tcW w:w="980" w:type="dxa"/>
            <w:noWrap w:val="0"/>
            <w:vAlign w:val="center"/>
          </w:tcPr>
          <w:p w14:paraId="27559555">
            <w:pPr>
              <w:shd w:val="clear" w:color="auto" w:fill="auto"/>
              <w:jc w:val="center"/>
              <w:rPr>
                <w:rFonts w:hint="default" w:ascii="Times New Roman" w:hAnsi="Times New Roman" w:eastAsia="宋体" w:cs="Times New Roman"/>
                <w:sz w:val="28"/>
                <w:szCs w:val="28"/>
                <w:lang w:val="en-US" w:eastAsia="zh-CN"/>
              </w:rPr>
            </w:pPr>
            <w:r>
              <w:rPr>
                <w:rFonts w:ascii="Times New Roman" w:hAnsi="Times New Roman" w:eastAsia="宋体" w:cs="Times New Roman"/>
                <w:sz w:val="28"/>
                <w:szCs w:val="28"/>
              </w:rPr>
              <w:t>1</w:t>
            </w:r>
            <w:r>
              <w:rPr>
                <w:rFonts w:hint="eastAsia" w:ascii="Times New Roman" w:hAnsi="Times New Roman" w:eastAsia="宋体" w:cs="Times New Roman"/>
                <w:sz w:val="28"/>
                <w:szCs w:val="28"/>
                <w:lang w:val="en-US" w:eastAsia="zh-CN"/>
              </w:rPr>
              <w:t>50</w:t>
            </w:r>
          </w:p>
        </w:tc>
        <w:tc>
          <w:tcPr>
            <w:tcW w:w="1157" w:type="dxa"/>
            <w:noWrap w:val="0"/>
            <w:vAlign w:val="center"/>
          </w:tcPr>
          <w:p w14:paraId="30D0237A">
            <w:pPr>
              <w:shd w:val="clear" w:color="auto" w:fill="auto"/>
              <w:jc w:val="center"/>
              <w:rPr>
                <w:rFonts w:hint="eastAsia"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w:t>
            </w:r>
          </w:p>
        </w:tc>
        <w:tc>
          <w:tcPr>
            <w:tcW w:w="1050" w:type="dxa"/>
            <w:noWrap w:val="0"/>
            <w:vAlign w:val="center"/>
          </w:tcPr>
          <w:p w14:paraId="6C49132D">
            <w:pPr>
              <w:shd w:val="clear" w:color="auto" w:fill="auto"/>
              <w:jc w:val="center"/>
              <w:rPr>
                <w:rFonts w:hint="eastAsia"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w:t>
            </w:r>
          </w:p>
        </w:tc>
        <w:tc>
          <w:tcPr>
            <w:tcW w:w="1408" w:type="dxa"/>
            <w:noWrap w:val="0"/>
            <w:vAlign w:val="center"/>
          </w:tcPr>
          <w:p w14:paraId="1B3610C3">
            <w:pPr>
              <w:shd w:val="clear" w:color="auto" w:fill="auto"/>
              <w:jc w:val="center"/>
              <w:rPr>
                <w:rFonts w:hint="default" w:ascii="Times New Roman" w:hAnsi="Times New Roman" w:eastAsia="宋体" w:cs="Times New Roman"/>
                <w:sz w:val="28"/>
                <w:szCs w:val="28"/>
                <w:lang w:val="en-US" w:eastAsia="zh-CN"/>
              </w:rPr>
            </w:pPr>
            <w:r>
              <w:rPr>
                <w:rFonts w:ascii="Times New Roman" w:hAnsi="Times New Roman" w:eastAsia="宋体" w:cs="Times New Roman"/>
                <w:sz w:val="28"/>
                <w:szCs w:val="28"/>
              </w:rPr>
              <w:t>16</w:t>
            </w:r>
            <w:r>
              <w:rPr>
                <w:rFonts w:hint="eastAsia" w:ascii="Times New Roman" w:hAnsi="Times New Roman" w:eastAsia="宋体" w:cs="Times New Roman"/>
                <w:sz w:val="28"/>
                <w:szCs w:val="28"/>
                <w:lang w:val="en-US" w:eastAsia="zh-CN"/>
              </w:rPr>
              <w:t>73</w:t>
            </w:r>
          </w:p>
        </w:tc>
      </w:tr>
    </w:tbl>
    <w:p w14:paraId="764FF505">
      <w:pPr>
        <w:shd w:val="clear" w:color="auto" w:fill="auto"/>
      </w:pPr>
    </w:p>
    <w:p w14:paraId="530FF3CA">
      <w:pPr>
        <w:widowControl w:val="0"/>
        <w:shd w:val="clear" w:color="auto" w:fill="auto"/>
        <w:snapToGrid w:val="0"/>
        <w:jc w:val="left"/>
        <w:rPr>
          <w:rFonts w:hint="default" w:ascii="Times New Roman" w:hAnsi="Times New Roman" w:eastAsia="楷体" w:cs="Times New Roman"/>
          <w:b/>
          <w:bCs/>
          <w:color w:val="auto"/>
          <w:kern w:val="2"/>
          <w:sz w:val="24"/>
          <w:szCs w:val="24"/>
          <w:highlight w:val="none"/>
          <w:lang w:val="en-US" w:eastAsia="zh-CN" w:bidi="ar-SA"/>
        </w:rPr>
      </w:pPr>
      <w:r>
        <w:rPr>
          <w:rFonts w:hint="default" w:ascii="Times New Roman" w:hAnsi="Times New Roman" w:eastAsia="楷体" w:cs="Times New Roman"/>
          <w:b/>
          <w:bCs/>
          <w:color w:val="auto"/>
          <w:kern w:val="2"/>
          <w:sz w:val="24"/>
          <w:szCs w:val="24"/>
          <w:highlight w:val="none"/>
          <w:lang w:val="en-US" w:eastAsia="zh-CN" w:bidi="ar-SA"/>
        </w:rPr>
        <w:t>注释：</w:t>
      </w:r>
    </w:p>
    <w:p w14:paraId="1E14BB12">
      <w:pPr>
        <w:widowControl w:val="0"/>
        <w:shd w:val="clear" w:color="auto" w:fill="auto"/>
        <w:snapToGrid w:val="0"/>
        <w:jc w:val="left"/>
        <w:rPr>
          <w:rFonts w:hint="eastAsia" w:ascii="Times New Roman" w:hAnsi="Times New Roman" w:eastAsia="楷体" w:cs="Times New Roman"/>
          <w:color w:val="auto"/>
          <w:kern w:val="2"/>
          <w:sz w:val="24"/>
          <w:szCs w:val="24"/>
          <w:highlight w:val="none"/>
          <w:lang w:val="en-US" w:eastAsia="zh-CN" w:bidi="ar-SA"/>
        </w:rPr>
      </w:pPr>
      <w:r>
        <w:rPr>
          <w:rFonts w:hint="default" w:ascii="Times New Roman" w:hAnsi="Times New Roman" w:eastAsia="楷体" w:cs="Times New Roman"/>
          <w:color w:val="auto"/>
          <w:kern w:val="2"/>
          <w:sz w:val="24"/>
          <w:szCs w:val="24"/>
          <w:highlight w:val="none"/>
          <w:lang w:val="en-US" w:eastAsia="zh-CN" w:bidi="ar-SA"/>
        </w:rPr>
        <w:t>1.全区生态保护红线采用</w:t>
      </w:r>
      <w:r>
        <w:rPr>
          <w:rFonts w:hint="eastAsia" w:ascii="Times New Roman" w:hAnsi="Times New Roman" w:eastAsia="楷体" w:cs="Times New Roman"/>
          <w:color w:val="auto"/>
          <w:kern w:val="2"/>
          <w:sz w:val="24"/>
          <w:szCs w:val="24"/>
          <w:highlight w:val="none"/>
          <w:lang w:val="en-US" w:eastAsia="zh-CN" w:bidi="ar-SA"/>
        </w:rPr>
        <w:t>《自然资源部办公厅关于北京等省（区、市）启用“三区三线”划定成果作为报批建设项目用地用海依据的函》（自然资办函〔2022〕2207 号）批复启用的数据。今后如生态保护红线范围及管控要求发生变化，则相关内容随即自动更新调整；一般生态空间与生态保护红线、各类法定保护地、国土空间规划等进行衔接更新调整。</w:t>
      </w:r>
    </w:p>
    <w:p w14:paraId="346BF560">
      <w:pPr>
        <w:widowControl w:val="0"/>
        <w:shd w:val="clear" w:color="auto" w:fill="auto"/>
        <w:snapToGrid w:val="0"/>
        <w:jc w:val="left"/>
        <w:rPr>
          <w:rFonts w:hint="default" w:ascii="Times New Roman" w:hAnsi="Times New Roman" w:eastAsia="楷体" w:cs="Times New Roman"/>
          <w:color w:val="auto"/>
          <w:kern w:val="2"/>
          <w:sz w:val="24"/>
          <w:szCs w:val="24"/>
          <w:highlight w:val="none"/>
          <w:lang w:val="en-US" w:eastAsia="zh-CN" w:bidi="ar-SA"/>
        </w:rPr>
      </w:pPr>
      <w:r>
        <w:rPr>
          <w:rFonts w:hint="default" w:ascii="Times New Roman" w:hAnsi="Times New Roman" w:eastAsia="楷体" w:cs="Times New Roman"/>
          <w:color w:val="auto"/>
          <w:kern w:val="2"/>
          <w:sz w:val="24"/>
          <w:szCs w:val="24"/>
          <w:highlight w:val="none"/>
          <w:lang w:val="en-US" w:eastAsia="zh-CN" w:bidi="ar-SA"/>
        </w:rPr>
        <w:t>2.环境质量底线2025</w:t>
      </w:r>
      <w:r>
        <w:rPr>
          <w:rFonts w:hint="eastAsia" w:ascii="Times New Roman" w:hAnsi="Times New Roman" w:eastAsia="楷体" w:cs="Times New Roman"/>
          <w:color w:val="auto"/>
          <w:kern w:val="2"/>
          <w:sz w:val="24"/>
          <w:szCs w:val="24"/>
          <w:highlight w:val="none"/>
          <w:lang w:val="en-US" w:eastAsia="zh-CN" w:bidi="ar-SA"/>
        </w:rPr>
        <w:t xml:space="preserve"> </w:t>
      </w:r>
      <w:r>
        <w:rPr>
          <w:rFonts w:hint="default" w:ascii="Times New Roman" w:hAnsi="Times New Roman" w:eastAsia="楷体" w:cs="Times New Roman"/>
          <w:color w:val="auto"/>
          <w:kern w:val="2"/>
          <w:sz w:val="24"/>
          <w:szCs w:val="24"/>
          <w:highlight w:val="none"/>
          <w:lang w:val="en-US" w:eastAsia="zh-CN" w:bidi="ar-SA"/>
        </w:rPr>
        <w:t>年国家地表水考核断面水质优良率（Ⅲ类及以上）达到9</w:t>
      </w:r>
      <w:r>
        <w:rPr>
          <w:rFonts w:hint="eastAsia" w:ascii="Times New Roman" w:hAnsi="Times New Roman" w:eastAsia="楷体" w:cs="Times New Roman"/>
          <w:color w:val="auto"/>
          <w:kern w:val="2"/>
          <w:sz w:val="24"/>
          <w:szCs w:val="24"/>
          <w:highlight w:val="none"/>
          <w:lang w:val="en-US" w:eastAsia="zh-CN" w:bidi="ar-SA"/>
        </w:rPr>
        <w:t xml:space="preserve">8.2 </w:t>
      </w:r>
      <w:r>
        <w:rPr>
          <w:rFonts w:hint="default" w:ascii="Times New Roman" w:hAnsi="Times New Roman" w:eastAsia="楷体" w:cs="Times New Roman"/>
          <w:color w:val="auto"/>
          <w:kern w:val="2"/>
          <w:sz w:val="24"/>
          <w:szCs w:val="24"/>
          <w:highlight w:val="none"/>
          <w:lang w:val="en-US" w:eastAsia="zh-CN" w:bidi="ar-SA"/>
        </w:rPr>
        <w:t>%，近岸海域优良（一、二类）水质面积比例</w:t>
      </w:r>
      <w:r>
        <w:rPr>
          <w:rFonts w:hint="eastAsia" w:ascii="Times New Roman" w:hAnsi="Times New Roman" w:eastAsia="楷体" w:cs="Times New Roman"/>
          <w:color w:val="auto"/>
          <w:kern w:val="2"/>
          <w:sz w:val="24"/>
          <w:szCs w:val="24"/>
          <w:highlight w:val="none"/>
          <w:lang w:val="en-US" w:eastAsia="zh-CN" w:bidi="ar-SA"/>
        </w:rPr>
        <w:t>达</w:t>
      </w:r>
      <w:r>
        <w:rPr>
          <w:rFonts w:hint="default" w:ascii="Times New Roman" w:hAnsi="Times New Roman" w:eastAsia="楷体" w:cs="Times New Roman"/>
          <w:color w:val="auto"/>
          <w:kern w:val="2"/>
          <w:sz w:val="24"/>
          <w:szCs w:val="24"/>
          <w:highlight w:val="none"/>
          <w:lang w:val="en-US" w:eastAsia="zh-CN" w:bidi="ar-SA"/>
        </w:rPr>
        <w:t>93.0</w:t>
      </w:r>
      <w:r>
        <w:rPr>
          <w:rFonts w:hint="eastAsia" w:ascii="Times New Roman" w:hAnsi="Times New Roman" w:eastAsia="楷体" w:cs="Times New Roman"/>
          <w:color w:val="auto"/>
          <w:kern w:val="2"/>
          <w:sz w:val="24"/>
          <w:szCs w:val="24"/>
          <w:highlight w:val="none"/>
          <w:lang w:val="en-US" w:eastAsia="zh-CN" w:bidi="ar-SA"/>
        </w:rPr>
        <w:t xml:space="preserve"> </w:t>
      </w:r>
      <w:r>
        <w:rPr>
          <w:rFonts w:hint="default" w:ascii="Times New Roman" w:hAnsi="Times New Roman" w:eastAsia="楷体" w:cs="Times New Roman"/>
          <w:color w:val="auto"/>
          <w:kern w:val="2"/>
          <w:sz w:val="24"/>
          <w:szCs w:val="24"/>
          <w:highlight w:val="none"/>
          <w:lang w:val="en-US" w:eastAsia="zh-CN" w:bidi="ar-SA"/>
        </w:rPr>
        <w:t>%</w:t>
      </w:r>
      <w:r>
        <w:rPr>
          <w:rFonts w:hint="eastAsia" w:ascii="Times New Roman" w:hAnsi="Times New Roman" w:eastAsia="楷体" w:cs="Times New Roman"/>
          <w:color w:val="auto"/>
          <w:kern w:val="2"/>
          <w:sz w:val="24"/>
          <w:szCs w:val="24"/>
          <w:highlight w:val="none"/>
          <w:lang w:val="en-US" w:eastAsia="zh-CN" w:bidi="ar-SA"/>
        </w:rPr>
        <w:t>，</w:t>
      </w:r>
      <w:r>
        <w:rPr>
          <w:rFonts w:hint="default" w:ascii="Times New Roman" w:hAnsi="Times New Roman" w:eastAsia="楷体" w:cs="Times New Roman"/>
          <w:color w:val="auto"/>
          <w:kern w:val="2"/>
          <w:sz w:val="24"/>
          <w:szCs w:val="24"/>
          <w:highlight w:val="none"/>
          <w:lang w:val="en-US" w:eastAsia="zh-CN" w:bidi="ar-SA"/>
        </w:rPr>
        <w:t>细颗粒物（PM</w:t>
      </w:r>
      <w:r>
        <w:rPr>
          <w:rFonts w:hint="default" w:ascii="Times New Roman" w:hAnsi="Times New Roman" w:eastAsia="楷体" w:cs="Times New Roman"/>
          <w:color w:val="auto"/>
          <w:kern w:val="2"/>
          <w:sz w:val="24"/>
          <w:szCs w:val="24"/>
          <w:highlight w:val="none"/>
          <w:vertAlign w:val="subscript"/>
          <w:lang w:val="en-US" w:eastAsia="zh-CN" w:bidi="ar-SA"/>
        </w:rPr>
        <w:t>2.5</w:t>
      </w:r>
      <w:r>
        <w:rPr>
          <w:rFonts w:hint="default" w:ascii="Times New Roman" w:hAnsi="Times New Roman" w:eastAsia="楷体" w:cs="Times New Roman"/>
          <w:color w:val="auto"/>
          <w:kern w:val="2"/>
          <w:sz w:val="24"/>
          <w:szCs w:val="24"/>
          <w:highlight w:val="none"/>
          <w:lang w:val="en-US" w:eastAsia="zh-CN" w:bidi="ar-SA"/>
        </w:rPr>
        <w:t>）平均浓度达到</w:t>
      </w:r>
      <w:r>
        <w:rPr>
          <w:rFonts w:hint="eastAsia" w:ascii="Times New Roman" w:hAnsi="Times New Roman" w:eastAsia="楷体" w:cs="Times New Roman"/>
          <w:color w:val="auto"/>
          <w:kern w:val="2"/>
          <w:sz w:val="24"/>
          <w:szCs w:val="24"/>
          <w:highlight w:val="none"/>
          <w:lang w:val="en-US" w:eastAsia="zh-CN" w:bidi="ar-SA"/>
        </w:rPr>
        <w:t xml:space="preserve">26.5 </w:t>
      </w:r>
      <w:r>
        <w:rPr>
          <w:rFonts w:hint="default" w:ascii="Times New Roman" w:hAnsi="Times New Roman" w:eastAsia="楷体" w:cs="Times New Roman"/>
          <w:color w:val="auto"/>
          <w:kern w:val="2"/>
          <w:sz w:val="24"/>
          <w:szCs w:val="24"/>
          <w:highlight w:val="none"/>
          <w:lang w:val="en-US" w:eastAsia="zh-CN" w:bidi="ar-SA"/>
        </w:rPr>
        <w:t>微克/立方米，环境质量底线以国家最终下达或调整目标为准。</w:t>
      </w:r>
    </w:p>
    <w:p w14:paraId="3342629F">
      <w:pPr>
        <w:widowControl w:val="0"/>
        <w:shd w:val="clear" w:color="auto" w:fill="auto"/>
        <w:snapToGrid w:val="0"/>
        <w:jc w:val="left"/>
        <w:rPr>
          <w:rFonts w:hint="default" w:ascii="Times New Roman" w:hAnsi="Times New Roman" w:eastAsia="楷体" w:cs="Times New Roman"/>
          <w:color w:val="auto"/>
          <w:kern w:val="2"/>
          <w:sz w:val="24"/>
          <w:szCs w:val="24"/>
          <w:highlight w:val="none"/>
          <w:lang w:val="en-US" w:eastAsia="zh-CN" w:bidi="ar-SA"/>
        </w:rPr>
      </w:pPr>
      <w:r>
        <w:rPr>
          <w:rFonts w:hint="default" w:ascii="Times New Roman" w:hAnsi="Times New Roman" w:eastAsia="楷体" w:cs="Times New Roman"/>
          <w:color w:val="auto"/>
          <w:kern w:val="2"/>
          <w:sz w:val="24"/>
          <w:szCs w:val="24"/>
          <w:highlight w:val="none"/>
          <w:lang w:val="en-US" w:eastAsia="zh-CN" w:bidi="ar-SA"/>
        </w:rPr>
        <w:t>3.资源利用上线涉及的水资源（用水总量、万元地区GDP用水量降幅、万元工业增加值用水量降幅、农田灌溉水有效利用系数）、土地资源（耕地保有量、永久基本农田保护目标、建设用地总规模、城乡建设用地规模）、岸线资源（海洋岸线自然岸线保有率）、能源消耗（总量和强度双控目标）等达到或优于国家、自治区下达的控制目标要求。</w:t>
      </w:r>
    </w:p>
    <w:p w14:paraId="34852BD9">
      <w:pPr>
        <w:widowControl w:val="0"/>
        <w:shd w:val="clear" w:color="auto" w:fill="auto"/>
        <w:snapToGrid w:val="0"/>
        <w:jc w:val="left"/>
        <w:rPr>
          <w:rFonts w:hint="default" w:ascii="Times New Roman" w:hAnsi="Times New Roman" w:eastAsia="楷体" w:cs="Times New Roman"/>
          <w:color w:val="auto"/>
          <w:kern w:val="2"/>
          <w:sz w:val="24"/>
          <w:szCs w:val="24"/>
          <w:highlight w:val="none"/>
          <w:lang w:val="en-US" w:eastAsia="zh-CN" w:bidi="ar-SA"/>
        </w:rPr>
      </w:pPr>
      <w:r>
        <w:rPr>
          <w:rFonts w:hint="default" w:ascii="Times New Roman" w:hAnsi="Times New Roman" w:eastAsia="楷体" w:cs="Times New Roman"/>
          <w:color w:val="auto"/>
          <w:kern w:val="2"/>
          <w:sz w:val="24"/>
          <w:szCs w:val="24"/>
          <w:highlight w:val="none"/>
          <w:lang w:val="en-US" w:eastAsia="zh-CN" w:bidi="ar-SA"/>
        </w:rPr>
        <w:t>4.饮用水水源保护区采用截至202</w:t>
      </w:r>
      <w:r>
        <w:rPr>
          <w:rFonts w:hint="eastAsia" w:ascii="Times New Roman" w:hAnsi="Times New Roman" w:eastAsia="楷体" w:cs="Times New Roman"/>
          <w:color w:val="auto"/>
          <w:kern w:val="2"/>
          <w:sz w:val="24"/>
          <w:szCs w:val="24"/>
          <w:highlight w:val="none"/>
          <w:lang w:val="en-US" w:eastAsia="zh-CN" w:bidi="ar-SA"/>
        </w:rPr>
        <w:t>3</w:t>
      </w:r>
      <w:r>
        <w:rPr>
          <w:rFonts w:hint="default" w:ascii="Times New Roman" w:hAnsi="Times New Roman" w:eastAsia="楷体" w:cs="Times New Roman"/>
          <w:color w:val="auto"/>
          <w:kern w:val="2"/>
          <w:sz w:val="24"/>
          <w:szCs w:val="24"/>
          <w:highlight w:val="none"/>
          <w:lang w:val="en-US" w:eastAsia="zh-CN" w:bidi="ar-SA"/>
        </w:rPr>
        <w:t>年6月已批复的县级以上地表水饮用水水源保护区数据，今后如县级以上饮用水水源保护区范围及管控要求发生变化，则相关内容随即自动更新调整。</w:t>
      </w:r>
    </w:p>
    <w:p w14:paraId="07213FDF">
      <w:pPr>
        <w:shd w:val="clear" w:color="auto" w:fill="auto"/>
      </w:pPr>
      <w:r>
        <w:rPr>
          <w:rFonts w:hint="default" w:ascii="Times New Roman" w:hAnsi="Times New Roman" w:eastAsia="楷体" w:cs="Times New Roman"/>
          <w:color w:val="auto"/>
          <w:sz w:val="24"/>
          <w:szCs w:val="24"/>
          <w:highlight w:val="none"/>
        </w:rPr>
        <w:t>5.工业园区采用截至202</w:t>
      </w:r>
      <w:r>
        <w:rPr>
          <w:rFonts w:hint="eastAsia" w:ascii="Times New Roman" w:hAnsi="Times New Roman" w:eastAsia="楷体" w:cs="Times New Roman"/>
          <w:color w:val="auto"/>
          <w:sz w:val="24"/>
          <w:szCs w:val="24"/>
          <w:highlight w:val="none"/>
          <w:lang w:val="en-US" w:eastAsia="zh-CN"/>
        </w:rPr>
        <w:t>3</w:t>
      </w:r>
      <w:r>
        <w:rPr>
          <w:rFonts w:hint="default" w:ascii="Times New Roman" w:hAnsi="Times New Roman" w:eastAsia="楷体" w:cs="Times New Roman"/>
          <w:color w:val="auto"/>
          <w:sz w:val="24"/>
          <w:szCs w:val="24"/>
          <w:highlight w:val="none"/>
        </w:rPr>
        <w:t>年</w:t>
      </w:r>
      <w:r>
        <w:rPr>
          <w:rFonts w:hint="eastAsia" w:ascii="Times New Roman" w:hAnsi="Times New Roman" w:eastAsia="楷体" w:cs="Times New Roman"/>
          <w:color w:val="auto"/>
          <w:sz w:val="24"/>
          <w:szCs w:val="24"/>
          <w:highlight w:val="none"/>
          <w:lang w:val="en-US" w:eastAsia="zh-CN"/>
        </w:rPr>
        <w:t>7</w:t>
      </w:r>
      <w:r>
        <w:rPr>
          <w:rFonts w:hint="default" w:ascii="Times New Roman" w:hAnsi="Times New Roman" w:eastAsia="楷体" w:cs="Times New Roman"/>
          <w:color w:val="auto"/>
          <w:sz w:val="24"/>
          <w:szCs w:val="24"/>
          <w:highlight w:val="none"/>
        </w:rPr>
        <w:t>月合法园区的范围数据，合法园区单独命名重点管控单元</w:t>
      </w:r>
      <w:r>
        <w:rPr>
          <w:rFonts w:hint="eastAsia" w:ascii="Times New Roman" w:hAnsi="Times New Roman" w:eastAsia="楷体" w:cs="Times New Roman"/>
          <w:color w:val="auto"/>
          <w:sz w:val="24"/>
          <w:szCs w:val="24"/>
          <w:highlight w:val="none"/>
          <w:lang w:eastAsia="zh-CN"/>
        </w:rPr>
        <w:t>。</w:t>
      </w:r>
      <w:r>
        <w:rPr>
          <w:rFonts w:hint="default" w:ascii="Times New Roman" w:hAnsi="Times New Roman" w:eastAsia="楷体" w:cs="Times New Roman"/>
          <w:color w:val="auto"/>
          <w:sz w:val="24"/>
          <w:szCs w:val="24"/>
          <w:highlight w:val="none"/>
        </w:rPr>
        <w:t>今后合法工业园区范围及管控要求发生变化，则相关内容再进行更新调整。</w:t>
      </w:r>
    </w:p>
    <w:p w14:paraId="6FC91980">
      <w:pPr>
        <w:sectPr>
          <w:footerReference r:id="rId5" w:type="default"/>
          <w:pgSz w:w="16838" w:h="11906" w:orient="landscape"/>
          <w:pgMar w:top="1440" w:right="1080" w:bottom="1440" w:left="1080" w:header="851" w:footer="964" w:gutter="0"/>
          <w:cols w:space="720" w:num="1"/>
          <w:docGrid w:type="lines" w:linePitch="312" w:charSpace="0"/>
        </w:sectPr>
      </w:pPr>
    </w:p>
    <w:p w14:paraId="7219D439">
      <w:pPr>
        <w:shd w:val="clear" w:color="auto" w:fill="auto"/>
        <w:jc w:val="center"/>
        <w:rPr>
          <w:rFonts w:ascii="Times New Roman" w:hAnsi="Times New Roman" w:eastAsia="仿宋" w:cs="Times New Roman"/>
          <w:b/>
          <w:bCs/>
          <w:sz w:val="32"/>
          <w:szCs w:val="32"/>
        </w:rPr>
      </w:pPr>
      <w:r>
        <w:rPr>
          <w:rFonts w:hint="eastAsia" w:ascii="黑体" w:hAnsi="黑体" w:eastAsia="黑体" w:cs="黑体"/>
          <w:color w:val="000000"/>
          <w:sz w:val="32"/>
          <w:szCs w:val="32"/>
          <w:highlight w:val="none"/>
          <w:lang w:bidi="ar"/>
        </w:rPr>
        <w:drawing>
          <wp:inline distT="0" distB="0" distL="114300" distR="114300">
            <wp:extent cx="8303895" cy="5871210"/>
            <wp:effectExtent l="0" t="0" r="1905" b="15240"/>
            <wp:docPr id="3" name="图片 1" descr="e5322b4b17b6016d0cfe54266659d3b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e5322b4b17b6016d0cfe54266659d3bf"/>
                    <pic:cNvPicPr>
                      <a:picLocks noChangeAspect="1"/>
                    </pic:cNvPicPr>
                  </pic:nvPicPr>
                  <pic:blipFill>
                    <a:blip r:embed="rId15"/>
                    <a:stretch>
                      <a:fillRect/>
                    </a:stretch>
                  </pic:blipFill>
                  <pic:spPr>
                    <a:xfrm>
                      <a:off x="0" y="0"/>
                      <a:ext cx="8303895" cy="5871210"/>
                    </a:xfrm>
                    <a:prstGeom prst="rect">
                      <a:avLst/>
                    </a:prstGeom>
                    <a:noFill/>
                    <a:ln>
                      <a:noFill/>
                    </a:ln>
                  </pic:spPr>
                </pic:pic>
              </a:graphicData>
            </a:graphic>
          </wp:inline>
        </w:drawing>
      </w:r>
    </w:p>
    <w:p w14:paraId="1BD7D5E1">
      <w:pPr>
        <w:keepNext w:val="0"/>
        <w:keepLines w:val="0"/>
        <w:pageBreakBefore w:val="0"/>
        <w:widowControl w:val="0"/>
        <w:kinsoku/>
        <w:wordWrap/>
        <w:overflowPunct/>
        <w:topLinePunct w:val="0"/>
        <w:autoSpaceDE w:val="0"/>
        <w:autoSpaceDN w:val="0"/>
        <w:bidi w:val="0"/>
        <w:adjustRightInd w:val="0"/>
        <w:snapToGrid/>
        <w:spacing w:line="580" w:lineRule="exact"/>
        <w:jc w:val="center"/>
        <w:textAlignment w:val="auto"/>
        <w:outlineLvl w:val="9"/>
        <w:rPr>
          <w:rFonts w:hint="eastAsia" w:ascii="黑体" w:hAnsi="黑体" w:eastAsia="黑体" w:cs="黑体"/>
          <w:color w:val="000000"/>
          <w:sz w:val="32"/>
          <w:szCs w:val="32"/>
          <w:highlight w:val="none"/>
          <w:lang w:eastAsia="zh-CN" w:bidi="ar"/>
        </w:rPr>
        <w:sectPr>
          <w:pgSz w:w="16838" w:h="11906" w:orient="landscape"/>
          <w:pgMar w:top="720" w:right="720" w:bottom="720" w:left="720" w:header="851" w:footer="624" w:gutter="0"/>
          <w:cols w:space="720" w:num="1"/>
          <w:docGrid w:type="lines" w:linePitch="312" w:charSpace="0"/>
        </w:sectPr>
      </w:pPr>
      <w:r>
        <w:rPr>
          <w:rFonts w:hint="eastAsia" w:ascii="黑体" w:hAnsi="黑体" w:eastAsia="黑体" w:cs="黑体"/>
          <w:color w:val="000000"/>
          <w:sz w:val="32"/>
          <w:szCs w:val="32"/>
          <w:highlight w:val="none"/>
          <w:lang w:bidi="ar"/>
        </w:rPr>
        <w:t>广西壮族自治区</w:t>
      </w:r>
      <w:r>
        <w:rPr>
          <w:rFonts w:hint="eastAsia" w:ascii="黑体" w:hAnsi="黑体" w:eastAsia="黑体" w:cs="黑体"/>
          <w:color w:val="000000"/>
          <w:sz w:val="32"/>
          <w:szCs w:val="32"/>
          <w:highlight w:val="none"/>
          <w:lang w:eastAsia="zh-CN" w:bidi="ar"/>
        </w:rPr>
        <w:t>生态</w:t>
      </w:r>
      <w:r>
        <w:rPr>
          <w:rFonts w:hint="eastAsia" w:ascii="黑体" w:hAnsi="黑体" w:eastAsia="黑体" w:cs="黑体"/>
          <w:color w:val="000000"/>
          <w:sz w:val="32"/>
          <w:szCs w:val="32"/>
          <w:highlight w:val="none"/>
          <w:lang w:bidi="ar"/>
        </w:rPr>
        <w:t>环境管控单元</w:t>
      </w:r>
      <w:r>
        <w:rPr>
          <w:rFonts w:hint="eastAsia" w:ascii="黑体" w:hAnsi="黑体" w:eastAsia="黑体" w:cs="黑体"/>
          <w:color w:val="000000"/>
          <w:sz w:val="32"/>
          <w:szCs w:val="32"/>
          <w:highlight w:val="none"/>
          <w:lang w:eastAsia="zh-CN" w:bidi="ar"/>
        </w:rPr>
        <w:t>分类图（</w:t>
      </w:r>
      <w:r>
        <w:rPr>
          <w:rFonts w:hint="default" w:ascii="Times New Roman" w:hAnsi="Times New Roman" w:eastAsia="黑体" w:cs="Times New Roman"/>
          <w:color w:val="000000"/>
          <w:sz w:val="32"/>
          <w:szCs w:val="32"/>
          <w:highlight w:val="none"/>
          <w:lang w:val="en-US" w:eastAsia="zh-CN" w:bidi="ar"/>
        </w:rPr>
        <w:t>2023</w:t>
      </w:r>
      <w:r>
        <w:rPr>
          <w:rFonts w:hint="eastAsia" w:ascii="黑体" w:hAnsi="黑体" w:eastAsia="黑体" w:cs="黑体"/>
          <w:color w:val="000000"/>
          <w:sz w:val="32"/>
          <w:szCs w:val="32"/>
          <w:highlight w:val="none"/>
          <w:lang w:val="en-US" w:eastAsia="zh-CN" w:bidi="ar"/>
        </w:rPr>
        <w:t>年</w:t>
      </w:r>
      <w:r>
        <w:rPr>
          <w:rFonts w:hint="eastAsia" w:ascii="黑体" w:hAnsi="黑体" w:eastAsia="黑体" w:cs="黑体"/>
          <w:color w:val="000000"/>
          <w:sz w:val="32"/>
          <w:szCs w:val="32"/>
          <w:highlight w:val="none"/>
          <w:lang w:eastAsia="zh-CN" w:bidi="ar"/>
        </w:rPr>
        <w:t>）</w:t>
      </w:r>
    </w:p>
    <w:p w14:paraId="2D9798D8">
      <w:pPr>
        <w:pStyle w:val="2"/>
      </w:pPr>
    </w:p>
    <w:p w14:paraId="08E1BAC3">
      <w:pPr>
        <w:shd w:val="clear" w:color="auto" w:fill="auto"/>
        <w:adjustRightInd w:val="0"/>
        <w:snapToGrid w:val="0"/>
        <w:spacing w:line="480" w:lineRule="auto"/>
        <w:jc w:val="center"/>
        <w:rPr>
          <w:rFonts w:ascii="Times New Roman" w:hAnsi="Times New Roman" w:eastAsia="黑体" w:cs="Times New Roman"/>
          <w:b/>
          <w:bCs/>
          <w:color w:val="auto"/>
          <w:sz w:val="72"/>
          <w:szCs w:val="48"/>
          <w:highlight w:val="none"/>
          <w:u w:val="none"/>
        </w:rPr>
      </w:pPr>
    </w:p>
    <w:p w14:paraId="467ADB26">
      <w:pPr>
        <w:shd w:val="clear" w:color="auto" w:fill="auto"/>
        <w:adjustRightInd w:val="0"/>
        <w:snapToGrid w:val="0"/>
        <w:spacing w:line="480" w:lineRule="auto"/>
        <w:jc w:val="center"/>
        <w:rPr>
          <w:rFonts w:hint="eastAsia" w:ascii="Times New Roman" w:hAnsi="Times New Roman" w:eastAsia="黑体" w:cs="Times New Roman"/>
          <w:b/>
          <w:bCs/>
          <w:color w:val="auto"/>
          <w:sz w:val="72"/>
          <w:szCs w:val="48"/>
          <w:highlight w:val="none"/>
          <w:u w:val="none"/>
          <w:lang w:eastAsia="zh-CN"/>
        </w:rPr>
      </w:pPr>
      <w:r>
        <w:rPr>
          <w:rFonts w:hint="eastAsia" w:ascii="Times New Roman" w:hAnsi="Times New Roman" w:eastAsia="黑体" w:cs="Times New Roman"/>
          <w:b/>
          <w:bCs/>
          <w:color w:val="auto"/>
          <w:sz w:val="72"/>
          <w:szCs w:val="48"/>
          <w:highlight w:val="none"/>
          <w:u w:val="none"/>
          <w:lang w:eastAsia="zh-CN"/>
        </w:rPr>
        <w:t>广西壮族自治区</w:t>
      </w:r>
      <w:r>
        <w:rPr>
          <w:rFonts w:ascii="Times New Roman" w:hAnsi="Times New Roman" w:eastAsia="黑体" w:cs="Times New Roman"/>
          <w:b/>
          <w:bCs/>
          <w:color w:val="auto"/>
          <w:sz w:val="72"/>
          <w:szCs w:val="48"/>
          <w:highlight w:val="none"/>
          <w:u w:val="none"/>
        </w:rPr>
        <w:t>生态环境准入清单</w:t>
      </w:r>
      <w:r>
        <w:rPr>
          <w:rFonts w:hint="eastAsia" w:ascii="Times New Roman" w:hAnsi="Times New Roman" w:eastAsia="黑体" w:cs="Times New Roman"/>
          <w:b/>
          <w:bCs/>
          <w:color w:val="auto"/>
          <w:sz w:val="72"/>
          <w:szCs w:val="48"/>
          <w:highlight w:val="none"/>
          <w:u w:val="none"/>
          <w:lang w:eastAsia="zh-CN"/>
        </w:rPr>
        <w:t>（</w:t>
      </w:r>
      <w:r>
        <w:rPr>
          <w:rFonts w:hint="eastAsia" w:ascii="Times New Roman" w:hAnsi="Times New Roman" w:eastAsia="黑体" w:cs="Times New Roman"/>
          <w:b/>
          <w:bCs/>
          <w:color w:val="auto"/>
          <w:sz w:val="72"/>
          <w:szCs w:val="48"/>
          <w:highlight w:val="none"/>
          <w:u w:val="none"/>
          <w:lang w:val="en-US" w:eastAsia="zh-CN"/>
        </w:rPr>
        <w:t>2023年</w:t>
      </w:r>
      <w:r>
        <w:rPr>
          <w:rFonts w:hint="eastAsia" w:ascii="Times New Roman" w:hAnsi="Times New Roman" w:eastAsia="黑体" w:cs="Times New Roman"/>
          <w:b/>
          <w:bCs/>
          <w:color w:val="auto"/>
          <w:sz w:val="72"/>
          <w:szCs w:val="48"/>
          <w:highlight w:val="none"/>
          <w:u w:val="none"/>
          <w:lang w:eastAsia="zh-CN"/>
        </w:rPr>
        <w:t>）</w:t>
      </w:r>
    </w:p>
    <w:p w14:paraId="6CC6B789">
      <w:pPr>
        <w:shd w:val="clear" w:color="auto" w:fill="auto"/>
        <w:adjustRightInd w:val="0"/>
        <w:snapToGrid w:val="0"/>
        <w:spacing w:line="480" w:lineRule="auto"/>
        <w:rPr>
          <w:rFonts w:ascii="Times New Roman" w:hAnsi="Times New Roman" w:eastAsia="黑体" w:cs="Times New Roman"/>
          <w:b/>
          <w:bCs/>
          <w:color w:val="auto"/>
          <w:sz w:val="52"/>
          <w:szCs w:val="36"/>
          <w:highlight w:val="none"/>
          <w:u w:val="none"/>
        </w:rPr>
      </w:pPr>
    </w:p>
    <w:p w14:paraId="0A4907A9">
      <w:pPr>
        <w:shd w:val="clear" w:color="auto" w:fill="auto"/>
        <w:adjustRightInd w:val="0"/>
        <w:snapToGrid w:val="0"/>
        <w:spacing w:line="480" w:lineRule="auto"/>
        <w:rPr>
          <w:rFonts w:ascii="Times New Roman" w:hAnsi="Times New Roman" w:eastAsia="黑体" w:cs="Times New Roman"/>
          <w:b/>
          <w:bCs/>
          <w:color w:val="auto"/>
          <w:sz w:val="52"/>
          <w:szCs w:val="36"/>
          <w:highlight w:val="none"/>
          <w:u w:val="none"/>
        </w:rPr>
      </w:pPr>
    </w:p>
    <w:p w14:paraId="10FD73D1">
      <w:pPr>
        <w:widowControl w:val="0"/>
        <w:autoSpaceDE w:val="0"/>
        <w:autoSpaceDN w:val="0"/>
        <w:adjustRightInd w:val="0"/>
        <w:jc w:val="both"/>
        <w:textAlignment w:val="baseline"/>
        <w:rPr>
          <w:rFonts w:hint="default" w:ascii="方正小标宋_GBK" w:hAnsi="方正小标宋_GBK" w:eastAsia="方正小标宋_GBK" w:cs="Times New Roman"/>
          <w:color w:val="auto"/>
          <w:kern w:val="2"/>
          <w:sz w:val="24"/>
          <w:szCs w:val="24"/>
          <w:highlight w:val="none"/>
          <w:u w:val="none"/>
          <w:lang w:val="en-US" w:eastAsia="zh-CN" w:bidi="ar-SA"/>
        </w:rPr>
      </w:pPr>
    </w:p>
    <w:p w14:paraId="58ACB362">
      <w:pPr>
        <w:shd w:val="clear" w:color="auto" w:fill="auto"/>
        <w:adjustRightInd w:val="0"/>
        <w:snapToGrid w:val="0"/>
        <w:spacing w:line="480" w:lineRule="auto"/>
        <w:jc w:val="center"/>
        <w:rPr>
          <w:rFonts w:hint="eastAsia" w:ascii="Times New Roman" w:hAnsi="Times New Roman" w:eastAsia="黑体" w:cs="Times New Roman"/>
          <w:b/>
          <w:bCs/>
          <w:color w:val="auto"/>
          <w:sz w:val="52"/>
          <w:szCs w:val="36"/>
          <w:highlight w:val="none"/>
          <w:u w:val="none"/>
        </w:rPr>
      </w:pPr>
    </w:p>
    <w:p w14:paraId="667F3DF9">
      <w:pPr>
        <w:widowControl w:val="0"/>
        <w:autoSpaceDE w:val="0"/>
        <w:autoSpaceDN w:val="0"/>
        <w:adjustRightInd w:val="0"/>
        <w:jc w:val="both"/>
        <w:textAlignment w:val="baseline"/>
        <w:rPr>
          <w:rFonts w:hint="eastAsia" w:ascii="方正小标宋_GBK" w:hAnsi="方正小标宋_GBK" w:eastAsia="方正小标宋_GBK" w:cs="Times New Roman"/>
          <w:color w:val="auto"/>
          <w:kern w:val="2"/>
          <w:sz w:val="24"/>
          <w:szCs w:val="24"/>
          <w:highlight w:val="none"/>
          <w:u w:val="none"/>
          <w:lang w:val="en-US" w:eastAsia="zh-CN" w:bidi="ar-SA"/>
        </w:rPr>
      </w:pPr>
    </w:p>
    <w:p w14:paraId="43667E96">
      <w:pPr>
        <w:adjustRightInd w:val="0"/>
        <w:snapToGrid w:val="0"/>
        <w:spacing w:line="360" w:lineRule="auto"/>
        <w:jc w:val="center"/>
        <w:rPr>
          <w:rFonts w:ascii="Times New Roman" w:hAnsi="Times New Roman" w:cs="Times New Roman"/>
          <w:color w:val="auto"/>
          <w:highlight w:val="none"/>
          <w:u w:val="none"/>
        </w:rPr>
        <w:sectPr>
          <w:footerReference r:id="rId6" w:type="default"/>
          <w:pgSz w:w="23814" w:h="16839" w:orient="landscape"/>
          <w:pgMar w:top="1797" w:right="1440" w:bottom="1797" w:left="1440" w:header="851" w:footer="992" w:gutter="0"/>
          <w:cols w:space="720" w:num="1"/>
          <w:docGrid w:type="lines" w:linePitch="312" w:charSpace="0"/>
        </w:sectPr>
      </w:pPr>
    </w:p>
    <w:p w14:paraId="1D7A7598">
      <w:pPr>
        <w:widowControl/>
        <w:tabs>
          <w:tab w:val="left" w:pos="440"/>
          <w:tab w:val="right" w:leader="dot" w:pos="10244"/>
        </w:tabs>
        <w:spacing w:after="100" w:line="276" w:lineRule="auto"/>
        <w:jc w:val="center"/>
        <w:outlineLvl w:val="0"/>
        <w:rPr>
          <w:rFonts w:ascii="Times New Roman" w:hAnsi="Times New Roman" w:eastAsia="宋体" w:cs="Times New Roman"/>
          <w:b/>
          <w:bCs/>
          <w:color w:val="auto"/>
          <w:kern w:val="0"/>
          <w:sz w:val="44"/>
          <w:szCs w:val="44"/>
          <w:highlight w:val="none"/>
          <w:u w:val="none"/>
        </w:rPr>
        <w:sectPr>
          <w:headerReference r:id="rId7" w:type="default"/>
          <w:footerReference r:id="rId9" w:type="default"/>
          <w:headerReference r:id="rId8" w:type="even"/>
          <w:footerReference r:id="rId10" w:type="even"/>
          <w:pgSz w:w="23814" w:h="16839" w:orient="landscape"/>
          <w:pgMar w:top="1797" w:right="1440" w:bottom="1797" w:left="1440" w:header="851" w:footer="992" w:gutter="0"/>
          <w:pgNumType w:fmt="upperRoman" w:start="1"/>
          <w:cols w:space="720" w:num="1"/>
          <w:docGrid w:type="lines" w:linePitch="312" w:charSpace="0"/>
        </w:sectPr>
      </w:pPr>
      <w:bookmarkStart w:id="0" w:name="_Toc15140"/>
      <w:bookmarkStart w:id="1" w:name="_Toc22610"/>
      <w:bookmarkStart w:id="2" w:name="_Toc14269"/>
      <w:bookmarkStart w:id="3" w:name="_Toc30620"/>
      <w:r>
        <w:rPr>
          <w:rFonts w:ascii="Times New Roman" w:hAnsi="宋体" w:eastAsia="宋体" w:cs="Times New Roman"/>
          <w:b/>
          <w:bCs/>
          <w:color w:val="auto"/>
          <w:kern w:val="0"/>
          <w:sz w:val="44"/>
          <w:szCs w:val="44"/>
          <w:highlight w:val="none"/>
          <w:u w:val="none"/>
        </w:rPr>
        <w:t>目</w:t>
      </w:r>
      <w:r>
        <w:rPr>
          <w:rFonts w:ascii="Times New Roman" w:hAnsi="Times New Roman" w:eastAsia="宋体" w:cs="Times New Roman"/>
          <w:b/>
          <w:bCs/>
          <w:color w:val="auto"/>
          <w:kern w:val="0"/>
          <w:sz w:val="44"/>
          <w:szCs w:val="44"/>
          <w:highlight w:val="none"/>
          <w:u w:val="none"/>
        </w:rPr>
        <w:t xml:space="preserve">  </w:t>
      </w:r>
      <w:r>
        <w:rPr>
          <w:rFonts w:ascii="Times New Roman" w:hAnsi="宋体" w:eastAsia="宋体" w:cs="Times New Roman"/>
          <w:b/>
          <w:bCs/>
          <w:color w:val="auto"/>
          <w:kern w:val="0"/>
          <w:sz w:val="44"/>
          <w:szCs w:val="44"/>
          <w:highlight w:val="none"/>
          <w:u w:val="none"/>
        </w:rPr>
        <w:t>录</w:t>
      </w:r>
      <w:bookmarkEnd w:id="0"/>
      <w:bookmarkEnd w:id="1"/>
      <w:bookmarkEnd w:id="2"/>
      <w:bookmarkEnd w:id="3"/>
    </w:p>
    <w:p w14:paraId="34A58BCE">
      <w:pPr>
        <w:pStyle w:val="10"/>
        <w:tabs>
          <w:tab w:val="right" w:leader="dot" w:pos="20934"/>
        </w:tabs>
        <w:rPr>
          <w:rFonts w:ascii="Times New Roman" w:hAnsi="Times New Roman" w:eastAsia="宋体" w:cs="Times New Roman"/>
          <w:b/>
          <w:bCs/>
          <w:color w:val="auto"/>
          <w:sz w:val="24"/>
          <w:szCs w:val="24"/>
          <w:highlight w:val="none"/>
          <w:u w:val="none"/>
          <w:lang w:bidi="ar-SA"/>
        </w:rPr>
      </w:pPr>
      <w:r>
        <w:rPr>
          <w:rFonts w:ascii="Times New Roman" w:hAnsi="Times New Roman" w:eastAsia="宋体" w:cs="Times New Roman"/>
          <w:b/>
          <w:bCs/>
          <w:color w:val="auto"/>
          <w:sz w:val="24"/>
          <w:szCs w:val="24"/>
          <w:highlight w:val="none"/>
          <w:u w:val="none"/>
          <w:lang w:bidi="ar-SA"/>
        </w:rPr>
        <w:fldChar w:fldCharType="begin"/>
      </w:r>
      <w:r>
        <w:rPr>
          <w:rFonts w:ascii="Times New Roman" w:hAnsi="Times New Roman" w:eastAsia="宋体" w:cs="Times New Roman"/>
          <w:b/>
          <w:bCs/>
          <w:color w:val="auto"/>
          <w:sz w:val="24"/>
          <w:szCs w:val="24"/>
          <w:highlight w:val="none"/>
          <w:u w:val="none"/>
          <w:lang w:bidi="ar-SA"/>
        </w:rPr>
        <w:instrText xml:space="preserve">TOC \o "1-1" \h \u </w:instrText>
      </w:r>
      <w:r>
        <w:rPr>
          <w:rFonts w:ascii="Times New Roman" w:hAnsi="Times New Roman" w:eastAsia="宋体" w:cs="Times New Roman"/>
          <w:b/>
          <w:bCs/>
          <w:color w:val="auto"/>
          <w:sz w:val="24"/>
          <w:szCs w:val="24"/>
          <w:highlight w:val="none"/>
          <w:u w:val="none"/>
          <w:lang w:bidi="ar-SA"/>
        </w:rPr>
        <w:fldChar w:fldCharType="separate"/>
      </w:r>
    </w:p>
    <w:p w14:paraId="6126F8A4">
      <w:pPr>
        <w:pStyle w:val="15"/>
        <w:tabs>
          <w:tab w:val="right" w:leader="dot" w:pos="20934"/>
        </w:tabs>
        <w:rPr>
          <w:rFonts w:ascii="Calibri" w:hAnsi="Calibri" w:eastAsia="宋体" w:cs="Times New Roman"/>
          <w:b/>
        </w:rPr>
      </w:pPr>
      <w:r>
        <w:rPr>
          <w:rFonts w:ascii="Calibri" w:hAnsi="Calibri" w:eastAsia="宋体" w:cs="Times New Roman"/>
        </w:rPr>
        <w:fldChar w:fldCharType="begin"/>
      </w:r>
      <w:r>
        <w:rPr>
          <w:rFonts w:ascii="Calibri" w:hAnsi="Calibri" w:eastAsia="宋体" w:cs="Times New Roman"/>
        </w:rPr>
        <w:instrText xml:space="preserve">TOC \o "1-2" \h \u </w:instrText>
      </w:r>
      <w:r>
        <w:rPr>
          <w:rFonts w:ascii="Calibri" w:hAnsi="Calibri" w:eastAsia="宋体" w:cs="Times New Roman"/>
        </w:rPr>
        <w:fldChar w:fldCharType="separate"/>
      </w:r>
    </w:p>
    <w:p w14:paraId="7DF3B22C">
      <w:pPr>
        <w:pStyle w:val="15"/>
        <w:tabs>
          <w:tab w:val="right" w:leader="dot" w:pos="20934"/>
        </w:tabs>
        <w:spacing w:line="360" w:lineRule="auto"/>
        <w:rPr>
          <w:rFonts w:ascii="Times New Roman" w:hAnsi="Times New Roman" w:eastAsia="宋体" w:cs="Times New Roman"/>
          <w:b/>
          <w:sz w:val="24"/>
          <w:szCs w:val="24"/>
        </w:rPr>
      </w:pPr>
      <w:r>
        <w:rPr>
          <w:rFonts w:ascii="Times New Roman" w:hAnsi="Times New Roman" w:eastAsia="宋体" w:cs="Times New Roman"/>
          <w:b/>
          <w:sz w:val="24"/>
          <w:szCs w:val="24"/>
        </w:rPr>
        <w:fldChar w:fldCharType="begin"/>
      </w:r>
      <w:r>
        <w:rPr>
          <w:rFonts w:ascii="Times New Roman" w:hAnsi="Times New Roman" w:eastAsia="宋体" w:cs="Times New Roman"/>
          <w:b/>
          <w:sz w:val="24"/>
          <w:szCs w:val="24"/>
        </w:rPr>
        <w:instrText xml:space="preserve"> HYPERLINK \l _Toc1266 </w:instrText>
      </w:r>
      <w:r>
        <w:rPr>
          <w:rFonts w:ascii="Times New Roman" w:hAnsi="Times New Roman" w:eastAsia="宋体" w:cs="Times New Roman"/>
          <w:b/>
          <w:sz w:val="24"/>
          <w:szCs w:val="24"/>
        </w:rPr>
        <w:fldChar w:fldCharType="separate"/>
      </w:r>
      <w:r>
        <w:rPr>
          <w:rFonts w:hint="default" w:ascii="Times New Roman" w:hAnsi="Times New Roman" w:eastAsia="黑体" w:cs="Times New Roman"/>
          <w:b/>
          <w:sz w:val="24"/>
          <w:szCs w:val="44"/>
          <w:highlight w:val="none"/>
          <w:lang w:val="en-US" w:eastAsia="zh-CN"/>
        </w:rPr>
        <w:t>1</w:t>
      </w:r>
      <w:r>
        <w:rPr>
          <w:rFonts w:ascii="Times New Roman" w:hAnsi="Times New Roman" w:eastAsia="黑体" w:cs="Times New Roman"/>
          <w:b/>
          <w:sz w:val="24"/>
          <w:szCs w:val="44"/>
          <w:highlight w:val="none"/>
        </w:rPr>
        <w:t>自治区总体生态环境准入及管控要求</w:t>
      </w:r>
      <w:r>
        <w:rPr>
          <w:rFonts w:ascii="Times New Roman" w:hAnsi="Times New Roman" w:eastAsia="宋体" w:cs="Times New Roman"/>
          <w:b/>
          <w:sz w:val="24"/>
          <w:szCs w:val="24"/>
        </w:rPr>
        <w:tab/>
      </w:r>
      <w:r>
        <w:rPr>
          <w:rFonts w:ascii="Times New Roman" w:hAnsi="Times New Roman" w:eastAsia="宋体" w:cs="Times New Roman"/>
          <w:b/>
          <w:sz w:val="24"/>
          <w:szCs w:val="24"/>
        </w:rPr>
        <w:fldChar w:fldCharType="begin"/>
      </w:r>
      <w:r>
        <w:rPr>
          <w:rFonts w:ascii="Times New Roman" w:hAnsi="Times New Roman" w:eastAsia="宋体" w:cs="Times New Roman"/>
          <w:b/>
          <w:sz w:val="24"/>
          <w:szCs w:val="24"/>
        </w:rPr>
        <w:instrText xml:space="preserve"> PAGEREF _Toc1266 \h </w:instrText>
      </w:r>
      <w:r>
        <w:rPr>
          <w:rFonts w:ascii="Times New Roman" w:hAnsi="Times New Roman" w:eastAsia="宋体" w:cs="Times New Roman"/>
          <w:b/>
          <w:sz w:val="24"/>
          <w:szCs w:val="24"/>
        </w:rPr>
        <w:fldChar w:fldCharType="separate"/>
      </w:r>
      <w:r>
        <w:rPr>
          <w:rFonts w:ascii="Times New Roman" w:hAnsi="Times New Roman" w:eastAsia="宋体" w:cs="Times New Roman"/>
          <w:b/>
          <w:sz w:val="24"/>
          <w:szCs w:val="24"/>
        </w:rPr>
        <w:t>8</w:t>
      </w:r>
      <w:r>
        <w:rPr>
          <w:rFonts w:ascii="Times New Roman" w:hAnsi="Times New Roman" w:eastAsia="宋体" w:cs="Times New Roman"/>
          <w:b/>
          <w:sz w:val="24"/>
          <w:szCs w:val="24"/>
        </w:rPr>
        <w:fldChar w:fldCharType="end"/>
      </w:r>
      <w:r>
        <w:rPr>
          <w:rFonts w:ascii="Times New Roman" w:hAnsi="Times New Roman" w:eastAsia="宋体" w:cs="Times New Roman"/>
          <w:b/>
          <w:sz w:val="24"/>
          <w:szCs w:val="24"/>
        </w:rPr>
        <w:fldChar w:fldCharType="end"/>
      </w:r>
    </w:p>
    <w:p w14:paraId="6F5132F0">
      <w:pPr>
        <w:pStyle w:val="15"/>
        <w:tabs>
          <w:tab w:val="right" w:leader="dot" w:pos="20934"/>
        </w:tabs>
        <w:spacing w:line="360" w:lineRule="auto"/>
        <w:rPr>
          <w:rFonts w:hint="default" w:ascii="Times New Roman" w:hAnsi="Times New Roman" w:eastAsia="宋体" w:cs="Times New Roman"/>
          <w:b/>
          <w:sz w:val="24"/>
          <w:szCs w:val="24"/>
          <w:lang w:val="en-US" w:eastAsia="zh-CN"/>
        </w:rPr>
      </w:pPr>
      <w:r>
        <w:rPr>
          <w:rFonts w:ascii="Times New Roman" w:hAnsi="Times New Roman" w:eastAsia="宋体" w:cs="Times New Roman"/>
          <w:b/>
          <w:sz w:val="24"/>
          <w:szCs w:val="24"/>
        </w:rPr>
        <w:fldChar w:fldCharType="begin"/>
      </w:r>
      <w:r>
        <w:rPr>
          <w:rFonts w:ascii="Times New Roman" w:hAnsi="Times New Roman" w:eastAsia="宋体" w:cs="Times New Roman"/>
          <w:b/>
          <w:sz w:val="24"/>
          <w:szCs w:val="24"/>
        </w:rPr>
        <w:instrText xml:space="preserve"> HYPERLINK \l _Toc27931 </w:instrText>
      </w:r>
      <w:r>
        <w:rPr>
          <w:rFonts w:ascii="Times New Roman" w:hAnsi="Times New Roman" w:eastAsia="宋体" w:cs="Times New Roman"/>
          <w:b/>
          <w:sz w:val="24"/>
          <w:szCs w:val="24"/>
        </w:rPr>
        <w:fldChar w:fldCharType="separate"/>
      </w:r>
      <w:r>
        <w:rPr>
          <w:rFonts w:hint="default" w:ascii="Times New Roman" w:hAnsi="Times New Roman" w:eastAsia="黑体" w:cs="Times New Roman"/>
          <w:b/>
          <w:sz w:val="24"/>
          <w:szCs w:val="44"/>
          <w:highlight w:val="none"/>
          <w:lang w:val="en-US" w:eastAsia="zh-CN"/>
        </w:rPr>
        <w:t>2四大板块生态环境准入及管控要求</w:t>
      </w:r>
      <w:r>
        <w:rPr>
          <w:rFonts w:ascii="Times New Roman" w:hAnsi="Times New Roman" w:eastAsia="宋体" w:cs="Times New Roman"/>
          <w:b/>
          <w:sz w:val="24"/>
          <w:szCs w:val="24"/>
        </w:rPr>
        <w:tab/>
      </w:r>
      <w:r>
        <w:rPr>
          <w:rFonts w:ascii="Times New Roman" w:hAnsi="Times New Roman" w:eastAsia="宋体" w:cs="Times New Roman"/>
          <w:b/>
          <w:sz w:val="24"/>
          <w:szCs w:val="24"/>
        </w:rPr>
        <w:fldChar w:fldCharType="end"/>
      </w:r>
      <w:r>
        <w:rPr>
          <w:rFonts w:hint="eastAsia" w:ascii="Times New Roman" w:hAnsi="Times New Roman" w:cs="Times New Roman"/>
          <w:b/>
          <w:sz w:val="24"/>
          <w:szCs w:val="24"/>
          <w:lang w:val="en-US" w:eastAsia="zh-CN"/>
        </w:rPr>
        <w:t>24</w:t>
      </w:r>
    </w:p>
    <w:p w14:paraId="33F412FB">
      <w:pPr>
        <w:pStyle w:val="16"/>
        <w:tabs>
          <w:tab w:val="right" w:leader="dot" w:pos="20934"/>
        </w:tabs>
        <w:spacing w:line="360" w:lineRule="auto"/>
        <w:rPr>
          <w:rFonts w:hint="default" w:ascii="Times New Roman" w:hAnsi="Times New Roman" w:eastAsia="宋体" w:cs="Times New Roman"/>
          <w:sz w:val="24"/>
          <w:szCs w:val="24"/>
          <w:lang w:val="en-US" w:eastAsia="zh-CN"/>
        </w:rPr>
      </w:pPr>
      <w:r>
        <w:rPr>
          <w:rFonts w:ascii="Times New Roman" w:hAnsi="Times New Roman" w:eastAsia="宋体" w:cs="Times New Roman"/>
          <w:sz w:val="24"/>
          <w:szCs w:val="24"/>
        </w:rPr>
        <w:fldChar w:fldCharType="begin"/>
      </w:r>
      <w:r>
        <w:rPr>
          <w:rFonts w:ascii="Times New Roman" w:hAnsi="Times New Roman" w:eastAsia="宋体" w:cs="Times New Roman"/>
          <w:sz w:val="24"/>
          <w:szCs w:val="24"/>
        </w:rPr>
        <w:instrText xml:space="preserve"> HYPERLINK \l _Toc27325 </w:instrText>
      </w:r>
      <w:r>
        <w:rPr>
          <w:rFonts w:ascii="Times New Roman" w:hAnsi="Times New Roman" w:eastAsia="宋体" w:cs="Times New Roman"/>
          <w:sz w:val="24"/>
          <w:szCs w:val="24"/>
        </w:rPr>
        <w:fldChar w:fldCharType="separate"/>
      </w:r>
      <w:r>
        <w:rPr>
          <w:rFonts w:ascii="Times New Roman" w:hAnsi="Times New Roman" w:eastAsia="黑体" w:cs="Times New Roman"/>
          <w:sz w:val="24"/>
          <w:szCs w:val="40"/>
          <w:highlight w:val="none"/>
        </w:rPr>
        <w:t>2.1北部湾经济区</w:t>
      </w:r>
      <w:r>
        <w:rPr>
          <w:rFonts w:ascii="Times New Roman" w:hAnsi="Times New Roman" w:eastAsia="宋体" w:cs="Times New Roman"/>
          <w:sz w:val="24"/>
          <w:szCs w:val="24"/>
        </w:rPr>
        <w:tab/>
      </w:r>
      <w:r>
        <w:rPr>
          <w:rFonts w:ascii="Times New Roman" w:hAnsi="Times New Roman" w:eastAsia="宋体" w:cs="Times New Roman"/>
          <w:sz w:val="24"/>
          <w:szCs w:val="24"/>
        </w:rPr>
        <w:fldChar w:fldCharType="end"/>
      </w:r>
      <w:r>
        <w:rPr>
          <w:rFonts w:hint="eastAsia" w:ascii="Times New Roman" w:hAnsi="Times New Roman" w:cs="Times New Roman"/>
          <w:sz w:val="24"/>
          <w:szCs w:val="24"/>
          <w:lang w:val="en-US" w:eastAsia="zh-CN"/>
        </w:rPr>
        <w:t>24</w:t>
      </w:r>
    </w:p>
    <w:p w14:paraId="27AC836E">
      <w:pPr>
        <w:pStyle w:val="16"/>
        <w:tabs>
          <w:tab w:val="right" w:leader="dot" w:pos="20934"/>
        </w:tabs>
        <w:spacing w:line="360" w:lineRule="auto"/>
        <w:rPr>
          <w:rFonts w:hint="default" w:ascii="Times New Roman" w:hAnsi="Times New Roman" w:eastAsia="宋体" w:cs="Times New Roman"/>
          <w:sz w:val="24"/>
          <w:szCs w:val="24"/>
          <w:lang w:val="en-US" w:eastAsia="zh-CN"/>
        </w:rPr>
      </w:pPr>
      <w:r>
        <w:rPr>
          <w:rFonts w:ascii="Times New Roman" w:hAnsi="Times New Roman" w:eastAsia="宋体" w:cs="Times New Roman"/>
          <w:sz w:val="24"/>
          <w:szCs w:val="24"/>
        </w:rPr>
        <w:fldChar w:fldCharType="begin"/>
      </w:r>
      <w:r>
        <w:rPr>
          <w:rFonts w:ascii="Times New Roman" w:hAnsi="Times New Roman" w:eastAsia="宋体" w:cs="Times New Roman"/>
          <w:sz w:val="24"/>
          <w:szCs w:val="24"/>
        </w:rPr>
        <w:instrText xml:space="preserve"> HYPERLINK \l _Toc10788 </w:instrText>
      </w:r>
      <w:r>
        <w:rPr>
          <w:rFonts w:ascii="Times New Roman" w:hAnsi="Times New Roman" w:eastAsia="宋体" w:cs="Times New Roman"/>
          <w:sz w:val="24"/>
          <w:szCs w:val="24"/>
        </w:rPr>
        <w:fldChar w:fldCharType="separate"/>
      </w:r>
      <w:r>
        <w:rPr>
          <w:rFonts w:ascii="Times New Roman" w:hAnsi="Times New Roman" w:eastAsia="黑体" w:cs="Times New Roman"/>
          <w:sz w:val="24"/>
          <w:szCs w:val="40"/>
          <w:highlight w:val="none"/>
        </w:rPr>
        <w:t>2.2左右江革命老区</w:t>
      </w:r>
      <w:r>
        <w:rPr>
          <w:rFonts w:ascii="Times New Roman" w:hAnsi="Times New Roman" w:eastAsia="宋体" w:cs="Times New Roman"/>
          <w:sz w:val="24"/>
          <w:szCs w:val="24"/>
        </w:rPr>
        <w:tab/>
      </w:r>
      <w:r>
        <w:rPr>
          <w:rFonts w:ascii="Times New Roman" w:hAnsi="Times New Roman" w:eastAsia="宋体" w:cs="Times New Roman"/>
          <w:sz w:val="24"/>
          <w:szCs w:val="24"/>
        </w:rPr>
        <w:fldChar w:fldCharType="end"/>
      </w:r>
      <w:r>
        <w:rPr>
          <w:rFonts w:hint="eastAsia" w:ascii="Times New Roman" w:hAnsi="Times New Roman" w:cs="Times New Roman"/>
          <w:sz w:val="24"/>
          <w:szCs w:val="24"/>
          <w:lang w:val="en-US" w:eastAsia="zh-CN"/>
        </w:rPr>
        <w:t>25</w:t>
      </w:r>
    </w:p>
    <w:p w14:paraId="6E6CBB1A">
      <w:pPr>
        <w:pStyle w:val="16"/>
        <w:tabs>
          <w:tab w:val="right" w:leader="dot" w:pos="20934"/>
        </w:tabs>
        <w:spacing w:line="360" w:lineRule="auto"/>
        <w:rPr>
          <w:rFonts w:hint="default" w:ascii="Times New Roman" w:hAnsi="Times New Roman" w:eastAsia="宋体" w:cs="Times New Roman"/>
          <w:sz w:val="24"/>
          <w:szCs w:val="24"/>
          <w:lang w:val="en-US" w:eastAsia="zh-CN"/>
        </w:rPr>
      </w:pPr>
      <w:r>
        <w:rPr>
          <w:rFonts w:ascii="Times New Roman" w:hAnsi="Times New Roman" w:eastAsia="宋体" w:cs="Times New Roman"/>
          <w:sz w:val="24"/>
          <w:szCs w:val="24"/>
        </w:rPr>
        <w:fldChar w:fldCharType="begin"/>
      </w:r>
      <w:r>
        <w:rPr>
          <w:rFonts w:ascii="Times New Roman" w:hAnsi="Times New Roman" w:eastAsia="宋体" w:cs="Times New Roman"/>
          <w:sz w:val="24"/>
          <w:szCs w:val="24"/>
        </w:rPr>
        <w:instrText xml:space="preserve"> HYPERLINK \l _Toc3286 </w:instrText>
      </w:r>
      <w:r>
        <w:rPr>
          <w:rFonts w:ascii="Times New Roman" w:hAnsi="Times New Roman" w:eastAsia="宋体" w:cs="Times New Roman"/>
          <w:sz w:val="24"/>
          <w:szCs w:val="24"/>
        </w:rPr>
        <w:fldChar w:fldCharType="separate"/>
      </w:r>
      <w:r>
        <w:rPr>
          <w:rFonts w:ascii="Times New Roman" w:hAnsi="Times New Roman" w:eastAsia="黑体" w:cs="Times New Roman"/>
          <w:sz w:val="24"/>
          <w:szCs w:val="40"/>
          <w:highlight w:val="none"/>
        </w:rPr>
        <w:t>2.3西江经济带</w:t>
      </w:r>
      <w:r>
        <w:rPr>
          <w:rFonts w:ascii="Times New Roman" w:hAnsi="Times New Roman" w:eastAsia="宋体" w:cs="Times New Roman"/>
          <w:sz w:val="24"/>
          <w:szCs w:val="24"/>
        </w:rPr>
        <w:tab/>
      </w:r>
      <w:r>
        <w:rPr>
          <w:rFonts w:ascii="Times New Roman" w:hAnsi="Times New Roman" w:eastAsia="宋体" w:cs="Times New Roman"/>
          <w:sz w:val="24"/>
          <w:szCs w:val="24"/>
        </w:rPr>
        <w:fldChar w:fldCharType="end"/>
      </w:r>
      <w:r>
        <w:rPr>
          <w:rFonts w:hint="eastAsia" w:ascii="Times New Roman" w:hAnsi="Times New Roman" w:cs="Times New Roman"/>
          <w:sz w:val="24"/>
          <w:szCs w:val="24"/>
          <w:lang w:val="en-US" w:eastAsia="zh-CN"/>
        </w:rPr>
        <w:t>26</w:t>
      </w:r>
    </w:p>
    <w:p w14:paraId="6619B646">
      <w:pPr>
        <w:pStyle w:val="16"/>
        <w:tabs>
          <w:tab w:val="right" w:leader="dot" w:pos="20934"/>
        </w:tabs>
        <w:spacing w:line="360" w:lineRule="auto"/>
        <w:rPr>
          <w:rFonts w:hint="default" w:ascii="Times New Roman" w:hAnsi="Times New Roman" w:eastAsia="宋体" w:cs="Times New Roman"/>
          <w:sz w:val="24"/>
          <w:szCs w:val="24"/>
          <w:lang w:val="en-US" w:eastAsia="zh-CN"/>
        </w:rPr>
      </w:pPr>
      <w:r>
        <w:rPr>
          <w:rFonts w:ascii="Times New Roman" w:hAnsi="Times New Roman" w:eastAsia="宋体" w:cs="Times New Roman"/>
          <w:sz w:val="24"/>
          <w:szCs w:val="24"/>
        </w:rPr>
        <w:fldChar w:fldCharType="begin"/>
      </w:r>
      <w:r>
        <w:rPr>
          <w:rFonts w:ascii="Times New Roman" w:hAnsi="Times New Roman" w:eastAsia="宋体" w:cs="Times New Roman"/>
          <w:sz w:val="24"/>
          <w:szCs w:val="24"/>
        </w:rPr>
        <w:instrText xml:space="preserve"> HYPERLINK \l _Toc7213 </w:instrText>
      </w:r>
      <w:r>
        <w:rPr>
          <w:rFonts w:ascii="Times New Roman" w:hAnsi="Times New Roman" w:eastAsia="宋体" w:cs="Times New Roman"/>
          <w:sz w:val="24"/>
          <w:szCs w:val="24"/>
        </w:rPr>
        <w:fldChar w:fldCharType="separate"/>
      </w:r>
      <w:r>
        <w:rPr>
          <w:rFonts w:ascii="Times New Roman" w:hAnsi="Times New Roman" w:eastAsia="黑体" w:cs="Times New Roman"/>
          <w:sz w:val="24"/>
          <w:szCs w:val="40"/>
          <w:highlight w:val="none"/>
        </w:rPr>
        <w:t>2.4桂林国际旅游胜地</w:t>
      </w:r>
      <w:r>
        <w:rPr>
          <w:rFonts w:ascii="Times New Roman" w:hAnsi="Times New Roman" w:eastAsia="宋体" w:cs="Times New Roman"/>
          <w:sz w:val="24"/>
          <w:szCs w:val="24"/>
        </w:rPr>
        <w:tab/>
      </w:r>
      <w:r>
        <w:rPr>
          <w:rFonts w:ascii="Times New Roman" w:hAnsi="Times New Roman" w:eastAsia="宋体" w:cs="Times New Roman"/>
          <w:sz w:val="24"/>
          <w:szCs w:val="24"/>
        </w:rPr>
        <w:fldChar w:fldCharType="end"/>
      </w:r>
      <w:r>
        <w:rPr>
          <w:rFonts w:hint="eastAsia" w:ascii="Times New Roman" w:hAnsi="Times New Roman" w:cs="Times New Roman"/>
          <w:sz w:val="24"/>
          <w:szCs w:val="24"/>
          <w:lang w:val="en-US" w:eastAsia="zh-CN"/>
        </w:rPr>
        <w:t>27</w:t>
      </w:r>
    </w:p>
    <w:p w14:paraId="6A8EF0B4">
      <w:pPr>
        <w:shd w:val="clear" w:color="auto" w:fill="auto"/>
      </w:pPr>
      <w:r>
        <w:rPr>
          <w:b/>
        </w:rPr>
        <w:fldChar w:fldCharType="end"/>
      </w:r>
    </w:p>
    <w:p w14:paraId="3FB07906">
      <w:pPr>
        <w:adjustRightInd w:val="0"/>
        <w:snapToGrid w:val="0"/>
        <w:spacing w:line="360" w:lineRule="auto"/>
        <w:rPr>
          <w:rFonts w:ascii="Times New Roman" w:hAnsi="Times New Roman" w:eastAsia="宋体" w:cs="Times New Roman"/>
          <w:bCs/>
          <w:color w:val="auto"/>
          <w:kern w:val="0"/>
          <w:sz w:val="24"/>
          <w:highlight w:val="none"/>
          <w:u w:val="none"/>
        </w:rPr>
        <w:sectPr>
          <w:type w:val="continuous"/>
          <w:pgSz w:w="23814" w:h="16839" w:orient="landscape"/>
          <w:pgMar w:top="1797" w:right="1440" w:bottom="1797" w:left="1440" w:header="851" w:footer="992" w:gutter="0"/>
          <w:pgNumType w:fmt="upperRoman" w:start="1"/>
          <w:cols w:space="720" w:num="1"/>
          <w:docGrid w:type="lines" w:linePitch="312" w:charSpace="0"/>
        </w:sectPr>
      </w:pPr>
      <w:r>
        <w:rPr>
          <w:rFonts w:ascii="Times New Roman" w:hAnsi="Times New Roman" w:eastAsia="宋体" w:cs="Times New Roman"/>
          <w:bCs/>
          <w:color w:val="auto"/>
          <w:highlight w:val="none"/>
          <w:u w:val="none"/>
        </w:rPr>
        <w:fldChar w:fldCharType="end"/>
      </w:r>
    </w:p>
    <w:p w14:paraId="2902EA68">
      <w:pPr>
        <w:pStyle w:val="5"/>
        <w:keepNext/>
        <w:keepLines/>
        <w:pageBreakBefore w:val="0"/>
        <w:widowControl w:val="0"/>
        <w:kinsoku/>
        <w:wordWrap/>
        <w:overflowPunct/>
        <w:topLinePunct w:val="0"/>
        <w:autoSpaceDE/>
        <w:autoSpaceDN/>
        <w:bidi w:val="0"/>
        <w:adjustRightInd w:val="0"/>
        <w:snapToGrid w:val="0"/>
        <w:spacing w:before="156" w:after="156"/>
        <w:jc w:val="both"/>
        <w:textAlignment w:val="auto"/>
        <w:rPr>
          <w:rFonts w:ascii="黑体" w:hAnsi="黑体" w:eastAsia="黑体" w:cs="Times New Roman"/>
          <w:color w:val="auto"/>
          <w:szCs w:val="32"/>
          <w:highlight w:val="none"/>
          <w:u w:val="none"/>
          <w:lang w:bidi="ar-SA"/>
        </w:rPr>
      </w:pPr>
      <w:bookmarkStart w:id="4" w:name="_Toc1266"/>
      <w:bookmarkStart w:id="5" w:name="_Toc20099"/>
      <w:bookmarkStart w:id="6" w:name="_Toc17757"/>
      <w:bookmarkStart w:id="7" w:name="_Toc18654"/>
      <w:bookmarkStart w:id="8" w:name="_Toc10644"/>
      <w:bookmarkStart w:id="9" w:name="_Toc9223"/>
      <w:bookmarkStart w:id="10" w:name="_Toc27601823"/>
      <w:r>
        <w:rPr>
          <w:rFonts w:hint="eastAsia" w:ascii="黑体" w:hAnsi="黑体" w:eastAsia="黑体" w:cs="Times New Roman"/>
          <w:color w:val="auto"/>
          <w:szCs w:val="32"/>
          <w:highlight w:val="none"/>
          <w:u w:val="none"/>
          <w:lang w:val="en-US" w:eastAsia="zh-CN" w:bidi="ar-SA"/>
        </w:rPr>
        <w:t>1</w:t>
      </w:r>
      <w:r>
        <w:rPr>
          <w:rFonts w:ascii="黑体" w:hAnsi="黑体" w:eastAsia="黑体" w:cs="Times New Roman"/>
          <w:color w:val="auto"/>
          <w:szCs w:val="32"/>
          <w:highlight w:val="none"/>
          <w:u w:val="none"/>
          <w:lang w:bidi="ar-SA"/>
        </w:rPr>
        <w:t>自治区总体生态环境准入及管控要求</w:t>
      </w:r>
      <w:bookmarkEnd w:id="4"/>
      <w:bookmarkEnd w:id="5"/>
      <w:bookmarkEnd w:id="6"/>
      <w:bookmarkEnd w:id="7"/>
      <w:bookmarkEnd w:id="8"/>
      <w:bookmarkEnd w:id="9"/>
    </w:p>
    <w:p w14:paraId="40763C89">
      <w:pPr>
        <w:keepNext w:val="0"/>
        <w:keepLines w:val="0"/>
        <w:pageBreakBefore w:val="0"/>
        <w:widowControl w:val="0"/>
        <w:kinsoku/>
        <w:wordWrap/>
        <w:overflowPunct/>
        <w:topLinePunct w:val="0"/>
        <w:autoSpaceDE/>
        <w:autoSpaceDN/>
        <w:bidi w:val="0"/>
        <w:adjustRightInd w:val="0"/>
        <w:snapToGrid w:val="0"/>
        <w:jc w:val="center"/>
        <w:textAlignment w:val="auto"/>
        <w:outlineLvl w:val="0"/>
        <w:rPr>
          <w:rFonts w:ascii="黑体" w:hAnsi="黑体" w:eastAsia="黑体" w:cs="Times New Roman"/>
          <w:color w:val="auto"/>
          <w:kern w:val="2"/>
          <w:sz w:val="24"/>
          <w:szCs w:val="24"/>
          <w:highlight w:val="none"/>
          <w:u w:val="none"/>
          <w:lang w:val="en-US" w:eastAsia="zh-CN" w:bidi="ar-SA"/>
        </w:rPr>
      </w:pPr>
      <w:bookmarkStart w:id="11" w:name="_Toc13381"/>
      <w:bookmarkStart w:id="12" w:name="_Toc12381"/>
      <w:bookmarkStart w:id="13" w:name="_Toc31023"/>
      <w:bookmarkStart w:id="14" w:name="_Toc21566"/>
      <w:bookmarkStart w:id="15" w:name="_Toc26577"/>
      <w:r>
        <w:rPr>
          <w:rFonts w:ascii="黑体" w:hAnsi="黑体" w:eastAsia="黑体" w:cs="Times New Roman"/>
          <w:color w:val="auto"/>
          <w:kern w:val="2"/>
          <w:sz w:val="24"/>
          <w:szCs w:val="24"/>
          <w:highlight w:val="none"/>
          <w:u w:val="none"/>
          <w:lang w:val="en-US" w:eastAsia="zh-CN" w:bidi="ar-SA"/>
        </w:rPr>
        <w:t>表1.1-1  陆域产业布局总体生态环境准入及管控要求</w:t>
      </w:r>
      <w:bookmarkEnd w:id="11"/>
      <w:bookmarkEnd w:id="12"/>
      <w:bookmarkEnd w:id="13"/>
      <w:bookmarkEnd w:id="14"/>
      <w:bookmarkEnd w:id="15"/>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7"/>
        <w:gridCol w:w="1944"/>
        <w:gridCol w:w="2026"/>
        <w:gridCol w:w="15014"/>
      </w:tblGrid>
      <w:tr w14:paraId="73ABD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1587" w:type="dxa"/>
            <w:noWrap w:val="0"/>
            <w:vAlign w:val="center"/>
          </w:tcPr>
          <w:p w14:paraId="0E119A69">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适用分区</w:t>
            </w:r>
          </w:p>
        </w:tc>
        <w:tc>
          <w:tcPr>
            <w:tcW w:w="1944" w:type="dxa"/>
            <w:noWrap w:val="0"/>
            <w:vAlign w:val="center"/>
          </w:tcPr>
          <w:p w14:paraId="2A21F89A">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适用对象</w:t>
            </w:r>
          </w:p>
        </w:tc>
        <w:tc>
          <w:tcPr>
            <w:tcW w:w="2026" w:type="dxa"/>
            <w:noWrap w:val="0"/>
            <w:vAlign w:val="center"/>
          </w:tcPr>
          <w:p w14:paraId="717D52F3">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管控要求类别</w:t>
            </w:r>
          </w:p>
        </w:tc>
        <w:tc>
          <w:tcPr>
            <w:tcW w:w="15014" w:type="dxa"/>
            <w:noWrap w:val="0"/>
            <w:vAlign w:val="center"/>
          </w:tcPr>
          <w:p w14:paraId="139B77D6">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生态环境准入及管控要求</w:t>
            </w:r>
          </w:p>
        </w:tc>
      </w:tr>
      <w:tr w14:paraId="26632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6" w:hRule="atLeast"/>
          <w:jc w:val="center"/>
        </w:trPr>
        <w:tc>
          <w:tcPr>
            <w:tcW w:w="1587" w:type="dxa"/>
            <w:noWrap w:val="0"/>
            <w:vAlign w:val="center"/>
          </w:tcPr>
          <w:p w14:paraId="734518A5">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自治区</w:t>
            </w:r>
          </w:p>
        </w:tc>
        <w:tc>
          <w:tcPr>
            <w:tcW w:w="1944" w:type="dxa"/>
            <w:noWrap w:val="0"/>
            <w:vAlign w:val="center"/>
          </w:tcPr>
          <w:p w14:paraId="10513805">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全自治区</w:t>
            </w:r>
          </w:p>
        </w:tc>
        <w:tc>
          <w:tcPr>
            <w:tcW w:w="2026" w:type="dxa"/>
            <w:noWrap w:val="0"/>
            <w:vAlign w:val="center"/>
          </w:tcPr>
          <w:p w14:paraId="2218F8A2">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5014" w:type="dxa"/>
            <w:noWrap w:val="0"/>
            <w:vAlign w:val="center"/>
          </w:tcPr>
          <w:p w14:paraId="7E5B19E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．新建、改建、扩建工业项目应按照国家、自治区相关行业建设项目环境影响评价文件审批原则入园。新建企业应符合批准实施的国土空间规划、</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十四五</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规划纲要和相关专项规划。</w:t>
            </w:r>
          </w:p>
          <w:p w14:paraId="6B713C1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新建、扩建现行《产业结构调整指导目录》《广西工业产业结构调整指导目录》明确的淘汰类、禁止类项目；</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引入不符合现行《市场准入负面清单》禁止准入类事项。新建项目要严格落实国家有关产业重大生产力规划布局要求，并符合广西优化主导产业布局、新发展格局下广西重点产业布局规划、广西制造强区建设中长期规划及相关产业规划布局。</w:t>
            </w:r>
          </w:p>
          <w:p w14:paraId="6A93702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．鼓励和引导新建涉挥发性有机物</w:t>
            </w:r>
            <w:r>
              <w:rPr>
                <w:rFonts w:ascii="Times New Roman" w:hAnsi="Times New Roman" w:eastAsia="宋体" w:cs="Times New Roman"/>
                <w:color w:val="auto"/>
                <w:szCs w:val="21"/>
                <w:highlight w:val="none"/>
                <w:u w:val="none"/>
              </w:rPr>
              <w:t>VOCs</w:t>
            </w:r>
            <w:r>
              <w:rPr>
                <w:rFonts w:ascii="Times New Roman" w:hAnsi="宋体" w:eastAsia="宋体" w:cs="Times New Roman"/>
                <w:color w:val="auto"/>
                <w:szCs w:val="21"/>
                <w:highlight w:val="none"/>
                <w:u w:val="none"/>
              </w:rPr>
              <w:t>排放的工业企业入园区（含工业园区、工业集中区、工业集聚区）。未纳入《石化产业规划布局方案》的新建炼化项目一律</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建设。</w:t>
            </w:r>
          </w:p>
          <w:p w14:paraId="0A52B5D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建设项目使用林地，应当按照《建设项目使用林地审核审批管理办法》审核和审批，严格保护和合理利用林地，促进生态林业和民生林业发展。公益林、天然林依据《中华人民共和国森林法》《中华人民共和国森林法实施条例》《国家级公益林管理办法》《国家级公益林区划界定办法》《天然林保护修复制度方案》等国家和自治区有关规定进行管理。</w:t>
            </w:r>
          </w:p>
          <w:p w14:paraId="1424FB88">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．建设项目使用草地，应当按照《草原征占用审核审批管理规范》审核和审批，严格保护和合理利用草地。</w:t>
            </w:r>
          </w:p>
          <w:p w14:paraId="36A4461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6</w:t>
            </w:r>
            <w:r>
              <w:rPr>
                <w:rFonts w:ascii="Times New Roman" w:hAnsi="宋体" w:eastAsia="宋体" w:cs="Times New Roman"/>
                <w:color w:val="auto"/>
                <w:szCs w:val="21"/>
                <w:highlight w:val="none"/>
                <w:u w:val="none"/>
              </w:rPr>
              <w:t>．严格执行能耗</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双控</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、碳排放强度、碳达峰和碳中和目标要求，新建项目能源利用效率应达到国内先进水平。</w:t>
            </w:r>
          </w:p>
          <w:p w14:paraId="439AA609">
            <w:pPr>
              <w:shd w:val="clear" w:color="auto" w:fill="auto"/>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7</w:t>
            </w:r>
            <w:r>
              <w:rPr>
                <w:rFonts w:ascii="Times New Roman" w:hAnsi="宋体" w:eastAsia="宋体" w:cs="Times New Roman"/>
                <w:color w:val="auto"/>
                <w:szCs w:val="21"/>
                <w:highlight w:val="none"/>
                <w:u w:val="none"/>
              </w:rPr>
              <w:t>．新建、改建、扩建</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两高</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项目须符合生态环境保护法律法规和相关法定规划，满足重点污染物排放总量控制、碳排放达峰目标、生态环境准入清单、相关规划环评和相应行业建设项目环境准入条件、环评文件审批原则要求。拟建、在建项目，应对照能效标杆水平建设实施；能效介于标杆水平和基准水平之间的存量项目，鼓励加强绿色低碳工艺技术装备应用，引导企业应改尽改、应提尽提；能效低于基准水平的存量项目，有序开展节能降碳技术改造或淘汰退出。</w:t>
            </w:r>
          </w:p>
          <w:p w14:paraId="0FA63720">
            <w:pPr>
              <w:shd w:val="clear" w:color="auto" w:fill="auto"/>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8</w:t>
            </w:r>
            <w:r>
              <w:rPr>
                <w:rFonts w:ascii="Times New Roman" w:hAnsi="宋体" w:eastAsia="宋体" w:cs="Times New Roman"/>
                <w:color w:val="auto"/>
                <w:szCs w:val="21"/>
                <w:highlight w:val="none"/>
                <w:u w:val="none"/>
              </w:rPr>
              <w:t>．石化、煤化工、燃煤发电（含热电）、钢铁、有色金属冶炼、制浆造纸行业新增主要污染物排放量的建设项目，应满足区域、流域控制单元环境质量改善目标管理要求，主要污染物实行区域倍量削减或等量削减；市级生态环境主管部门审批的编制环境影响报告书的重点行业建设项目可参照执行。</w:t>
            </w:r>
          </w:p>
          <w:p w14:paraId="260F7EC8">
            <w:pPr>
              <w:shd w:val="clear" w:color="auto" w:fill="auto"/>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9</w:t>
            </w:r>
            <w:r>
              <w:rPr>
                <w:rFonts w:ascii="Times New Roman" w:hAnsi="宋体" w:eastAsia="宋体" w:cs="Times New Roman"/>
                <w:color w:val="auto"/>
                <w:szCs w:val="21"/>
                <w:highlight w:val="none"/>
                <w:u w:val="none"/>
              </w:rPr>
              <w:t>．依据国土空间规划和</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三区三线</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，明确减污降碳重点管控区域和相关管控要求，将碳达峰碳中和要求纳入</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三线一单</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（生态保护红线、环境质量底线、资源利用上线和生态环境准入清单）分区管控体系。</w:t>
            </w:r>
          </w:p>
          <w:p w14:paraId="014166EA">
            <w:pPr>
              <w:shd w:val="clear" w:color="auto" w:fill="auto"/>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10</w:t>
            </w:r>
            <w:r>
              <w:rPr>
                <w:rFonts w:ascii="Times New Roman" w:hAnsi="宋体" w:eastAsia="宋体" w:cs="Times New Roman"/>
                <w:color w:val="auto"/>
                <w:szCs w:val="21"/>
                <w:highlight w:val="none"/>
                <w:u w:val="none"/>
              </w:rPr>
              <w:t>．增强区域环境质量改善目标对能源和产业布局的引导作用。加大污染严重地区结构调整和布局优化力度，依法依规加快推动重点区域、重点流域落后和过剩产能退出。依法加快城市建成区重污染企业搬迁改造或关闭退出。</w:t>
            </w:r>
          </w:p>
          <w:p w14:paraId="65165D60">
            <w:pPr>
              <w:shd w:val="clear" w:color="auto" w:fill="auto"/>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11</w:t>
            </w:r>
            <w:r>
              <w:rPr>
                <w:rFonts w:ascii="Times New Roman" w:hAnsi="宋体" w:eastAsia="宋体" w:cs="Times New Roman"/>
                <w:color w:val="auto"/>
                <w:szCs w:val="21"/>
                <w:highlight w:val="none"/>
                <w:u w:val="none"/>
              </w:rPr>
              <w:t>．严格执行《广西生态保护正面清单（</w:t>
            </w:r>
            <w:r>
              <w:rPr>
                <w:rFonts w:ascii="Times New Roman" w:hAnsi="Times New Roman" w:eastAsia="宋体" w:cs="Times New Roman"/>
                <w:color w:val="auto"/>
                <w:szCs w:val="21"/>
                <w:highlight w:val="none"/>
                <w:u w:val="none"/>
              </w:rPr>
              <w:t>2022</w:t>
            </w:r>
            <w:r>
              <w:rPr>
                <w:rFonts w:ascii="Times New Roman" w:hAnsi="宋体" w:eastAsia="宋体" w:cs="Times New Roman"/>
                <w:color w:val="auto"/>
                <w:szCs w:val="21"/>
                <w:highlight w:val="none"/>
                <w:u w:val="none"/>
              </w:rPr>
              <w:t>）》和《广西生态保护禁止事项清单（</w:t>
            </w:r>
            <w:r>
              <w:rPr>
                <w:rFonts w:ascii="Times New Roman" w:hAnsi="Times New Roman" w:eastAsia="宋体" w:cs="Times New Roman"/>
                <w:color w:val="auto"/>
                <w:szCs w:val="21"/>
                <w:highlight w:val="none"/>
                <w:u w:val="none"/>
              </w:rPr>
              <w:t>2022</w:t>
            </w:r>
            <w:r>
              <w:rPr>
                <w:rFonts w:ascii="Times New Roman" w:hAnsi="宋体" w:eastAsia="宋体" w:cs="Times New Roman"/>
                <w:color w:val="auto"/>
                <w:szCs w:val="21"/>
                <w:highlight w:val="none"/>
                <w:u w:val="none"/>
              </w:rPr>
              <w:t>）》。</w:t>
            </w:r>
          </w:p>
          <w:p w14:paraId="64D1E6C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12</w:t>
            </w:r>
            <w:r>
              <w:rPr>
                <w:rFonts w:ascii="Times New Roman" w:hAnsi="宋体" w:eastAsia="宋体" w:cs="Times New Roman"/>
                <w:color w:val="auto"/>
                <w:szCs w:val="21"/>
                <w:highlight w:val="none"/>
                <w:u w:val="none"/>
              </w:rPr>
              <w:t>．</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准入及管控要求</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涉及跨省（市）界有协议或相关规定的，从其规定。</w:t>
            </w:r>
          </w:p>
          <w:p w14:paraId="3A05F25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13</w:t>
            </w:r>
            <w:r>
              <w:rPr>
                <w:rFonts w:ascii="Times New Roman" w:hAnsi="宋体" w:eastAsia="宋体" w:cs="Times New Roman"/>
                <w:color w:val="auto"/>
                <w:szCs w:val="21"/>
                <w:highlight w:val="none"/>
                <w:u w:val="none"/>
              </w:rPr>
              <w:t>．</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准入及管控要求</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规定依据的法规、规章等发生变更的，从其规定。</w:t>
            </w:r>
          </w:p>
        </w:tc>
      </w:tr>
    </w:tbl>
    <w:p w14:paraId="39E3022E">
      <w:pPr>
        <w:widowControl/>
        <w:shd w:val="clear" w:color="auto" w:fill="auto"/>
        <w:jc w:val="left"/>
        <w:rPr>
          <w:rFonts w:ascii="Times New Roman" w:hAnsi="Times New Roman" w:eastAsia="宋体" w:cs="Times New Roman"/>
          <w:color w:val="auto"/>
          <w:szCs w:val="21"/>
          <w:highlight w:val="none"/>
          <w:u w:val="none"/>
        </w:rPr>
      </w:pPr>
    </w:p>
    <w:p w14:paraId="6DFFC21D">
      <w:pPr>
        <w:keepNext w:val="0"/>
        <w:keepLines w:val="0"/>
        <w:pageBreakBefore w:val="0"/>
        <w:widowControl w:val="0"/>
        <w:kinsoku/>
        <w:wordWrap/>
        <w:overflowPunct/>
        <w:topLinePunct w:val="0"/>
        <w:autoSpaceDE/>
        <w:autoSpaceDN/>
        <w:bidi w:val="0"/>
        <w:adjustRightInd w:val="0"/>
        <w:snapToGrid w:val="0"/>
        <w:jc w:val="center"/>
        <w:textAlignment w:val="auto"/>
        <w:outlineLvl w:val="0"/>
        <w:rPr>
          <w:rFonts w:ascii="黑体" w:hAnsi="Times New Roman" w:eastAsia="黑体" w:cs="Times New Roman"/>
          <w:color w:val="auto"/>
          <w:kern w:val="2"/>
          <w:sz w:val="24"/>
          <w:szCs w:val="24"/>
          <w:highlight w:val="none"/>
          <w:u w:val="none"/>
          <w:lang w:val="en-US" w:eastAsia="zh-CN" w:bidi="ar-SA"/>
        </w:rPr>
      </w:pPr>
      <w:r>
        <w:rPr>
          <w:rFonts w:ascii="黑体" w:hAnsi="Times New Roman" w:eastAsia="黑体" w:cs="Times New Roman"/>
          <w:color w:val="auto"/>
          <w:kern w:val="2"/>
          <w:sz w:val="24"/>
          <w:szCs w:val="24"/>
          <w:highlight w:val="none"/>
          <w:u w:val="none"/>
          <w:lang w:val="en-US" w:eastAsia="zh-CN" w:bidi="ar-SA"/>
        </w:rPr>
        <w:br w:type="page"/>
      </w:r>
      <w:bookmarkStart w:id="16" w:name="_Toc5571"/>
      <w:bookmarkStart w:id="17" w:name="_Toc28876"/>
      <w:bookmarkStart w:id="18" w:name="_Toc4462"/>
      <w:bookmarkStart w:id="19" w:name="_Toc7719"/>
      <w:bookmarkStart w:id="20" w:name="_Toc31967"/>
      <w:r>
        <w:rPr>
          <w:rFonts w:ascii="黑体" w:hAnsi="黑体" w:eastAsia="黑体" w:cs="Times New Roman"/>
          <w:color w:val="auto"/>
          <w:kern w:val="2"/>
          <w:sz w:val="24"/>
          <w:szCs w:val="24"/>
          <w:highlight w:val="none"/>
          <w:u w:val="none"/>
          <w:lang w:val="en-US" w:eastAsia="zh-CN" w:bidi="ar-SA"/>
        </w:rPr>
        <w:t>表</w:t>
      </w:r>
      <w:r>
        <w:rPr>
          <w:rFonts w:ascii="黑体" w:hAnsi="Times New Roman" w:eastAsia="黑体" w:cs="Times New Roman"/>
          <w:color w:val="auto"/>
          <w:kern w:val="2"/>
          <w:sz w:val="24"/>
          <w:szCs w:val="24"/>
          <w:highlight w:val="none"/>
          <w:u w:val="none"/>
          <w:lang w:val="en-US" w:eastAsia="zh-CN" w:bidi="ar-SA"/>
        </w:rPr>
        <w:t xml:space="preserve">1.1-2  </w:t>
      </w:r>
      <w:r>
        <w:rPr>
          <w:rFonts w:ascii="黑体" w:hAnsi="黑体" w:eastAsia="黑体" w:cs="Times New Roman"/>
          <w:color w:val="auto"/>
          <w:kern w:val="2"/>
          <w:sz w:val="24"/>
          <w:szCs w:val="24"/>
          <w:highlight w:val="none"/>
          <w:u w:val="none"/>
          <w:lang w:val="en-US" w:eastAsia="zh-CN" w:bidi="ar-SA"/>
        </w:rPr>
        <w:t>陆域生态空间总体生态环境准入及管控要求</w:t>
      </w:r>
      <w:bookmarkEnd w:id="16"/>
      <w:bookmarkEnd w:id="17"/>
      <w:bookmarkEnd w:id="18"/>
      <w:bookmarkEnd w:id="19"/>
      <w:bookmarkEnd w:id="20"/>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5"/>
        <w:gridCol w:w="969"/>
        <w:gridCol w:w="963"/>
        <w:gridCol w:w="2039"/>
        <w:gridCol w:w="14977"/>
      </w:tblGrid>
      <w:tr w14:paraId="4FAC8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595" w:type="dxa"/>
            <w:noWrap w:val="0"/>
            <w:vAlign w:val="center"/>
          </w:tcPr>
          <w:p w14:paraId="78F05B45">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适用分区</w:t>
            </w:r>
          </w:p>
        </w:tc>
        <w:tc>
          <w:tcPr>
            <w:tcW w:w="1932" w:type="dxa"/>
            <w:gridSpan w:val="2"/>
            <w:noWrap w:val="0"/>
            <w:vAlign w:val="center"/>
          </w:tcPr>
          <w:p w14:paraId="32DB5B94">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适用对象</w:t>
            </w:r>
          </w:p>
        </w:tc>
        <w:tc>
          <w:tcPr>
            <w:tcW w:w="2039" w:type="dxa"/>
            <w:noWrap w:val="0"/>
            <w:vAlign w:val="center"/>
          </w:tcPr>
          <w:p w14:paraId="23B9BCD2">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管控要求类别</w:t>
            </w:r>
          </w:p>
        </w:tc>
        <w:tc>
          <w:tcPr>
            <w:tcW w:w="14977" w:type="dxa"/>
            <w:noWrap w:val="0"/>
            <w:vAlign w:val="center"/>
          </w:tcPr>
          <w:p w14:paraId="054EE3F9">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生态环境准入及管控要求</w:t>
            </w:r>
          </w:p>
        </w:tc>
      </w:tr>
      <w:tr w14:paraId="7DBBB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6" w:hRule="atLeast"/>
          <w:jc w:val="center"/>
        </w:trPr>
        <w:tc>
          <w:tcPr>
            <w:tcW w:w="1595" w:type="dxa"/>
            <w:vMerge w:val="restart"/>
            <w:noWrap w:val="0"/>
            <w:vAlign w:val="center"/>
          </w:tcPr>
          <w:p w14:paraId="47BAFCC0">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优先保护单元</w:t>
            </w:r>
          </w:p>
        </w:tc>
        <w:tc>
          <w:tcPr>
            <w:tcW w:w="1932" w:type="dxa"/>
            <w:gridSpan w:val="2"/>
            <w:noWrap w:val="0"/>
            <w:vAlign w:val="center"/>
          </w:tcPr>
          <w:p w14:paraId="0F2AA686">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陆域生态保护红线</w:t>
            </w:r>
          </w:p>
        </w:tc>
        <w:tc>
          <w:tcPr>
            <w:tcW w:w="2039" w:type="dxa"/>
            <w:noWrap w:val="0"/>
            <w:vAlign w:val="center"/>
          </w:tcPr>
          <w:p w14:paraId="7820D86A">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6C5F3A7E">
            <w:pPr>
              <w:numPr>
                <w:ilvl w:val="0"/>
                <w:numId w:val="0"/>
              </w:numPr>
              <w:shd w:val="clear" w:color="auto" w:fill="auto"/>
              <w:adjustRightInd w:val="0"/>
              <w:snapToGrid w:val="0"/>
              <w:rPr>
                <w:rFonts w:ascii="Times New Roman" w:hAnsi="宋体" w:eastAsia="宋体" w:cs="Times New Roman"/>
                <w:bCs/>
                <w:color w:val="auto"/>
                <w:szCs w:val="21"/>
                <w:highlight w:val="none"/>
                <w:u w:val="none"/>
              </w:rPr>
            </w:pPr>
            <w:r>
              <w:rPr>
                <w:rFonts w:hint="eastAsia" w:ascii="Times New Roman" w:hAnsi="宋体" w:cs="Times New Roman"/>
                <w:bCs/>
                <w:color w:val="auto"/>
                <w:szCs w:val="21"/>
                <w:highlight w:val="none"/>
                <w:u w:val="none"/>
                <w:lang w:val="en-US" w:eastAsia="zh-CN"/>
              </w:rPr>
              <w:t>1</w:t>
            </w:r>
            <w:r>
              <w:rPr>
                <w:rFonts w:ascii="Times New Roman" w:hAnsi="宋体" w:eastAsia="宋体" w:cs="Times New Roman"/>
                <w:bCs/>
                <w:color w:val="auto"/>
                <w:szCs w:val="21"/>
                <w:highlight w:val="none"/>
                <w:u w:val="none"/>
              </w:rPr>
              <w:t>．生态保护红线内，自然保护地核心保护区内原则上</w:t>
            </w:r>
            <w:r>
              <w:rPr>
                <w:rFonts w:ascii="Times New Roman" w:hAnsi="宋体" w:eastAsia="宋体" w:cs="Times New Roman"/>
                <w:b/>
                <w:color w:val="auto"/>
                <w:szCs w:val="21"/>
                <w:highlight w:val="none"/>
                <w:u w:val="none"/>
              </w:rPr>
              <w:t>禁止</w:t>
            </w:r>
            <w:r>
              <w:rPr>
                <w:rFonts w:ascii="Times New Roman" w:hAnsi="宋体" w:eastAsia="宋体" w:cs="Times New Roman"/>
                <w:bCs/>
                <w:color w:val="auto"/>
                <w:szCs w:val="21"/>
                <w:highlight w:val="none"/>
                <w:u w:val="none"/>
              </w:rPr>
              <w:t>人为活动，自然保护地核心保护区外，</w:t>
            </w:r>
            <w:r>
              <w:rPr>
                <w:rFonts w:ascii="Times New Roman" w:hAnsi="宋体" w:eastAsia="宋体" w:cs="Times New Roman"/>
                <w:b/>
                <w:color w:val="auto"/>
                <w:szCs w:val="21"/>
                <w:highlight w:val="none"/>
                <w:u w:val="none"/>
              </w:rPr>
              <w:t>禁止</w:t>
            </w:r>
            <w:r>
              <w:rPr>
                <w:rFonts w:ascii="Times New Roman" w:hAnsi="宋体" w:eastAsia="宋体" w:cs="Times New Roman"/>
                <w:bCs/>
                <w:color w:val="auto"/>
                <w:szCs w:val="21"/>
                <w:highlight w:val="none"/>
                <w:u w:val="none"/>
              </w:rPr>
              <w:t>开发性、生产性建设活动，在符合法律法规的前提下，仅允许对生态功能不造成破坏的有限人为活动。</w:t>
            </w:r>
          </w:p>
          <w:p w14:paraId="44BC0DEF">
            <w:pPr>
              <w:numPr>
                <w:ilvl w:val="0"/>
                <w:numId w:val="0"/>
              </w:num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Times New Roman" w:eastAsia="宋体" w:cs="Times New Roman"/>
                <w:bCs/>
                <w:color w:val="auto"/>
                <w:szCs w:val="21"/>
                <w:highlight w:val="none"/>
                <w:u w:val="none"/>
              </w:rPr>
              <w:t>2</w:t>
            </w:r>
            <w:r>
              <w:rPr>
                <w:rFonts w:ascii="Times New Roman" w:hAnsi="宋体" w:eastAsia="宋体" w:cs="Times New Roman"/>
                <w:bCs/>
                <w:color w:val="auto"/>
                <w:szCs w:val="21"/>
                <w:highlight w:val="none"/>
                <w:u w:val="none"/>
              </w:rPr>
              <w:t>．有限人为活动包括：</w:t>
            </w:r>
          </w:p>
          <w:p w14:paraId="1A1E3F9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）管</w:t>
            </w:r>
            <w:r>
              <w:rPr>
                <w:rFonts w:hint="eastAsia" w:ascii="Times New Roman" w:hAnsi="宋体" w:cs="Times New Roman"/>
                <w:color w:val="auto"/>
                <w:szCs w:val="21"/>
                <w:highlight w:val="none"/>
                <w:u w:val="none"/>
                <w:lang w:eastAsia="zh-CN"/>
              </w:rPr>
              <w:t>护巡</w:t>
            </w:r>
            <w:r>
              <w:rPr>
                <w:rFonts w:ascii="Times New Roman" w:hAnsi="宋体" w:eastAsia="宋体" w:cs="Times New Roman"/>
                <w:color w:val="auto"/>
                <w:szCs w:val="21"/>
                <w:highlight w:val="none"/>
                <w:u w:val="none"/>
              </w:rPr>
              <w:t>查、保护执法、科学研究、调查监测、测绘导航、防灾减灾救灾、军事国防、疫情防控等活动及相关的必要设施修筑。</w:t>
            </w:r>
          </w:p>
          <w:p w14:paraId="61759BB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原住居民和其他合法权益主体，允许在不扩大现有建设用地、用海用岛、耕地、水产养殖规模和放牧强度的前提下，开展种植、放牧、捕捞、养殖（不包括投礁型海洋牧场、围海养殖）等活动，修筑必须的生产生活设施。</w:t>
            </w:r>
          </w:p>
          <w:p w14:paraId="6C9A7EA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）按规定对人工商品林进行抚育采伐、择伐、果实采摘、更新改造，或以提升森林质量、优化栖息地、建设生物防火隔离带、林业有害生物防治等为目的的树种更新，依法开展的竹林采伐经营。</w:t>
            </w:r>
          </w:p>
          <w:p w14:paraId="02432C0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地质调查与矿产资源勘查开采。包括：基础地质调查和战略性矿产资源远景调查等公益性工作、铀矿勘查开采活动、已依法设立的油气探矿权继续勘查活动、已依法设立的油气采矿权不扩大用地用海范围、已依法设立的矿泉水和地热采矿权、已依法设立和新立铬、铜、镍、锂、钴、锆、钾盐、重稀土矿等战略性矿产探矿权开展勘查活动以及因国家战略需要开展的开采活动。</w:t>
            </w:r>
          </w:p>
          <w:p w14:paraId="541E625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）经依法批准的考古调查发掘、古生物化石调查发掘、标本采集和文物保护活动。</w:t>
            </w:r>
          </w:p>
          <w:p w14:paraId="3BB2D54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6</w:t>
            </w:r>
            <w:r>
              <w:rPr>
                <w:rFonts w:ascii="Times New Roman" w:hAnsi="宋体" w:eastAsia="宋体" w:cs="Times New Roman"/>
                <w:color w:val="auto"/>
                <w:szCs w:val="21"/>
                <w:highlight w:val="none"/>
                <w:u w:val="none"/>
              </w:rPr>
              <w:t>）不破坏生态功能的适度参观旅游、科普宣教及符合相关规划的配套性服务设施和相关的必要公共设施建设及维护。</w:t>
            </w:r>
          </w:p>
          <w:p w14:paraId="6DF9DC3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7</w:t>
            </w:r>
            <w:r>
              <w:rPr>
                <w:rFonts w:ascii="Times New Roman" w:hAnsi="宋体" w:eastAsia="宋体" w:cs="Times New Roman"/>
                <w:color w:val="auto"/>
                <w:szCs w:val="21"/>
                <w:highlight w:val="none"/>
                <w:u w:val="none"/>
              </w:rPr>
              <w:t>）必须且无法避让、符合县级以上国土空间规划的线性基础设施、通讯和防洪（潮）、供水设施建设和船舶航行、航道疏浚清淤等活动；已有的合法水利、交通运输等设施运行维护改造。</w:t>
            </w:r>
          </w:p>
          <w:p w14:paraId="446FF2E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8</w:t>
            </w:r>
            <w:r>
              <w:rPr>
                <w:rFonts w:ascii="Times New Roman" w:hAnsi="宋体" w:eastAsia="宋体" w:cs="Times New Roman"/>
                <w:color w:val="auto"/>
                <w:szCs w:val="21"/>
                <w:highlight w:val="none"/>
                <w:u w:val="none"/>
              </w:rPr>
              <w:t>）依据县级以上国土空间规划和生态保护修复专项规划开展的生态修复，包括山水林田湖草海湿地生态保护修复、废弃矿山生态修复等。</w:t>
            </w:r>
          </w:p>
          <w:p w14:paraId="2BBA796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9</w:t>
            </w:r>
            <w:r>
              <w:rPr>
                <w:rFonts w:ascii="Times New Roman" w:hAnsi="宋体" w:eastAsia="宋体" w:cs="Times New Roman"/>
                <w:color w:val="auto"/>
                <w:szCs w:val="21"/>
                <w:highlight w:val="none"/>
                <w:u w:val="none"/>
              </w:rPr>
              <w:t>）根据我国相关法律法规和与邻国签署的国界管理制度协定（条约）开展的边界边境通视道清理以及界务工程的修建、维护和拆除工作。</w:t>
            </w:r>
          </w:p>
          <w:p w14:paraId="57D9147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10</w:t>
            </w:r>
            <w:r>
              <w:rPr>
                <w:rFonts w:ascii="Times New Roman" w:hAnsi="宋体" w:eastAsia="宋体" w:cs="Times New Roman"/>
                <w:color w:val="auto"/>
                <w:szCs w:val="21"/>
                <w:highlight w:val="none"/>
                <w:u w:val="none"/>
              </w:rPr>
              <w:t>）法律法规规定允许的其他人为活动。</w:t>
            </w:r>
          </w:p>
          <w:p w14:paraId="7D35DB2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3</w:t>
            </w:r>
            <w:r>
              <w:rPr>
                <w:rFonts w:ascii="Times New Roman" w:hAnsi="宋体" w:eastAsia="宋体" w:cs="Times New Roman"/>
                <w:bCs/>
                <w:color w:val="auto"/>
                <w:szCs w:val="21"/>
                <w:highlight w:val="none"/>
                <w:u w:val="none"/>
              </w:rPr>
              <w:t>．</w:t>
            </w:r>
            <w:r>
              <w:rPr>
                <w:rFonts w:ascii="Times New Roman" w:hAnsi="宋体" w:eastAsia="宋体" w:cs="Times New Roman"/>
                <w:color w:val="auto"/>
                <w:szCs w:val="21"/>
                <w:highlight w:val="none"/>
                <w:u w:val="none"/>
              </w:rPr>
              <w:t>生态保护红线内自然保护区、森林公园、重要湿地、湿地公园、饮用水水源保护区、风景名胜区等区域，依照法律法规执行。</w:t>
            </w:r>
          </w:p>
        </w:tc>
      </w:tr>
      <w:tr w14:paraId="441D9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7" w:hRule="atLeast"/>
          <w:jc w:val="center"/>
        </w:trPr>
        <w:tc>
          <w:tcPr>
            <w:tcW w:w="1595" w:type="dxa"/>
            <w:vMerge w:val="continue"/>
            <w:noWrap w:val="0"/>
            <w:vAlign w:val="center"/>
          </w:tcPr>
          <w:p w14:paraId="5AB45A58">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74FA59FC">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所有陆域</w:t>
            </w:r>
          </w:p>
          <w:p w14:paraId="7E4D1EE6">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一般生态空间</w:t>
            </w:r>
          </w:p>
        </w:tc>
        <w:tc>
          <w:tcPr>
            <w:tcW w:w="2039" w:type="dxa"/>
            <w:noWrap w:val="0"/>
            <w:vAlign w:val="center"/>
          </w:tcPr>
          <w:p w14:paraId="58441879">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4E3C9628">
            <w:pPr>
              <w:shd w:val="clear" w:color="auto" w:fill="auto"/>
              <w:adjustRightInd w:val="0"/>
              <w:snapToGrid w:val="0"/>
              <w:rPr>
                <w:rFonts w:ascii="Times New Roman" w:hAnsi="Times New Roman" w:eastAsia="宋体" w:cs="Times New Roman"/>
                <w:b/>
                <w:bCs/>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．生态保护红线外的一般生态空间，除符合国土空间规划建设和布局要求、符合矿产资源总体规划、能源开发利用规划外，原则上按限制开发区域的要求进行管理。</w:t>
            </w:r>
          </w:p>
          <w:p w14:paraId="7E36570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．从严控制生态空间转为城镇空间和农业空间。生态空间与城镇空间、农业空间的相互转化利用，应符合国土空间规划用地布局和用途管制要求或符合国土空间规划修改的条件。</w:t>
            </w:r>
          </w:p>
          <w:p w14:paraId="46F0F9E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．一般生态空间内符合区域准入条件的建设项目，涉及占用生态空间中的林地、草原等，按有关法律法规规定办理；涉及占用生态空间中其他未作明确规定的用地，应当加强论证和管理。</w:t>
            </w:r>
          </w:p>
          <w:p w14:paraId="521EE968">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．生态保护红线外的耕地，除符合国家生态退耕条件，并纳入国家生态退耕总体安排，或因国家重大生态工程建设需要外，</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随意转用。</w:t>
            </w:r>
          </w:p>
          <w:p w14:paraId="39D79D0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．科学规划、统筹安排荒地、荒漠等生态脆弱地区的生态建设，因各类生态建设规划和工程需要调整用途的，依照有关法律法规办理转用审批手续。</w:t>
            </w:r>
          </w:p>
          <w:p w14:paraId="232B22E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6</w:t>
            </w:r>
            <w:r>
              <w:rPr>
                <w:rFonts w:ascii="Times New Roman" w:hAnsi="宋体" w:eastAsia="宋体" w:cs="Times New Roman"/>
                <w:color w:val="auto"/>
                <w:szCs w:val="21"/>
                <w:highlight w:val="none"/>
                <w:u w:val="none"/>
              </w:rPr>
              <w:t>．在不改变利用方式的前提下，依据资源环境承载能力，对依法保护的生态空间实行承载力控制，防止过度垦殖、放牧、采伐、取水、渔猎、旅游等活动对生态功能造成损害，确保自然生态系统的稳定。</w:t>
            </w:r>
          </w:p>
          <w:p w14:paraId="18AAF8F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7</w:t>
            </w:r>
            <w:r>
              <w:rPr>
                <w:rFonts w:ascii="Times New Roman" w:hAnsi="宋体" w:eastAsia="宋体" w:cs="Times New Roman"/>
                <w:color w:val="auto"/>
                <w:szCs w:val="21"/>
                <w:highlight w:val="none"/>
                <w:u w:val="none"/>
              </w:rPr>
              <w:t>．鼓励各地依据生态保护需要和规划，结合土地综合整治、工矿废弃地复垦利用、矿山环境恢复治理等各类工程实施，因地制宜促进生态空间内建设用地逐步有序退出。</w:t>
            </w:r>
          </w:p>
          <w:p w14:paraId="5169B54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8</w:t>
            </w:r>
            <w:r>
              <w:rPr>
                <w:rFonts w:ascii="Times New Roman" w:hAnsi="宋体" w:eastAsia="宋体" w:cs="Times New Roman"/>
                <w:color w:val="auto"/>
                <w:szCs w:val="21"/>
                <w:highlight w:val="none"/>
                <w:u w:val="none"/>
              </w:rPr>
              <w:t>．生态保护红线外的一般生态空间，可依据《中华人民共和国森林法》有关规定开展正常的林业生产经营活动。</w:t>
            </w:r>
          </w:p>
        </w:tc>
      </w:tr>
      <w:tr w14:paraId="448EB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5" w:hRule="atLeast"/>
          <w:jc w:val="center"/>
        </w:trPr>
        <w:tc>
          <w:tcPr>
            <w:tcW w:w="1595" w:type="dxa"/>
            <w:vMerge w:val="continue"/>
            <w:noWrap w:val="0"/>
            <w:vAlign w:val="center"/>
          </w:tcPr>
          <w:p w14:paraId="7580BA73">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67291B4C">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自然保护区</w:t>
            </w:r>
          </w:p>
        </w:tc>
        <w:tc>
          <w:tcPr>
            <w:tcW w:w="2039" w:type="dxa"/>
            <w:noWrap w:val="0"/>
            <w:vAlign w:val="center"/>
          </w:tcPr>
          <w:p w14:paraId="11B4B066">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2456D1F7">
            <w:pPr>
              <w:shd w:val="clear" w:color="auto" w:fill="auto"/>
              <w:adjustRightInd w:val="0"/>
              <w:snapToGrid w:val="0"/>
              <w:rPr>
                <w:rFonts w:ascii="Times New Roman" w:hAnsi="Times New Roman" w:eastAsia="宋体" w:cs="Times New Roman"/>
                <w:b/>
                <w:bCs/>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．自然保护区核心保护区原则上</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人为活动。</w:t>
            </w:r>
          </w:p>
          <w:p w14:paraId="7E47D0FE">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．自然保护区核心保护区外，</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开发性、生产性建设活动，在符合法律法规前提下，除国家重大战略项目外，仅允许对生态功能不造成破坏的有限人为活动，主要包括：</w:t>
            </w:r>
          </w:p>
          <w:p w14:paraId="378732F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）管</w:t>
            </w:r>
            <w:r>
              <w:rPr>
                <w:rFonts w:hint="eastAsia" w:ascii="Times New Roman" w:hAnsi="宋体" w:cs="Times New Roman"/>
                <w:color w:val="auto"/>
                <w:szCs w:val="21"/>
                <w:highlight w:val="none"/>
                <w:u w:val="none"/>
                <w:lang w:eastAsia="zh-CN"/>
              </w:rPr>
              <w:t>护巡</w:t>
            </w:r>
            <w:r>
              <w:rPr>
                <w:rFonts w:ascii="Times New Roman" w:hAnsi="宋体" w:eastAsia="宋体" w:cs="Times New Roman"/>
                <w:color w:val="auto"/>
                <w:szCs w:val="21"/>
                <w:highlight w:val="none"/>
                <w:u w:val="none"/>
              </w:rPr>
              <w:t>查、保护执法、科学研究、调查监测、测绘导航、防灾减灾救灾、军事国防、疫情防控等活动及相关的必要设施修筑。</w:t>
            </w:r>
          </w:p>
          <w:p w14:paraId="5AF2B4E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原住居民和其他合法权益主体，允许在不扩大现有建设用地、用海用岛、耕地、水产养殖规模和放牧强度的前提下，开展种植、放牧、捕捞、养殖（不包括投礁型海洋牧场、围海养殖）等活动，修筑必须的生产生活设施。</w:t>
            </w:r>
          </w:p>
          <w:p w14:paraId="1DC4DFE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）按规定对人工商品林进行果实采摘，或以提升森林质量、优化栖息地、建设生物防火隔离带、林业有害生物防治等为目的的树种更新，依法开展的竹林采伐经营。</w:t>
            </w:r>
          </w:p>
          <w:p w14:paraId="7861BA7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）地质调查与矿产资源勘查开采。</w:t>
            </w:r>
          </w:p>
          <w:p w14:paraId="51B51D2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）经依法批准的考古调查发掘、古生物化石调查发掘、标本采集和文物保护活动。</w:t>
            </w:r>
          </w:p>
          <w:p w14:paraId="0A544AA6">
            <w:pPr>
              <w:shd w:val="clear" w:color="auto" w:fill="auto"/>
              <w:adjustRightInd w:val="0"/>
              <w:snapToGrid w:val="0"/>
              <w:rPr>
                <w:rFonts w:hint="eastAsia" w:ascii="Times New Roman" w:hAnsi="Times New Roman" w:eastAsia="宋体" w:cs="Times New Roman"/>
                <w:color w:val="auto"/>
                <w:szCs w:val="21"/>
                <w:highlight w:val="none"/>
                <w:u w:val="none"/>
                <w:lang w:eastAsia="zh-CN"/>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6</w:t>
            </w:r>
            <w:r>
              <w:rPr>
                <w:rFonts w:ascii="Times New Roman" w:hAnsi="宋体" w:eastAsia="宋体" w:cs="Times New Roman"/>
                <w:color w:val="auto"/>
                <w:szCs w:val="21"/>
                <w:highlight w:val="none"/>
                <w:u w:val="none"/>
              </w:rPr>
              <w:t>）不破坏生态功能的适度参观旅游、科普宣教及符合相关规划的配套性服务设施和相关的必要公共设施建设及维护</w:t>
            </w:r>
            <w:r>
              <w:rPr>
                <w:rFonts w:hint="eastAsia" w:ascii="Times New Roman" w:hAnsi="宋体" w:eastAsia="宋体" w:cs="Times New Roman"/>
                <w:color w:val="auto"/>
                <w:szCs w:val="21"/>
                <w:highlight w:val="none"/>
                <w:u w:val="none"/>
                <w:lang w:eastAsia="zh-CN"/>
              </w:rPr>
              <w:t>。</w:t>
            </w:r>
          </w:p>
          <w:p w14:paraId="7BCCF30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7</w:t>
            </w:r>
            <w:r>
              <w:rPr>
                <w:rFonts w:ascii="Times New Roman" w:hAnsi="宋体" w:eastAsia="宋体" w:cs="Times New Roman"/>
                <w:color w:val="auto"/>
                <w:szCs w:val="21"/>
                <w:highlight w:val="none"/>
                <w:u w:val="none"/>
              </w:rPr>
              <w:t>）必须且无法避让、符合县级以上国土空间规划的线性基础设施、通讯和防洪（潮）、供水设施建设和船舶航行、航道疏浚清淤等活动；已有的合法水利、交通运输等设施运行维护改造。</w:t>
            </w:r>
          </w:p>
          <w:p w14:paraId="752983F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8</w:t>
            </w:r>
            <w:r>
              <w:rPr>
                <w:rFonts w:ascii="Times New Roman" w:hAnsi="宋体" w:eastAsia="宋体" w:cs="Times New Roman"/>
                <w:color w:val="auto"/>
                <w:szCs w:val="21"/>
                <w:highlight w:val="none"/>
                <w:u w:val="none"/>
              </w:rPr>
              <w:t>）依据县级以上国土空间规划和生态保护修复专项规划开展的生态修复，包括山水林田湖草海湿地生态保护修复、废弃矿山生态修复等。</w:t>
            </w:r>
          </w:p>
          <w:p w14:paraId="13E9945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9</w:t>
            </w:r>
            <w:r>
              <w:rPr>
                <w:rFonts w:ascii="Times New Roman" w:hAnsi="宋体" w:eastAsia="宋体" w:cs="Times New Roman"/>
                <w:color w:val="auto"/>
                <w:szCs w:val="21"/>
                <w:highlight w:val="none"/>
                <w:u w:val="none"/>
              </w:rPr>
              <w:t>）根据我国相关法律法规和与邻国签署的国界管理制度协定（条约）开展的边界边境通视道清理以及界务工程的修建、维护和拆除工作。</w:t>
            </w:r>
          </w:p>
          <w:p w14:paraId="79F4957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10</w:t>
            </w:r>
            <w:r>
              <w:rPr>
                <w:rFonts w:ascii="Times New Roman" w:hAnsi="宋体" w:eastAsia="宋体" w:cs="Times New Roman"/>
                <w:color w:val="auto"/>
                <w:szCs w:val="21"/>
                <w:highlight w:val="none"/>
                <w:u w:val="none"/>
              </w:rPr>
              <w:t>）法律法规规定允许的其他人为活动。</w:t>
            </w:r>
          </w:p>
          <w:p w14:paraId="38DA0D1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．地质遗迹类自然保护区人为活动应符合《中华人民共和国自然保护区条例》《地质遗迹保护管理规定》等准入要求。</w:t>
            </w:r>
          </w:p>
        </w:tc>
      </w:tr>
      <w:tr w14:paraId="7DD67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8" w:hRule="atLeast"/>
          <w:jc w:val="center"/>
        </w:trPr>
        <w:tc>
          <w:tcPr>
            <w:tcW w:w="1595" w:type="dxa"/>
            <w:vMerge w:val="continue"/>
            <w:noWrap w:val="0"/>
            <w:vAlign w:val="center"/>
          </w:tcPr>
          <w:p w14:paraId="676B074F">
            <w:pPr>
              <w:shd w:val="clear" w:color="auto" w:fill="auto"/>
              <w:adjustRightInd w:val="0"/>
              <w:snapToGrid w:val="0"/>
              <w:rPr>
                <w:rFonts w:ascii="Times New Roman" w:hAnsi="Times New Roman" w:eastAsia="宋体" w:cs="Times New Roman"/>
                <w:color w:val="auto"/>
                <w:szCs w:val="21"/>
                <w:highlight w:val="none"/>
                <w:u w:val="none"/>
              </w:rPr>
            </w:pPr>
          </w:p>
        </w:tc>
        <w:tc>
          <w:tcPr>
            <w:tcW w:w="969" w:type="dxa"/>
            <w:vMerge w:val="restart"/>
            <w:noWrap w:val="0"/>
            <w:vAlign w:val="center"/>
          </w:tcPr>
          <w:p w14:paraId="4DAF58C0">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饮用水水源保护区</w:t>
            </w:r>
          </w:p>
        </w:tc>
        <w:tc>
          <w:tcPr>
            <w:tcW w:w="963" w:type="dxa"/>
            <w:vMerge w:val="restart"/>
            <w:noWrap w:val="0"/>
            <w:vAlign w:val="center"/>
          </w:tcPr>
          <w:p w14:paraId="0370BEA8">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饮用水地表水源</w:t>
            </w:r>
          </w:p>
        </w:tc>
        <w:tc>
          <w:tcPr>
            <w:tcW w:w="2039" w:type="dxa"/>
            <w:vMerge w:val="restart"/>
            <w:noWrap w:val="0"/>
            <w:vAlign w:val="center"/>
          </w:tcPr>
          <w:p w14:paraId="7D72C1C3">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50F9F25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．一级保护区内：</w:t>
            </w:r>
          </w:p>
          <w:p w14:paraId="215ACC2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新建、改建、扩建与供水设施和保护水源无关的建设项目或者设施，已建成的与供水设施和保护水源无关的建设项目或设施，由县级以上人民政府责令拆除或者关闭；</w:t>
            </w:r>
          </w:p>
          <w:p w14:paraId="36AAE54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向水域排放污水，已设置的排污口必须拆除；</w:t>
            </w:r>
          </w:p>
          <w:p w14:paraId="494C9B8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不得</w:t>
            </w:r>
            <w:r>
              <w:rPr>
                <w:rFonts w:ascii="Times New Roman" w:hAnsi="宋体" w:eastAsia="宋体" w:cs="Times New Roman"/>
                <w:bCs/>
                <w:color w:val="auto"/>
                <w:szCs w:val="21"/>
                <w:highlight w:val="none"/>
                <w:u w:val="none"/>
              </w:rPr>
              <w:t>设置</w:t>
            </w:r>
            <w:r>
              <w:rPr>
                <w:rFonts w:ascii="Times New Roman" w:hAnsi="宋体" w:eastAsia="宋体" w:cs="Times New Roman"/>
                <w:color w:val="auto"/>
                <w:szCs w:val="21"/>
                <w:highlight w:val="none"/>
                <w:u w:val="none"/>
              </w:rPr>
              <w:t>与供水需要无关的码头，</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停泊油船和危险化学品船舶；</w:t>
            </w:r>
          </w:p>
          <w:p w14:paraId="5A42B61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堆放或填埋工业固体废物、生活垃圾、医疗废物和其他废物；</w:t>
            </w:r>
          </w:p>
          <w:p w14:paraId="5DDCC7D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设置油库；</w:t>
            </w:r>
          </w:p>
          <w:p w14:paraId="68BCC6B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养殖畜禽、旅游、游泳、垂钓；</w:t>
            </w:r>
          </w:p>
          <w:p w14:paraId="33B17DF1">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使用化肥、农药以及其他可能污染水源水体的化学物品；</w:t>
            </w:r>
          </w:p>
          <w:p w14:paraId="7A92E0E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从船舶向水体排放残油、废油，</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倾倒垃圾或者违反规定排放含油污水、生活污水等污染物；</w:t>
            </w:r>
          </w:p>
          <w:p w14:paraId="6587031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向水体排放含重金属、油类、酸碱类等有毒有害废液或者含病原体的污水，</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在水体清洗装贮过油类或者有毒有害物品的运输工具、容器；</w:t>
            </w:r>
          </w:p>
          <w:p w14:paraId="5818613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修建墓地、丢弃或者掩埋畜禽尸体以及含病原体的其他废物；</w:t>
            </w:r>
          </w:p>
          <w:p w14:paraId="1D296FAE">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毁林开垦、全垦整地、炼山；</w:t>
            </w:r>
          </w:p>
          <w:p w14:paraId="792CF00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严重影响水质的矿产资源勘查、开山采石、采矿、选冶和非疏浚性采砂；</w:t>
            </w:r>
          </w:p>
          <w:p w14:paraId="7FAC68B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向水体倾倒工业固体废物、生活垃圾以及其他废物；</w:t>
            </w:r>
          </w:p>
          <w:p w14:paraId="4D3A48D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严重影响水质的船舶水上拆解、打捞或者其他水上水下施工作业；</w:t>
            </w:r>
          </w:p>
          <w:p w14:paraId="66D5FDD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非更新、非低产低效林改造、非抚育采伐和其他破坏饮用水水源涵养林、护岸林以及其他植被的行为；</w:t>
            </w:r>
          </w:p>
          <w:p w14:paraId="4FA9685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新种植轮伐期不足十年的用材林；</w:t>
            </w:r>
          </w:p>
          <w:p w14:paraId="15CD618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法律法规规定的其他可能污染饮用水水源的行为。</w:t>
            </w:r>
          </w:p>
        </w:tc>
      </w:tr>
      <w:tr w14:paraId="787E5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8" w:hRule="atLeast"/>
          <w:jc w:val="center"/>
        </w:trPr>
        <w:tc>
          <w:tcPr>
            <w:tcW w:w="1595" w:type="dxa"/>
            <w:vMerge w:val="continue"/>
            <w:noWrap w:val="0"/>
            <w:vAlign w:val="center"/>
          </w:tcPr>
          <w:p w14:paraId="54421438">
            <w:pPr>
              <w:shd w:val="clear" w:color="auto" w:fill="auto"/>
              <w:adjustRightInd w:val="0"/>
              <w:snapToGrid w:val="0"/>
              <w:rPr>
                <w:rFonts w:ascii="Times New Roman" w:hAnsi="Times New Roman" w:eastAsia="宋体" w:cs="Times New Roman"/>
                <w:color w:val="auto"/>
                <w:szCs w:val="21"/>
                <w:highlight w:val="none"/>
                <w:u w:val="none"/>
              </w:rPr>
            </w:pPr>
          </w:p>
        </w:tc>
        <w:tc>
          <w:tcPr>
            <w:tcW w:w="969" w:type="dxa"/>
            <w:vMerge w:val="continue"/>
            <w:noWrap w:val="0"/>
            <w:vAlign w:val="center"/>
          </w:tcPr>
          <w:p w14:paraId="58D47DF8">
            <w:pPr>
              <w:shd w:val="clear" w:color="auto" w:fill="auto"/>
              <w:adjustRightInd w:val="0"/>
              <w:snapToGrid w:val="0"/>
              <w:rPr>
                <w:rFonts w:ascii="Times New Roman" w:hAnsi="Times New Roman" w:eastAsia="宋体" w:cs="Times New Roman"/>
                <w:color w:val="auto"/>
                <w:szCs w:val="21"/>
                <w:highlight w:val="none"/>
                <w:u w:val="none"/>
              </w:rPr>
            </w:pPr>
          </w:p>
        </w:tc>
        <w:tc>
          <w:tcPr>
            <w:tcW w:w="963" w:type="dxa"/>
            <w:vMerge w:val="continue"/>
            <w:noWrap w:val="0"/>
            <w:vAlign w:val="center"/>
          </w:tcPr>
          <w:p w14:paraId="6650C1BA">
            <w:pPr>
              <w:shd w:val="clear" w:color="auto" w:fill="auto"/>
              <w:adjustRightInd w:val="0"/>
              <w:snapToGrid w:val="0"/>
              <w:rPr>
                <w:rFonts w:ascii="Times New Roman" w:hAnsi="Times New Roman" w:eastAsia="宋体" w:cs="Times New Roman"/>
                <w:color w:val="auto"/>
                <w:szCs w:val="21"/>
                <w:highlight w:val="none"/>
                <w:u w:val="none"/>
              </w:rPr>
            </w:pPr>
          </w:p>
        </w:tc>
        <w:tc>
          <w:tcPr>
            <w:tcW w:w="2039" w:type="dxa"/>
            <w:vMerge w:val="continue"/>
            <w:noWrap w:val="0"/>
            <w:vAlign w:val="center"/>
          </w:tcPr>
          <w:p w14:paraId="20450850">
            <w:pPr>
              <w:shd w:val="clear" w:color="auto" w:fill="auto"/>
              <w:adjustRightInd w:val="0"/>
              <w:snapToGrid w:val="0"/>
              <w:rPr>
                <w:rFonts w:ascii="Times New Roman" w:hAnsi="Times New Roman" w:eastAsia="宋体" w:cs="Times New Roman"/>
                <w:color w:val="auto"/>
                <w:szCs w:val="21"/>
                <w:highlight w:val="none"/>
                <w:u w:val="none"/>
              </w:rPr>
            </w:pPr>
          </w:p>
        </w:tc>
        <w:tc>
          <w:tcPr>
            <w:tcW w:w="14977" w:type="dxa"/>
            <w:noWrap w:val="0"/>
            <w:vAlign w:val="center"/>
          </w:tcPr>
          <w:p w14:paraId="5EEE5EF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．二级保护区内：</w:t>
            </w:r>
          </w:p>
          <w:p w14:paraId="07745DE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设置排污口；</w:t>
            </w:r>
          </w:p>
          <w:p w14:paraId="261D950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新建、改建、扩建屠宰场、高尔夫球场、制胶、制糖、化工以及其他排放污染物的建设项目或者设施；</w:t>
            </w:r>
          </w:p>
          <w:p w14:paraId="6FD5E848">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堆放、倾倒或者填埋化工原料、危险化学品、矿物油类以及有毒有害矿产品；</w:t>
            </w:r>
          </w:p>
          <w:p w14:paraId="6CF507C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建设垃圾填埋场、垃圾堆肥场、垃圾焚烧炉等垃圾处理设施；</w:t>
            </w:r>
          </w:p>
          <w:p w14:paraId="395030F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使用国家和自治区限制使用的农药；</w:t>
            </w:r>
          </w:p>
          <w:p w14:paraId="6CD62F7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使用含磷洗涤剂、高毒农药，</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滥用化肥；</w:t>
            </w:r>
          </w:p>
          <w:p w14:paraId="6A97528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从船舶向水体排放残油、废油，倾倒垃圾或者违反规定排放含油污水、生活污水等污染物；</w:t>
            </w:r>
          </w:p>
          <w:p w14:paraId="30813BF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向水体排放含重金属、油类、酸碱类等有毒有害废液或者含病原体的污水，</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在水体清洗装贮过油类或者有毒有害物品的运输工具、容器；</w:t>
            </w:r>
          </w:p>
          <w:p w14:paraId="15C2541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修建墓地、丢弃或者掩埋畜禽尸体以及含病原体的其他废物；</w:t>
            </w:r>
          </w:p>
          <w:p w14:paraId="62A6C5E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严重影响水质的矿产资源勘查、开山采石、采矿、选冶和非疏浚性采砂；</w:t>
            </w:r>
          </w:p>
          <w:p w14:paraId="749F135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向水体倾倒工业固体废物、生活垃圾以及其他废物；</w:t>
            </w:r>
          </w:p>
          <w:p w14:paraId="31D4060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严重影响水质的船舶水上拆解、打捞或者其他水上水下施工作业；</w:t>
            </w:r>
          </w:p>
          <w:p w14:paraId="439C410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非更新、非低产低效林改造、非抚育采伐和其他破坏饮用水水源涵养林、护岸林以及其他植被的行为；</w:t>
            </w:r>
          </w:p>
          <w:p w14:paraId="6621EFB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新种植轮伐期不足十年的用材林；</w:t>
            </w:r>
          </w:p>
          <w:p w14:paraId="765FF64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毁林开垦、全垦整地、炼山；</w:t>
            </w:r>
          </w:p>
          <w:p w14:paraId="0CEC666E">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网箱养殖以及规模化畜禽养殖；</w:t>
            </w:r>
          </w:p>
          <w:p w14:paraId="719F824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设立装卸垃圾、粪便、油类和有毒物品的码头；</w:t>
            </w:r>
          </w:p>
          <w:p w14:paraId="3ABDE19C">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法律法规规定的其他可能污染饮用水水源的行为。</w:t>
            </w:r>
          </w:p>
        </w:tc>
      </w:tr>
      <w:tr w14:paraId="5CBAD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8" w:hRule="atLeast"/>
          <w:jc w:val="center"/>
        </w:trPr>
        <w:tc>
          <w:tcPr>
            <w:tcW w:w="1595" w:type="dxa"/>
            <w:vMerge w:val="continue"/>
            <w:noWrap w:val="0"/>
            <w:vAlign w:val="center"/>
          </w:tcPr>
          <w:p w14:paraId="04276A99">
            <w:pPr>
              <w:shd w:val="clear" w:color="auto" w:fill="auto"/>
              <w:adjustRightInd w:val="0"/>
              <w:snapToGrid w:val="0"/>
              <w:rPr>
                <w:rFonts w:ascii="Times New Roman" w:hAnsi="Times New Roman" w:eastAsia="宋体" w:cs="Times New Roman"/>
                <w:color w:val="auto"/>
                <w:szCs w:val="21"/>
                <w:highlight w:val="none"/>
                <w:u w:val="none"/>
              </w:rPr>
            </w:pPr>
          </w:p>
        </w:tc>
        <w:tc>
          <w:tcPr>
            <w:tcW w:w="969" w:type="dxa"/>
            <w:vMerge w:val="continue"/>
            <w:noWrap w:val="0"/>
            <w:vAlign w:val="center"/>
          </w:tcPr>
          <w:p w14:paraId="19B1E2E7">
            <w:pPr>
              <w:shd w:val="clear" w:color="auto" w:fill="auto"/>
              <w:adjustRightInd w:val="0"/>
              <w:snapToGrid w:val="0"/>
              <w:rPr>
                <w:rFonts w:ascii="Times New Roman" w:hAnsi="Times New Roman" w:eastAsia="宋体" w:cs="Times New Roman"/>
                <w:color w:val="auto"/>
                <w:szCs w:val="21"/>
                <w:highlight w:val="none"/>
                <w:u w:val="none"/>
              </w:rPr>
            </w:pPr>
          </w:p>
        </w:tc>
        <w:tc>
          <w:tcPr>
            <w:tcW w:w="963" w:type="dxa"/>
            <w:vMerge w:val="continue"/>
            <w:noWrap w:val="0"/>
            <w:vAlign w:val="center"/>
          </w:tcPr>
          <w:p w14:paraId="620B2D6F">
            <w:pPr>
              <w:shd w:val="clear" w:color="auto" w:fill="auto"/>
              <w:adjustRightInd w:val="0"/>
              <w:snapToGrid w:val="0"/>
              <w:rPr>
                <w:rFonts w:ascii="Times New Roman" w:hAnsi="Times New Roman" w:eastAsia="宋体" w:cs="Times New Roman"/>
                <w:color w:val="auto"/>
                <w:szCs w:val="21"/>
                <w:highlight w:val="none"/>
                <w:u w:val="none"/>
              </w:rPr>
            </w:pPr>
          </w:p>
        </w:tc>
        <w:tc>
          <w:tcPr>
            <w:tcW w:w="2039" w:type="dxa"/>
            <w:vMerge w:val="continue"/>
            <w:noWrap w:val="0"/>
            <w:vAlign w:val="center"/>
          </w:tcPr>
          <w:p w14:paraId="5E94A1F6">
            <w:pPr>
              <w:shd w:val="clear" w:color="auto" w:fill="auto"/>
              <w:adjustRightInd w:val="0"/>
              <w:snapToGrid w:val="0"/>
              <w:rPr>
                <w:rFonts w:ascii="Times New Roman" w:hAnsi="Times New Roman" w:eastAsia="宋体" w:cs="Times New Roman"/>
                <w:color w:val="auto"/>
                <w:szCs w:val="21"/>
                <w:highlight w:val="none"/>
                <w:u w:val="none"/>
              </w:rPr>
            </w:pPr>
          </w:p>
        </w:tc>
        <w:tc>
          <w:tcPr>
            <w:tcW w:w="14977" w:type="dxa"/>
            <w:noWrap w:val="0"/>
            <w:vAlign w:val="center"/>
          </w:tcPr>
          <w:p w14:paraId="252BDC7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．准保护区内：</w:t>
            </w:r>
          </w:p>
          <w:p w14:paraId="17F9D87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设置对水体污染严重的工业企业、集中式污水处理厂、规模化养殖场等的排污口；</w:t>
            </w:r>
          </w:p>
          <w:p w14:paraId="6DBB0E9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新建、扩建化工造纸、制革、印染、染料、炼焦、炼砷、炼油、电镀、农药等对水体污染严重的建设项目，</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改建增加排污量的建设项目；</w:t>
            </w:r>
          </w:p>
          <w:p w14:paraId="09B9C57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设置化工原料、矿物油类以及有毒有害矿产品及其废物的存放场所和转运站；</w:t>
            </w:r>
          </w:p>
          <w:p w14:paraId="0746BB9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向水体排放含重金属、油类、酸碱类等有毒有害废液或者含病原体的污水，</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在水体清洗装贮过油类或者有毒有害物品的运输工具、容器；</w:t>
            </w:r>
          </w:p>
          <w:p w14:paraId="4A56FAA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使用含磷洗涤剂、高毒农药，</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滥用化肥；</w:t>
            </w:r>
          </w:p>
          <w:p w14:paraId="04713AD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严重影响水质的矿产资源勘查、开山采石、采矿、选冶和非疏浚性采砂；</w:t>
            </w:r>
          </w:p>
          <w:p w14:paraId="76E51A0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向水体倾倒工业固体废物、生活垃圾以及其他废物；</w:t>
            </w:r>
          </w:p>
          <w:p w14:paraId="6A19C6A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严重影响水质的船舶水上拆解、打捞或者其他水上水下施工作业；</w:t>
            </w:r>
          </w:p>
          <w:p w14:paraId="4C4741B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非更新、非低产低效林改造、非抚育采伐和其他破坏饮用水水源涵养林、护岸林的行为；</w:t>
            </w:r>
          </w:p>
          <w:p w14:paraId="133574CE">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网箱养殖以及规模化畜禽养殖；</w:t>
            </w:r>
          </w:p>
          <w:p w14:paraId="06F8002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法律法规规定的其他可能污染饮用水水源的行为。</w:t>
            </w:r>
          </w:p>
        </w:tc>
      </w:tr>
      <w:tr w14:paraId="07151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6" w:hRule="atLeast"/>
          <w:jc w:val="center"/>
        </w:trPr>
        <w:tc>
          <w:tcPr>
            <w:tcW w:w="1595" w:type="dxa"/>
            <w:vMerge w:val="continue"/>
            <w:noWrap w:val="0"/>
            <w:vAlign w:val="center"/>
          </w:tcPr>
          <w:p w14:paraId="74F6C04F">
            <w:pPr>
              <w:shd w:val="clear" w:color="auto" w:fill="auto"/>
              <w:adjustRightInd w:val="0"/>
              <w:snapToGrid w:val="0"/>
              <w:rPr>
                <w:rFonts w:ascii="Times New Roman" w:hAnsi="Times New Roman" w:eastAsia="宋体" w:cs="Times New Roman"/>
                <w:color w:val="auto"/>
                <w:szCs w:val="21"/>
                <w:highlight w:val="none"/>
                <w:u w:val="none"/>
              </w:rPr>
            </w:pPr>
          </w:p>
        </w:tc>
        <w:tc>
          <w:tcPr>
            <w:tcW w:w="969" w:type="dxa"/>
            <w:vMerge w:val="continue"/>
            <w:noWrap w:val="0"/>
            <w:vAlign w:val="center"/>
          </w:tcPr>
          <w:p w14:paraId="03BC35B8">
            <w:pPr>
              <w:shd w:val="clear" w:color="auto" w:fill="auto"/>
              <w:adjustRightInd w:val="0"/>
              <w:snapToGrid w:val="0"/>
              <w:rPr>
                <w:rFonts w:ascii="Times New Roman" w:hAnsi="Times New Roman" w:eastAsia="宋体" w:cs="Times New Roman"/>
                <w:color w:val="auto"/>
                <w:szCs w:val="21"/>
                <w:highlight w:val="none"/>
                <w:u w:val="none"/>
              </w:rPr>
            </w:pPr>
          </w:p>
        </w:tc>
        <w:tc>
          <w:tcPr>
            <w:tcW w:w="963" w:type="dxa"/>
            <w:vMerge w:val="continue"/>
            <w:noWrap w:val="0"/>
            <w:vAlign w:val="center"/>
          </w:tcPr>
          <w:p w14:paraId="194BCA7D">
            <w:pPr>
              <w:shd w:val="clear" w:color="auto" w:fill="auto"/>
              <w:adjustRightInd w:val="0"/>
              <w:snapToGrid w:val="0"/>
              <w:rPr>
                <w:rFonts w:ascii="Times New Roman" w:hAnsi="Times New Roman" w:eastAsia="宋体" w:cs="Times New Roman"/>
                <w:color w:val="auto"/>
                <w:szCs w:val="21"/>
                <w:highlight w:val="none"/>
                <w:u w:val="none"/>
              </w:rPr>
            </w:pPr>
          </w:p>
        </w:tc>
        <w:tc>
          <w:tcPr>
            <w:tcW w:w="2039" w:type="dxa"/>
            <w:vMerge w:val="continue"/>
            <w:noWrap w:val="0"/>
            <w:vAlign w:val="center"/>
          </w:tcPr>
          <w:p w14:paraId="39FB1068">
            <w:pPr>
              <w:shd w:val="clear" w:color="auto" w:fill="auto"/>
              <w:adjustRightInd w:val="0"/>
              <w:snapToGrid w:val="0"/>
              <w:rPr>
                <w:rFonts w:ascii="Times New Roman" w:hAnsi="Times New Roman" w:eastAsia="宋体" w:cs="Times New Roman"/>
                <w:color w:val="auto"/>
                <w:szCs w:val="21"/>
                <w:highlight w:val="none"/>
                <w:u w:val="none"/>
              </w:rPr>
            </w:pPr>
          </w:p>
        </w:tc>
        <w:tc>
          <w:tcPr>
            <w:tcW w:w="14977" w:type="dxa"/>
            <w:noWrap w:val="0"/>
            <w:vAlign w:val="center"/>
          </w:tcPr>
          <w:p w14:paraId="2DB3EDCC">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．现有项目退出要求：</w:t>
            </w:r>
          </w:p>
          <w:p w14:paraId="26C7A70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1</w:t>
            </w:r>
            <w:r>
              <w:rPr>
                <w:rFonts w:ascii="Times New Roman" w:hAnsi="宋体" w:eastAsia="宋体" w:cs="Times New Roman"/>
                <w:bCs/>
                <w:color w:val="auto"/>
                <w:szCs w:val="21"/>
                <w:highlight w:val="none"/>
                <w:u w:val="none"/>
              </w:rPr>
              <w:t>）现有排污口：饮</w:t>
            </w:r>
            <w:r>
              <w:rPr>
                <w:rFonts w:ascii="Times New Roman" w:hAnsi="宋体" w:eastAsia="宋体" w:cs="Times New Roman"/>
                <w:color w:val="auto"/>
                <w:szCs w:val="21"/>
                <w:highlight w:val="none"/>
                <w:u w:val="none"/>
              </w:rPr>
              <w:t>用水水源保护区内的排污口应拆除或关闭。对雨污分流彻底的城市雨水排口、排涝口，在饮用水水源保护区内的可暂不拆除或关闭，同时加强监测监管，在非降雨季节保持干燥清洁；在降雨时，确保排水水质符合饮用水水源地水质保护要求，否则，应限期整改，逾期整改仍不符合要求的，限期拆除或关闭原排口。</w:t>
            </w:r>
          </w:p>
          <w:p w14:paraId="44B18D8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2</w:t>
            </w:r>
            <w:r>
              <w:rPr>
                <w:rFonts w:ascii="Times New Roman" w:hAnsi="宋体" w:eastAsia="宋体" w:cs="Times New Roman"/>
                <w:bCs/>
                <w:color w:val="auto"/>
                <w:szCs w:val="21"/>
                <w:highlight w:val="none"/>
                <w:u w:val="none"/>
              </w:rPr>
              <w:t>）现有工业企业：</w:t>
            </w:r>
            <w:r>
              <w:rPr>
                <w:rFonts w:ascii="Times New Roman" w:hAnsi="宋体" w:eastAsia="宋体" w:cs="Times New Roman"/>
                <w:color w:val="auto"/>
                <w:szCs w:val="21"/>
                <w:highlight w:val="none"/>
                <w:u w:val="none"/>
              </w:rPr>
              <w:t>饮用水水源保护区内排放污染物的工业企业应拆除或关闭。</w:t>
            </w:r>
          </w:p>
          <w:p w14:paraId="3F57C49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3</w:t>
            </w:r>
            <w:r>
              <w:rPr>
                <w:rFonts w:ascii="Times New Roman" w:hAnsi="宋体" w:eastAsia="宋体" w:cs="Times New Roman"/>
                <w:bCs/>
                <w:color w:val="auto"/>
                <w:szCs w:val="21"/>
                <w:highlight w:val="none"/>
                <w:u w:val="none"/>
              </w:rPr>
              <w:t>）现有码头：</w:t>
            </w:r>
            <w:r>
              <w:rPr>
                <w:rFonts w:ascii="Times New Roman" w:hAnsi="宋体" w:eastAsia="宋体" w:cs="Times New Roman"/>
                <w:color w:val="auto"/>
                <w:szCs w:val="21"/>
                <w:highlight w:val="none"/>
                <w:u w:val="none"/>
              </w:rPr>
              <w:t>饮用水水源保护区内凡从事危险化学品、煤炭、矿砂、水泥等装卸作业的货运码头应拆除或关闭。饮用水水源一级保护区内旅游码头和航运、海事等管理部门工作码头应拆除或关闭。二级保护区内旅游码头和航运、海事等管理部门工作码头的污水、垃圾应统一收集至保护区外处理排放。自来水厂取水趸船（码头）、水文趸船作为供水设施和保护水源有关的建设项目，可以在饮用水水源保护区内存在。</w:t>
            </w:r>
          </w:p>
          <w:p w14:paraId="4EE2A23D">
            <w:pPr>
              <w:pStyle w:val="18"/>
              <w:widowControl w:val="0"/>
              <w:jc w:val="both"/>
              <w:rPr>
                <w:rFonts w:eastAsia="宋体"/>
                <w:bCs/>
                <w:color w:val="auto"/>
                <w:kern w:val="2"/>
                <w:sz w:val="21"/>
                <w:highlight w:val="none"/>
                <w:u w:val="none"/>
                <w:lang w:bidi="ar-SA"/>
              </w:rPr>
            </w:pPr>
            <w:r>
              <w:rPr>
                <w:rFonts w:hAnsi="宋体" w:eastAsia="宋体"/>
                <w:bCs/>
                <w:color w:val="auto"/>
                <w:kern w:val="2"/>
                <w:sz w:val="21"/>
                <w:highlight w:val="none"/>
                <w:u w:val="none"/>
                <w:lang w:bidi="ar-SA"/>
              </w:rPr>
              <w:t>（</w:t>
            </w:r>
            <w:r>
              <w:rPr>
                <w:rFonts w:eastAsia="宋体"/>
                <w:bCs/>
                <w:color w:val="auto"/>
                <w:kern w:val="2"/>
                <w:sz w:val="21"/>
                <w:highlight w:val="none"/>
                <w:u w:val="none"/>
                <w:lang w:bidi="ar-SA"/>
              </w:rPr>
              <w:t>4</w:t>
            </w:r>
            <w:r>
              <w:rPr>
                <w:rFonts w:hAnsi="宋体" w:eastAsia="宋体"/>
                <w:bCs/>
                <w:color w:val="auto"/>
                <w:kern w:val="2"/>
                <w:sz w:val="21"/>
                <w:highlight w:val="none"/>
                <w:u w:val="none"/>
                <w:lang w:bidi="ar-SA"/>
              </w:rPr>
              <w:t>）现有旅游餐饮项目：饮用水水源</w:t>
            </w:r>
            <w:r>
              <w:rPr>
                <w:rFonts w:hAnsi="宋体" w:eastAsia="宋体"/>
                <w:color w:val="auto"/>
                <w:kern w:val="2"/>
                <w:sz w:val="21"/>
                <w:highlight w:val="none"/>
                <w:u w:val="none"/>
                <w:lang w:bidi="ar-SA"/>
              </w:rPr>
              <w:t>保护区</w:t>
            </w:r>
            <w:r>
              <w:rPr>
                <w:rFonts w:hAnsi="宋体" w:eastAsia="宋体"/>
                <w:bCs/>
                <w:color w:val="auto"/>
                <w:kern w:val="2"/>
                <w:sz w:val="21"/>
                <w:highlight w:val="none"/>
                <w:u w:val="none"/>
                <w:lang w:bidi="ar-SA"/>
              </w:rPr>
              <w:t>内农家乐、宾馆酒店、餐饮娱乐等项目应拆除或关闭。</w:t>
            </w:r>
          </w:p>
          <w:p w14:paraId="700209A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5</w:t>
            </w:r>
            <w:r>
              <w:rPr>
                <w:rFonts w:ascii="Times New Roman" w:hAnsi="宋体" w:eastAsia="宋体" w:cs="Times New Roman"/>
                <w:bCs/>
                <w:color w:val="auto"/>
                <w:szCs w:val="21"/>
                <w:highlight w:val="none"/>
                <w:u w:val="none"/>
              </w:rPr>
              <w:t>）现有加油站、加气站：</w:t>
            </w:r>
            <w:r>
              <w:rPr>
                <w:rFonts w:ascii="Times New Roman" w:hAnsi="宋体" w:eastAsia="宋体" w:cs="Times New Roman"/>
                <w:color w:val="auto"/>
                <w:szCs w:val="21"/>
                <w:highlight w:val="none"/>
                <w:u w:val="none"/>
              </w:rPr>
              <w:t>饮用水水源一级保护区内加油站和加气站应拆除或关闭；二级保护区内加油站应完成双层罐体改造。</w:t>
            </w:r>
          </w:p>
          <w:p w14:paraId="05B25F9F">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6</w:t>
            </w:r>
            <w:r>
              <w:rPr>
                <w:rFonts w:ascii="Times New Roman" w:hAnsi="宋体" w:eastAsia="宋体" w:cs="Times New Roman"/>
                <w:bCs/>
                <w:color w:val="auto"/>
                <w:szCs w:val="21"/>
                <w:highlight w:val="none"/>
                <w:u w:val="none"/>
              </w:rPr>
              <w:t>）现有农业面源污染：饮用水水源一级保护区内农业种植应严格控制农药、化肥等非点源污染，并逐步退出</w:t>
            </w:r>
            <w:r>
              <w:rPr>
                <w:rFonts w:ascii="Times New Roman" w:hAnsi="宋体" w:eastAsia="宋体" w:cs="Times New Roman"/>
                <w:color w:val="auto"/>
                <w:szCs w:val="21"/>
                <w:highlight w:val="none"/>
                <w:u w:val="none"/>
              </w:rPr>
              <w:t>；饮用水水源二级保护区内农业种植和经济林应实行科学种植和非点源污染防治。饮用水水源一级保护区内所有经营性的畜禽养殖活动应取缔，养殖设施应拆除。二级保护区内排放污染物的规模化畜禽养殖场应拆除或关闭；分散式畜禽养殖圈舍应做到养殖废物全部资源化利用，且尽量远离取水口，</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向水体直接倾倒畜禽粪便和排放养殖污水。饮用水水源二级保护区内网箱养殖、坑塘养殖、水面围网养殖等活动，未采取有效措施防止污染水体的应取缔。</w:t>
            </w:r>
          </w:p>
          <w:p w14:paraId="702ECE40">
            <w:pPr>
              <w:widowControl w:val="0"/>
              <w:autoSpaceDE w:val="0"/>
              <w:autoSpaceDN w:val="0"/>
              <w:adjustRightInd w:val="0"/>
              <w:jc w:val="both"/>
              <w:textAlignment w:val="baseline"/>
              <w:rPr>
                <w:rFonts w:hint="default" w:ascii="Times New Roman" w:hAnsi="Times New Roman" w:eastAsia="宋体" w:cs="Times New Roman"/>
                <w:bCs/>
                <w:color w:val="auto"/>
                <w:kern w:val="2"/>
                <w:sz w:val="21"/>
                <w:szCs w:val="21"/>
                <w:highlight w:val="none"/>
                <w:u w:val="none"/>
                <w:lang w:val="en-US" w:eastAsia="zh-CN" w:bidi="ar-SA"/>
              </w:rPr>
            </w:pPr>
            <w:r>
              <w:rPr>
                <w:rFonts w:hint="default" w:ascii="Times New Roman" w:hAnsi="宋体" w:eastAsia="宋体" w:cs="Times New Roman"/>
                <w:bCs/>
                <w:color w:val="auto"/>
                <w:kern w:val="2"/>
                <w:sz w:val="21"/>
                <w:szCs w:val="21"/>
                <w:highlight w:val="none"/>
                <w:u w:val="none"/>
                <w:lang w:val="en-US" w:eastAsia="zh-CN" w:bidi="ar-SA"/>
              </w:rPr>
              <w:t>（</w:t>
            </w:r>
            <w:r>
              <w:rPr>
                <w:rFonts w:hint="default" w:ascii="Times New Roman" w:hAnsi="Times New Roman" w:eastAsia="宋体" w:cs="Times New Roman"/>
                <w:bCs/>
                <w:color w:val="auto"/>
                <w:kern w:val="2"/>
                <w:sz w:val="21"/>
                <w:szCs w:val="21"/>
                <w:highlight w:val="none"/>
                <w:u w:val="none"/>
                <w:lang w:val="en-US" w:eastAsia="zh-CN" w:bidi="ar-SA"/>
              </w:rPr>
              <w:t>7</w:t>
            </w:r>
            <w:r>
              <w:rPr>
                <w:rFonts w:hint="default" w:ascii="Times New Roman" w:hAnsi="宋体" w:eastAsia="宋体" w:cs="Times New Roman"/>
                <w:bCs/>
                <w:color w:val="auto"/>
                <w:kern w:val="2"/>
                <w:sz w:val="21"/>
                <w:szCs w:val="21"/>
                <w:highlight w:val="none"/>
                <w:u w:val="none"/>
                <w:lang w:val="en-US" w:eastAsia="zh-CN" w:bidi="ar-SA"/>
              </w:rPr>
              <w:t>）现有生活面源污染：</w:t>
            </w:r>
            <w:r>
              <w:rPr>
                <w:rFonts w:hint="default" w:ascii="Times New Roman" w:hAnsi="宋体" w:eastAsia="宋体" w:cs="Times New Roman"/>
                <w:color w:val="auto"/>
                <w:kern w:val="2"/>
                <w:sz w:val="21"/>
                <w:szCs w:val="21"/>
                <w:highlight w:val="none"/>
                <w:u w:val="none"/>
                <w:lang w:val="en-US" w:eastAsia="zh-CN" w:bidi="ar-SA"/>
              </w:rPr>
              <w:t>原住居民住宅允许在饮用水水源保护区内保留，其生产的生活污水和垃圾必须收集处理；仅针对原住居民的非经营性新农村建设、安居工程建设项目，可以在饮用水水源二级保护区内保留，但产生的生活污水和垃圾必须进行收集处理。在上述情形配套建设的污染治理设施可以在饮用水水源保护区内保留，但处理后的污水原则上引到保护区外排放；不具备外引条件的，可通过农田灌溉、植树、造林等方式回用，或排入湿地进行二次处理。</w:t>
            </w:r>
          </w:p>
        </w:tc>
      </w:tr>
      <w:tr w14:paraId="7BC92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8" w:hRule="atLeast"/>
          <w:jc w:val="center"/>
        </w:trPr>
        <w:tc>
          <w:tcPr>
            <w:tcW w:w="1595" w:type="dxa"/>
            <w:vMerge w:val="continue"/>
            <w:noWrap w:val="0"/>
            <w:vAlign w:val="center"/>
          </w:tcPr>
          <w:p w14:paraId="0A1ABE2F">
            <w:pPr>
              <w:shd w:val="clear" w:color="auto" w:fill="auto"/>
              <w:adjustRightInd w:val="0"/>
              <w:snapToGrid w:val="0"/>
              <w:rPr>
                <w:rFonts w:ascii="Times New Roman" w:hAnsi="Times New Roman" w:eastAsia="宋体" w:cs="Times New Roman"/>
                <w:color w:val="auto"/>
                <w:szCs w:val="21"/>
                <w:highlight w:val="none"/>
                <w:u w:val="none"/>
              </w:rPr>
            </w:pPr>
          </w:p>
        </w:tc>
        <w:tc>
          <w:tcPr>
            <w:tcW w:w="969" w:type="dxa"/>
            <w:vMerge w:val="restart"/>
            <w:noWrap w:val="0"/>
            <w:vAlign w:val="center"/>
          </w:tcPr>
          <w:p w14:paraId="2E57738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饮用水水源保护区</w:t>
            </w:r>
          </w:p>
        </w:tc>
        <w:tc>
          <w:tcPr>
            <w:tcW w:w="963" w:type="dxa"/>
            <w:vMerge w:val="restart"/>
            <w:noWrap w:val="0"/>
            <w:vAlign w:val="center"/>
          </w:tcPr>
          <w:p w14:paraId="31349F21">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饮用水</w:t>
            </w:r>
          </w:p>
          <w:p w14:paraId="73F1C5E0">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地下水源</w:t>
            </w:r>
          </w:p>
        </w:tc>
        <w:tc>
          <w:tcPr>
            <w:tcW w:w="2039" w:type="dxa"/>
            <w:vMerge w:val="restart"/>
            <w:noWrap w:val="0"/>
            <w:vAlign w:val="center"/>
          </w:tcPr>
          <w:p w14:paraId="2C7936D2">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6600C817">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．一级保护区内：</w:t>
            </w:r>
          </w:p>
          <w:p w14:paraId="694B76F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bCs/>
                <w:color w:val="auto"/>
                <w:szCs w:val="21"/>
                <w:highlight w:val="none"/>
                <w:u w:val="none"/>
              </w:rPr>
              <w:t>建设与取水设施无关的建筑物或者构筑物；</w:t>
            </w:r>
          </w:p>
          <w:p w14:paraId="2010061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从事农牧业活动；</w:t>
            </w:r>
          </w:p>
          <w:p w14:paraId="1FB7E40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建设油库；</w:t>
            </w:r>
          </w:p>
          <w:p w14:paraId="7057F75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铺设输送污水、油类、有毒有害物品的管道；</w:t>
            </w:r>
          </w:p>
          <w:p w14:paraId="57DABC6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修建墓地、丢弃以及掩埋动物尸体等含病原体的其他废物；</w:t>
            </w:r>
          </w:p>
          <w:p w14:paraId="4208C9D8">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利用渗井、渗坑、裂隙或者溶洞排放、倾倒含有毒污染物的废水、含病原体的污水或者其他废物；</w:t>
            </w:r>
          </w:p>
          <w:p w14:paraId="62AA3A5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利用无防渗漏措施的沟渠、坑塘等输送或者存贮含有毒污染物的废水、含病原体的污水和其他废物；</w:t>
            </w:r>
          </w:p>
          <w:p w14:paraId="3DA8333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利用透水层孔隙、裂隙、溶洞和废弃矿坑储存油类、放射性物质、有毒有害化学物品、农药等；</w:t>
            </w:r>
          </w:p>
          <w:p w14:paraId="53F8CB8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设置化工原料、矿物油类以及有毒有害矿产品的贮存场所或者生活垃圾、工业固体废物以及危险废物的堆放场所和转运站；</w:t>
            </w:r>
          </w:p>
          <w:p w14:paraId="0987B66C">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倾倒工业废渣及城市垃圾、粪便和其他有害废弃物；</w:t>
            </w:r>
          </w:p>
          <w:p w14:paraId="2B162C7D">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可能严重影响水质的矿产资源勘查、开采、选冶等活动。</w:t>
            </w:r>
          </w:p>
        </w:tc>
      </w:tr>
      <w:tr w14:paraId="1C2BB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5" w:hRule="atLeast"/>
          <w:jc w:val="center"/>
        </w:trPr>
        <w:tc>
          <w:tcPr>
            <w:tcW w:w="1595" w:type="dxa"/>
            <w:vMerge w:val="continue"/>
            <w:noWrap w:val="0"/>
            <w:vAlign w:val="center"/>
          </w:tcPr>
          <w:p w14:paraId="4249E7C8">
            <w:pPr>
              <w:shd w:val="clear" w:color="auto" w:fill="auto"/>
              <w:adjustRightInd w:val="0"/>
              <w:snapToGrid w:val="0"/>
              <w:rPr>
                <w:rFonts w:ascii="Times New Roman" w:hAnsi="Times New Roman" w:eastAsia="宋体" w:cs="Times New Roman"/>
                <w:color w:val="auto"/>
                <w:szCs w:val="21"/>
                <w:highlight w:val="none"/>
                <w:u w:val="none"/>
              </w:rPr>
            </w:pPr>
          </w:p>
        </w:tc>
        <w:tc>
          <w:tcPr>
            <w:tcW w:w="969" w:type="dxa"/>
            <w:vMerge w:val="continue"/>
            <w:noWrap w:val="0"/>
            <w:vAlign w:val="center"/>
          </w:tcPr>
          <w:p w14:paraId="303C14AE">
            <w:pPr>
              <w:shd w:val="clear" w:color="auto" w:fill="auto"/>
              <w:adjustRightInd w:val="0"/>
              <w:snapToGrid w:val="0"/>
              <w:rPr>
                <w:rFonts w:ascii="Times New Roman" w:hAnsi="Times New Roman" w:eastAsia="宋体" w:cs="Times New Roman"/>
                <w:color w:val="auto"/>
                <w:szCs w:val="21"/>
                <w:highlight w:val="none"/>
                <w:u w:val="none"/>
              </w:rPr>
            </w:pPr>
          </w:p>
        </w:tc>
        <w:tc>
          <w:tcPr>
            <w:tcW w:w="963" w:type="dxa"/>
            <w:vMerge w:val="continue"/>
            <w:noWrap w:val="0"/>
            <w:vAlign w:val="center"/>
          </w:tcPr>
          <w:p w14:paraId="5F46F443">
            <w:pPr>
              <w:shd w:val="clear" w:color="auto" w:fill="auto"/>
              <w:adjustRightInd w:val="0"/>
              <w:snapToGrid w:val="0"/>
              <w:rPr>
                <w:rFonts w:ascii="Times New Roman" w:hAnsi="Times New Roman" w:eastAsia="宋体" w:cs="Times New Roman"/>
                <w:color w:val="auto"/>
                <w:szCs w:val="21"/>
                <w:highlight w:val="none"/>
                <w:u w:val="none"/>
              </w:rPr>
            </w:pPr>
          </w:p>
        </w:tc>
        <w:tc>
          <w:tcPr>
            <w:tcW w:w="2039" w:type="dxa"/>
            <w:vMerge w:val="continue"/>
            <w:noWrap w:val="0"/>
            <w:vAlign w:val="center"/>
          </w:tcPr>
          <w:p w14:paraId="2F13DAE7">
            <w:pPr>
              <w:shd w:val="clear" w:color="auto" w:fill="auto"/>
              <w:adjustRightInd w:val="0"/>
              <w:snapToGrid w:val="0"/>
              <w:rPr>
                <w:rFonts w:ascii="Times New Roman" w:hAnsi="Times New Roman" w:eastAsia="宋体" w:cs="Times New Roman"/>
                <w:color w:val="auto"/>
                <w:szCs w:val="21"/>
                <w:highlight w:val="none"/>
                <w:u w:val="none"/>
              </w:rPr>
            </w:pPr>
          </w:p>
        </w:tc>
        <w:tc>
          <w:tcPr>
            <w:tcW w:w="14977" w:type="dxa"/>
            <w:noWrap w:val="0"/>
            <w:vAlign w:val="center"/>
          </w:tcPr>
          <w:p w14:paraId="68B8831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．二级保护区内：</w:t>
            </w:r>
          </w:p>
          <w:p w14:paraId="1D17442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新建、改建、扩建排放污染物的建设项目；</w:t>
            </w:r>
          </w:p>
          <w:p w14:paraId="2670839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铺设输送污水、油类、有毒有害物品的管道；</w:t>
            </w:r>
          </w:p>
          <w:p w14:paraId="58CC31C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修建墓地、丢弃以及掩埋动物尸体等含病原体的其他废物；</w:t>
            </w:r>
          </w:p>
          <w:p w14:paraId="3907AF9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利用渗井、渗坑、裂隙或者溶洞排放、倾倒含有毒污染物的废水、含病原体的污水或者其他废物；</w:t>
            </w:r>
          </w:p>
          <w:p w14:paraId="4169B6D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利用无防渗漏措施的沟渠、坑塘等输送或者存贮含有毒污染物的废水、含病原体的污水和其他废物；</w:t>
            </w:r>
          </w:p>
          <w:p w14:paraId="3967661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利用透水层孔隙、裂隙、溶洞和废弃矿坑储存油类、放射性物质、有毒有害化学物品、农药等；</w:t>
            </w:r>
          </w:p>
          <w:p w14:paraId="5AFA279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设置化工原料、矿物油类以及有毒有害矿产品的贮存场所或者生活垃圾、工业固体废物以及危险废物的堆放场所和转运站；</w:t>
            </w:r>
          </w:p>
          <w:p w14:paraId="148A9FCE">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可能严重影响水质的矿产资源勘查、开采、选冶等活动。</w:t>
            </w:r>
          </w:p>
        </w:tc>
      </w:tr>
      <w:tr w14:paraId="2166C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6" w:hRule="atLeast"/>
          <w:jc w:val="center"/>
        </w:trPr>
        <w:tc>
          <w:tcPr>
            <w:tcW w:w="1595" w:type="dxa"/>
            <w:vMerge w:val="continue"/>
            <w:noWrap w:val="0"/>
            <w:vAlign w:val="center"/>
          </w:tcPr>
          <w:p w14:paraId="131B34A2">
            <w:pPr>
              <w:shd w:val="clear" w:color="auto" w:fill="auto"/>
              <w:adjustRightInd w:val="0"/>
              <w:snapToGrid w:val="0"/>
              <w:rPr>
                <w:rFonts w:ascii="Times New Roman" w:hAnsi="Times New Roman" w:eastAsia="宋体" w:cs="Times New Roman"/>
                <w:color w:val="auto"/>
                <w:szCs w:val="21"/>
                <w:highlight w:val="none"/>
                <w:u w:val="none"/>
              </w:rPr>
            </w:pPr>
          </w:p>
        </w:tc>
        <w:tc>
          <w:tcPr>
            <w:tcW w:w="969" w:type="dxa"/>
            <w:vMerge w:val="continue"/>
            <w:noWrap w:val="0"/>
            <w:vAlign w:val="center"/>
          </w:tcPr>
          <w:p w14:paraId="7D7DD4FF">
            <w:pPr>
              <w:shd w:val="clear" w:color="auto" w:fill="auto"/>
              <w:adjustRightInd w:val="0"/>
              <w:snapToGrid w:val="0"/>
              <w:rPr>
                <w:rFonts w:ascii="Times New Roman" w:hAnsi="Times New Roman" w:eastAsia="宋体" w:cs="Times New Roman"/>
                <w:color w:val="auto"/>
                <w:szCs w:val="21"/>
                <w:highlight w:val="none"/>
                <w:u w:val="none"/>
              </w:rPr>
            </w:pPr>
          </w:p>
        </w:tc>
        <w:tc>
          <w:tcPr>
            <w:tcW w:w="963" w:type="dxa"/>
            <w:vMerge w:val="continue"/>
            <w:noWrap w:val="0"/>
            <w:vAlign w:val="center"/>
          </w:tcPr>
          <w:p w14:paraId="6F679A12">
            <w:pPr>
              <w:shd w:val="clear" w:color="auto" w:fill="auto"/>
              <w:adjustRightInd w:val="0"/>
              <w:snapToGrid w:val="0"/>
              <w:rPr>
                <w:rFonts w:ascii="Times New Roman" w:hAnsi="Times New Roman" w:eastAsia="宋体" w:cs="Times New Roman"/>
                <w:color w:val="auto"/>
                <w:szCs w:val="21"/>
                <w:highlight w:val="none"/>
                <w:u w:val="none"/>
              </w:rPr>
            </w:pPr>
          </w:p>
        </w:tc>
        <w:tc>
          <w:tcPr>
            <w:tcW w:w="2039" w:type="dxa"/>
            <w:vMerge w:val="continue"/>
            <w:noWrap w:val="0"/>
            <w:vAlign w:val="center"/>
          </w:tcPr>
          <w:p w14:paraId="7D458285">
            <w:pPr>
              <w:shd w:val="clear" w:color="auto" w:fill="auto"/>
              <w:adjustRightInd w:val="0"/>
              <w:snapToGrid w:val="0"/>
              <w:rPr>
                <w:rFonts w:ascii="Times New Roman" w:hAnsi="Times New Roman" w:eastAsia="宋体" w:cs="Times New Roman"/>
                <w:color w:val="auto"/>
                <w:szCs w:val="21"/>
                <w:highlight w:val="none"/>
                <w:u w:val="none"/>
              </w:rPr>
            </w:pPr>
          </w:p>
        </w:tc>
        <w:tc>
          <w:tcPr>
            <w:tcW w:w="14977" w:type="dxa"/>
            <w:noWrap w:val="0"/>
            <w:vAlign w:val="center"/>
          </w:tcPr>
          <w:p w14:paraId="6317264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．准保护区内：</w:t>
            </w:r>
          </w:p>
          <w:p w14:paraId="633CBBC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利用渗井、渗坑、裂隙或者溶洞排放、倾倒含有毒污染物的废水、含病原体的污水或者其他废物；</w:t>
            </w:r>
          </w:p>
          <w:p w14:paraId="00FF555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利用无防渗漏措施的沟渠、坑塘等输送或者存贮含有毒污染物的废水、含病原体的污水和其他废物；</w:t>
            </w:r>
          </w:p>
          <w:p w14:paraId="0C8BF70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利用透水层孔隙、裂隙、溶洞和废弃矿坑储存油类、放射性物质、有毒有害化学物品、农药等；</w:t>
            </w:r>
          </w:p>
          <w:p w14:paraId="7288974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设置化工原料、矿物油类以及有毒有害矿产品的贮存场所或者生活垃圾、工业固体废物以及危险废物的堆放场所和转运站；</w:t>
            </w:r>
          </w:p>
          <w:p w14:paraId="578D1DA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可能严重影响水质的矿产资源勘查、开采、选冶等活动；</w:t>
            </w:r>
          </w:p>
          <w:p w14:paraId="543C62A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毁林开荒，</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非更新砍伐水源林。</w:t>
            </w:r>
          </w:p>
        </w:tc>
      </w:tr>
      <w:tr w14:paraId="56B42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5" w:hRule="atLeast"/>
          <w:jc w:val="center"/>
        </w:trPr>
        <w:tc>
          <w:tcPr>
            <w:tcW w:w="1595" w:type="dxa"/>
            <w:vMerge w:val="continue"/>
            <w:noWrap w:val="0"/>
            <w:vAlign w:val="center"/>
          </w:tcPr>
          <w:p w14:paraId="34DE35A8">
            <w:pPr>
              <w:shd w:val="clear" w:color="auto" w:fill="auto"/>
              <w:adjustRightInd w:val="0"/>
              <w:snapToGrid w:val="0"/>
              <w:rPr>
                <w:rFonts w:ascii="Times New Roman" w:hAnsi="Times New Roman" w:eastAsia="宋体" w:cs="Times New Roman"/>
                <w:color w:val="auto"/>
                <w:szCs w:val="21"/>
                <w:highlight w:val="none"/>
                <w:u w:val="none"/>
              </w:rPr>
            </w:pPr>
          </w:p>
        </w:tc>
        <w:tc>
          <w:tcPr>
            <w:tcW w:w="969" w:type="dxa"/>
            <w:vMerge w:val="continue"/>
            <w:noWrap w:val="0"/>
            <w:vAlign w:val="center"/>
          </w:tcPr>
          <w:p w14:paraId="4512705C">
            <w:pPr>
              <w:shd w:val="clear" w:color="auto" w:fill="auto"/>
              <w:adjustRightInd w:val="0"/>
              <w:snapToGrid w:val="0"/>
              <w:rPr>
                <w:rFonts w:ascii="Times New Roman" w:hAnsi="Times New Roman" w:eastAsia="宋体" w:cs="Times New Roman"/>
                <w:color w:val="auto"/>
                <w:szCs w:val="21"/>
                <w:highlight w:val="none"/>
                <w:u w:val="none"/>
              </w:rPr>
            </w:pPr>
          </w:p>
        </w:tc>
        <w:tc>
          <w:tcPr>
            <w:tcW w:w="963" w:type="dxa"/>
            <w:vMerge w:val="continue"/>
            <w:noWrap w:val="0"/>
            <w:vAlign w:val="center"/>
          </w:tcPr>
          <w:p w14:paraId="64EBF29E">
            <w:pPr>
              <w:shd w:val="clear" w:color="auto" w:fill="auto"/>
              <w:adjustRightInd w:val="0"/>
              <w:snapToGrid w:val="0"/>
              <w:rPr>
                <w:rFonts w:ascii="Times New Roman" w:hAnsi="Times New Roman" w:eastAsia="宋体" w:cs="Times New Roman"/>
                <w:color w:val="auto"/>
                <w:szCs w:val="21"/>
                <w:highlight w:val="none"/>
                <w:u w:val="none"/>
              </w:rPr>
            </w:pPr>
          </w:p>
        </w:tc>
        <w:tc>
          <w:tcPr>
            <w:tcW w:w="2039" w:type="dxa"/>
            <w:vMerge w:val="continue"/>
            <w:noWrap w:val="0"/>
            <w:vAlign w:val="center"/>
          </w:tcPr>
          <w:p w14:paraId="0C1B0F46">
            <w:pPr>
              <w:shd w:val="clear" w:color="auto" w:fill="auto"/>
              <w:adjustRightInd w:val="0"/>
              <w:snapToGrid w:val="0"/>
              <w:rPr>
                <w:rFonts w:ascii="Times New Roman" w:hAnsi="Times New Roman" w:eastAsia="宋体" w:cs="Times New Roman"/>
                <w:color w:val="auto"/>
                <w:szCs w:val="21"/>
                <w:highlight w:val="none"/>
                <w:u w:val="none"/>
              </w:rPr>
            </w:pPr>
          </w:p>
        </w:tc>
        <w:tc>
          <w:tcPr>
            <w:tcW w:w="14977" w:type="dxa"/>
            <w:noWrap w:val="0"/>
            <w:vAlign w:val="center"/>
          </w:tcPr>
          <w:p w14:paraId="3FE0A1FE">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．现有项目退出要求：</w:t>
            </w:r>
          </w:p>
          <w:p w14:paraId="4280ED79">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1</w:t>
            </w:r>
            <w:r>
              <w:rPr>
                <w:rFonts w:ascii="Times New Roman" w:hAnsi="宋体" w:eastAsia="宋体" w:cs="Times New Roman"/>
                <w:bCs/>
                <w:color w:val="auto"/>
                <w:szCs w:val="21"/>
                <w:highlight w:val="none"/>
                <w:u w:val="none"/>
              </w:rPr>
              <w:t>）现有排污口：饮用水水源保护区内的排污口应拆除或关闭。对雨污分流彻底的城市雨水排口、排涝口，在饮用水水源保护区内的可暂不拆除或关闭，同时加强监测监管，在非降雨季节保持干燥清洁；在降雨时，确保排水水质符合饮用水水源地水质保护要求，否则，应限期整改，逾期整改仍不符合要求的，限期拆除或关闭原排口。</w:t>
            </w:r>
          </w:p>
          <w:p w14:paraId="004E62E6">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2</w:t>
            </w:r>
            <w:r>
              <w:rPr>
                <w:rFonts w:ascii="Times New Roman" w:hAnsi="宋体" w:eastAsia="宋体" w:cs="Times New Roman"/>
                <w:bCs/>
                <w:color w:val="auto"/>
                <w:szCs w:val="21"/>
                <w:highlight w:val="none"/>
                <w:u w:val="none"/>
              </w:rPr>
              <w:t>）现有工业企业：饮用水水源保护区内排放污染物的工业企业应拆除或关闭。</w:t>
            </w:r>
          </w:p>
          <w:p w14:paraId="7C96F42E">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3</w:t>
            </w:r>
            <w:r>
              <w:rPr>
                <w:rFonts w:ascii="Times New Roman" w:hAnsi="宋体" w:eastAsia="宋体" w:cs="Times New Roman"/>
                <w:bCs/>
                <w:color w:val="auto"/>
                <w:szCs w:val="21"/>
                <w:highlight w:val="none"/>
                <w:u w:val="none"/>
              </w:rPr>
              <w:t>）现有码头：饮用水水源保护区内凡从事危险化学品、煤炭、矿砂、水泥等装卸作业的货运码头应拆除或关闭。饮用水水源一级保护区内旅游码头和航运、海事等管理部门工作码头应拆除或关闭。二级保护区内旅游码头和航运、海事等管理部门工作码头的污水、垃圾应统一收集至保护区外处理排放。自来水厂取水趸船（码头）、水文趸船作为与供水设施和保护水源有关的建设项目，可以在饮用水水源保护区内存在。</w:t>
            </w:r>
          </w:p>
          <w:p w14:paraId="0C8E60E8">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4</w:t>
            </w:r>
            <w:r>
              <w:rPr>
                <w:rFonts w:ascii="Times New Roman" w:hAnsi="宋体" w:eastAsia="宋体" w:cs="Times New Roman"/>
                <w:bCs/>
                <w:color w:val="auto"/>
                <w:szCs w:val="21"/>
                <w:highlight w:val="none"/>
                <w:u w:val="none"/>
              </w:rPr>
              <w:t>）现有旅游餐饮项目：饮用水水源保护区内农家乐、宾馆酒店、餐饮娱乐等项目应拆除或关闭。</w:t>
            </w:r>
          </w:p>
          <w:p w14:paraId="313FE3CF">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5</w:t>
            </w:r>
            <w:r>
              <w:rPr>
                <w:rFonts w:ascii="Times New Roman" w:hAnsi="宋体" w:eastAsia="宋体" w:cs="Times New Roman"/>
                <w:bCs/>
                <w:color w:val="auto"/>
                <w:szCs w:val="21"/>
                <w:highlight w:val="none"/>
                <w:u w:val="none"/>
              </w:rPr>
              <w:t>）现有加油站、加气站：饮用水水源一级保护区内加油站和加气站应拆除或关闭；二级保护区内加油站应完成双层罐体改造。</w:t>
            </w:r>
          </w:p>
          <w:p w14:paraId="5C68D936">
            <w:pPr>
              <w:pStyle w:val="18"/>
              <w:widowControl w:val="0"/>
              <w:jc w:val="both"/>
              <w:rPr>
                <w:rFonts w:eastAsia="宋体"/>
                <w:bCs/>
                <w:color w:val="auto"/>
                <w:kern w:val="2"/>
                <w:sz w:val="21"/>
                <w:highlight w:val="none"/>
                <w:u w:val="none"/>
                <w:lang w:bidi="ar-SA"/>
              </w:rPr>
            </w:pPr>
            <w:r>
              <w:rPr>
                <w:rFonts w:hAnsi="宋体" w:eastAsia="宋体"/>
                <w:bCs/>
                <w:color w:val="auto"/>
                <w:kern w:val="2"/>
                <w:sz w:val="21"/>
                <w:highlight w:val="none"/>
                <w:u w:val="none"/>
                <w:lang w:bidi="ar-SA"/>
              </w:rPr>
              <w:t>（</w:t>
            </w:r>
            <w:r>
              <w:rPr>
                <w:rFonts w:eastAsia="宋体"/>
                <w:bCs/>
                <w:color w:val="auto"/>
                <w:kern w:val="2"/>
                <w:sz w:val="21"/>
                <w:highlight w:val="none"/>
                <w:u w:val="none"/>
                <w:lang w:bidi="ar-SA"/>
              </w:rPr>
              <w:t>6</w:t>
            </w:r>
            <w:r>
              <w:rPr>
                <w:rFonts w:hAnsi="宋体" w:eastAsia="宋体"/>
                <w:bCs/>
                <w:color w:val="auto"/>
                <w:kern w:val="2"/>
                <w:sz w:val="21"/>
                <w:highlight w:val="none"/>
                <w:u w:val="none"/>
                <w:lang w:bidi="ar-SA"/>
              </w:rPr>
              <w:t>）现有农业面源污染：</w:t>
            </w:r>
            <w:r>
              <w:rPr>
                <w:rFonts w:hAnsi="宋体" w:eastAsia="宋体"/>
                <w:color w:val="auto"/>
                <w:kern w:val="2"/>
                <w:sz w:val="21"/>
                <w:highlight w:val="none"/>
                <w:u w:val="none"/>
                <w:lang w:bidi="ar-SA"/>
              </w:rPr>
              <w:t>饮用水水源一级保护区内农业种植应严格控制农药、化肥等非点源污染，并逐步退出；饮用水水源二级保护区内农业种植和经济林应实行科学种植和非点源污染防治。饮用水水源一级保护区内所有经营性的畜禽养殖活动应取缔，养殖设施应拆除。二级保护区内排放污染物的规模化畜禽养殖场应拆除或关闭；分散式畜禽养殖圈舍应做到养殖废物全部资源</w:t>
            </w:r>
            <w:r>
              <w:rPr>
                <w:rFonts w:hAnsi="宋体" w:eastAsia="宋体"/>
                <w:bCs/>
                <w:color w:val="auto"/>
                <w:kern w:val="2"/>
                <w:sz w:val="21"/>
                <w:highlight w:val="none"/>
                <w:u w:val="none"/>
                <w:lang w:bidi="ar-SA"/>
              </w:rPr>
              <w:t>化利用，且尽量远离取水口，</w:t>
            </w:r>
            <w:r>
              <w:rPr>
                <w:rFonts w:hAnsi="宋体" w:eastAsia="宋体"/>
                <w:b/>
                <w:color w:val="auto"/>
                <w:kern w:val="2"/>
                <w:sz w:val="21"/>
                <w:highlight w:val="none"/>
                <w:u w:val="none"/>
                <w:lang w:bidi="ar-SA"/>
              </w:rPr>
              <w:t>不得</w:t>
            </w:r>
            <w:r>
              <w:rPr>
                <w:rFonts w:hAnsi="宋体" w:eastAsia="宋体"/>
                <w:bCs/>
                <w:color w:val="auto"/>
                <w:kern w:val="2"/>
                <w:sz w:val="21"/>
                <w:highlight w:val="none"/>
                <w:u w:val="none"/>
                <w:lang w:bidi="ar-SA"/>
              </w:rPr>
              <w:t>向水体直接倾倒畜禽粪便和排放养殖污水。饮用水水源二级保护区内网箱养殖、坑塘养殖、水面围网养殖等活动，未采取有效措施防止污染水体的应取缔。</w:t>
            </w:r>
          </w:p>
          <w:p w14:paraId="292D3D00">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7</w:t>
            </w:r>
            <w:r>
              <w:rPr>
                <w:rFonts w:ascii="Times New Roman" w:hAnsi="宋体" w:eastAsia="宋体" w:cs="Times New Roman"/>
                <w:bCs/>
                <w:color w:val="auto"/>
                <w:szCs w:val="21"/>
                <w:highlight w:val="none"/>
                <w:u w:val="none"/>
              </w:rPr>
              <w:t>）现有生活面源污染：原住居民住宅允许在饮用水水源保护区内保留，其生产的生活污水和垃圾必须收集处理；仅针对原住居民的非经营性新</w:t>
            </w:r>
            <w:r>
              <w:rPr>
                <w:rFonts w:ascii="Times New Roman" w:hAnsi="宋体" w:eastAsia="宋体" w:cs="Times New Roman"/>
                <w:color w:val="auto"/>
                <w:szCs w:val="21"/>
                <w:highlight w:val="none"/>
                <w:u w:val="none"/>
              </w:rPr>
              <w:t>农村建设、安居工程建设项目，可以在饮用水水源二级保护区内保留，但产生的生活污水和垃圾必须进行收集处理。为上述情形配套建设的污染治理设施可以在饮用水水源保护区内保留，但处理后的污水原则上引到保护区外排放；不具备外引条件的，可通过农田灌溉、植树、造林等方式回用，或排入湿地进行二次处理。</w:t>
            </w:r>
          </w:p>
        </w:tc>
      </w:tr>
      <w:tr w14:paraId="528AE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jc w:val="center"/>
        </w:trPr>
        <w:tc>
          <w:tcPr>
            <w:tcW w:w="1595" w:type="dxa"/>
            <w:vMerge w:val="continue"/>
            <w:noWrap w:val="0"/>
            <w:vAlign w:val="center"/>
          </w:tcPr>
          <w:p w14:paraId="5EB6007A">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vMerge w:val="restart"/>
            <w:noWrap w:val="0"/>
            <w:vAlign w:val="center"/>
          </w:tcPr>
          <w:p w14:paraId="40E76211">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饮用水水源保护区</w:t>
            </w:r>
          </w:p>
        </w:tc>
        <w:tc>
          <w:tcPr>
            <w:tcW w:w="2039" w:type="dxa"/>
            <w:noWrap w:val="0"/>
            <w:vAlign w:val="center"/>
          </w:tcPr>
          <w:p w14:paraId="6DCC2F38">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污染物排放管控</w:t>
            </w:r>
          </w:p>
        </w:tc>
        <w:tc>
          <w:tcPr>
            <w:tcW w:w="14977" w:type="dxa"/>
            <w:noWrap w:val="0"/>
            <w:vAlign w:val="center"/>
          </w:tcPr>
          <w:p w14:paraId="0558DF1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．不能满足水质要求的地表水饮用水水源，准保护区或汇水区域采取水污染物容量总量控制措施，限期达标。</w:t>
            </w:r>
          </w:p>
          <w:p w14:paraId="7D22460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．准保护区内工业园区企业的第一类水污染物达到车间排放要求、常规污染物达到间接排放标准后，进入园区污水处理厂集中处理。</w:t>
            </w:r>
          </w:p>
        </w:tc>
      </w:tr>
      <w:tr w14:paraId="48325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8" w:hRule="atLeast"/>
          <w:jc w:val="center"/>
        </w:trPr>
        <w:tc>
          <w:tcPr>
            <w:tcW w:w="1595" w:type="dxa"/>
            <w:vMerge w:val="continue"/>
            <w:noWrap w:val="0"/>
            <w:vAlign w:val="center"/>
          </w:tcPr>
          <w:p w14:paraId="1C124655">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vMerge w:val="continue"/>
            <w:noWrap w:val="0"/>
            <w:vAlign w:val="center"/>
          </w:tcPr>
          <w:p w14:paraId="1C6BDC4D">
            <w:pPr>
              <w:shd w:val="clear" w:color="auto" w:fill="auto"/>
              <w:adjustRightInd w:val="0"/>
              <w:snapToGrid w:val="0"/>
              <w:jc w:val="center"/>
              <w:rPr>
                <w:rFonts w:ascii="Times New Roman" w:hAnsi="Times New Roman" w:eastAsia="宋体" w:cs="Times New Roman"/>
                <w:color w:val="auto"/>
                <w:szCs w:val="21"/>
                <w:highlight w:val="none"/>
                <w:u w:val="none"/>
              </w:rPr>
            </w:pPr>
          </w:p>
        </w:tc>
        <w:tc>
          <w:tcPr>
            <w:tcW w:w="2039" w:type="dxa"/>
            <w:noWrap w:val="0"/>
            <w:vAlign w:val="center"/>
          </w:tcPr>
          <w:p w14:paraId="4A94538D">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环境风险防控</w:t>
            </w:r>
          </w:p>
        </w:tc>
        <w:tc>
          <w:tcPr>
            <w:tcW w:w="14977" w:type="dxa"/>
            <w:noWrap w:val="0"/>
            <w:vAlign w:val="center"/>
          </w:tcPr>
          <w:p w14:paraId="0D0CE04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．一级保护区周边人类活动频繁的区域设置隔离防护设施。</w:t>
            </w:r>
          </w:p>
          <w:p w14:paraId="16E30E7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二级保护区内乡级及以下道路和景观步行道应做好与饮用水水体的隔离防护及设置必要的应急措施，避免人类活动对水质的影响。县级及以上公路、道路、铁路、桥梁等应严格限制有毒有害物质和危险化学品的运输，开展视频监控，跨越或与水体并行的路桥两侧建设防撞栏、桥面径流收集系统等事故应急防护工程设施。</w:t>
            </w:r>
          </w:p>
          <w:p w14:paraId="601308B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．穿越饮用水水源保护区的船只，应配备防治污染物散落、溢流、渗漏设施。</w:t>
            </w:r>
          </w:p>
          <w:p w14:paraId="17F0C66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．穿越饮用水水源保护区的输油、输气管道采取防泄漏措施，必要时设置事故导流槽。</w:t>
            </w:r>
          </w:p>
          <w:p w14:paraId="5330A5A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在饮用水水源保护区、河道内丢弃农药、农药包装物或者清洗施药器械。</w:t>
            </w:r>
            <w:r>
              <w:rPr>
                <w:rFonts w:ascii="Times New Roman" w:hAnsi="宋体" w:eastAsia="宋体" w:cs="Times New Roman"/>
                <w:b/>
                <w:bCs/>
                <w:color w:val="auto"/>
                <w:szCs w:val="21"/>
                <w:highlight w:val="none"/>
                <w:u w:val="none"/>
              </w:rPr>
              <w:t>严禁</w:t>
            </w:r>
            <w:r>
              <w:rPr>
                <w:rFonts w:ascii="Times New Roman" w:hAnsi="宋体" w:eastAsia="宋体" w:cs="Times New Roman"/>
                <w:color w:val="auto"/>
                <w:szCs w:val="21"/>
                <w:highlight w:val="none"/>
                <w:u w:val="none"/>
              </w:rPr>
              <w:t>在饮用水水源保护区内使用农药，</w:t>
            </w:r>
            <w:r>
              <w:rPr>
                <w:rFonts w:ascii="Times New Roman" w:hAnsi="宋体" w:eastAsia="宋体" w:cs="Times New Roman"/>
                <w:b/>
                <w:bCs/>
                <w:color w:val="auto"/>
                <w:szCs w:val="21"/>
                <w:highlight w:val="none"/>
                <w:u w:val="none"/>
              </w:rPr>
              <w:t>严禁</w:t>
            </w:r>
            <w:r>
              <w:rPr>
                <w:rFonts w:ascii="Times New Roman" w:hAnsi="宋体" w:eastAsia="宋体" w:cs="Times New Roman"/>
                <w:color w:val="auto"/>
                <w:szCs w:val="21"/>
                <w:highlight w:val="none"/>
                <w:u w:val="none"/>
              </w:rPr>
              <w:t>使用农药毒鱼、虾、鸟、兽等。</w:t>
            </w:r>
          </w:p>
        </w:tc>
      </w:tr>
      <w:tr w14:paraId="77645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4" w:hRule="atLeast"/>
          <w:jc w:val="center"/>
        </w:trPr>
        <w:tc>
          <w:tcPr>
            <w:tcW w:w="1595" w:type="dxa"/>
            <w:vMerge w:val="continue"/>
            <w:noWrap w:val="0"/>
            <w:vAlign w:val="center"/>
          </w:tcPr>
          <w:p w14:paraId="784B0A9C">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78B09639">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水产种质资源</w:t>
            </w:r>
          </w:p>
          <w:p w14:paraId="57D500CB">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保护区</w:t>
            </w:r>
          </w:p>
        </w:tc>
        <w:tc>
          <w:tcPr>
            <w:tcW w:w="2039" w:type="dxa"/>
            <w:noWrap w:val="0"/>
            <w:vAlign w:val="center"/>
          </w:tcPr>
          <w:p w14:paraId="5DF2E74C">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51CF3700">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Times New Roman" w:eastAsia="宋体" w:cs="Times New Roman"/>
                <w:bCs/>
                <w:color w:val="auto"/>
                <w:szCs w:val="21"/>
                <w:highlight w:val="none"/>
                <w:u w:val="none"/>
              </w:rPr>
              <w:t>1</w:t>
            </w:r>
            <w:r>
              <w:rPr>
                <w:rFonts w:ascii="Times New Roman" w:hAnsi="宋体" w:eastAsia="宋体" w:cs="Times New Roman"/>
                <w:bCs/>
                <w:color w:val="auto"/>
                <w:szCs w:val="21"/>
                <w:highlight w:val="none"/>
                <w:u w:val="none"/>
              </w:rPr>
              <w:t>．未经国务院渔业行政主管部门批准，任何单位或者个人</w:t>
            </w:r>
            <w:r>
              <w:rPr>
                <w:rFonts w:ascii="Times New Roman" w:hAnsi="宋体" w:eastAsia="宋体" w:cs="Times New Roman"/>
                <w:b/>
                <w:color w:val="auto"/>
                <w:szCs w:val="21"/>
                <w:highlight w:val="none"/>
                <w:u w:val="none"/>
              </w:rPr>
              <w:t>不得</w:t>
            </w:r>
            <w:r>
              <w:rPr>
                <w:rFonts w:ascii="Times New Roman" w:hAnsi="宋体" w:eastAsia="宋体" w:cs="Times New Roman"/>
                <w:bCs/>
                <w:color w:val="auto"/>
                <w:szCs w:val="21"/>
                <w:highlight w:val="none"/>
                <w:u w:val="none"/>
              </w:rPr>
              <w:t>在水产种质资源保护区内从事捕捞活动。</w:t>
            </w:r>
          </w:p>
          <w:p w14:paraId="3275E721">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Times New Roman" w:eastAsia="宋体" w:cs="Times New Roman"/>
                <w:bCs/>
                <w:color w:val="auto"/>
                <w:szCs w:val="21"/>
                <w:highlight w:val="none"/>
                <w:u w:val="none"/>
              </w:rPr>
              <w:t>2</w:t>
            </w:r>
            <w:r>
              <w:rPr>
                <w:rFonts w:ascii="Times New Roman" w:hAnsi="宋体" w:eastAsia="宋体" w:cs="Times New Roman"/>
                <w:bCs/>
                <w:color w:val="auto"/>
                <w:szCs w:val="21"/>
                <w:highlight w:val="none"/>
                <w:u w:val="none"/>
              </w:rPr>
              <w:t>．在水产种质资源保护区内从事修建水利工程、疏浚航道、建闸筑坝、勘探和开采矿产资源、港口建设、桥梁工程等工程建设的，或者在水产种质资源保护区外从事可能损害保护区功能的工程建设活动的，应当按照国家有关规定编制建设项目对水产种质资源保护区的影响专题论证报告，并将其纳入环境影响评价报告书。</w:t>
            </w:r>
          </w:p>
          <w:p w14:paraId="275EA6E9">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Times New Roman" w:eastAsia="宋体" w:cs="Times New Roman"/>
                <w:bCs/>
                <w:color w:val="auto"/>
                <w:szCs w:val="21"/>
                <w:highlight w:val="none"/>
                <w:u w:val="none"/>
              </w:rPr>
              <w:t>3</w:t>
            </w:r>
            <w:r>
              <w:rPr>
                <w:rFonts w:ascii="Times New Roman" w:hAnsi="宋体" w:eastAsia="宋体" w:cs="Times New Roman"/>
                <w:bCs/>
                <w:color w:val="auto"/>
                <w:szCs w:val="21"/>
                <w:highlight w:val="none"/>
                <w:u w:val="none"/>
              </w:rPr>
              <w:t>．单位和个人在水产种质资源保护区内从事水生生物资源调查、科学研究、教学实习、参观游览、影视拍摄等活动，应当遵守有关法律法规和保护区管理制度，</w:t>
            </w:r>
            <w:r>
              <w:rPr>
                <w:rFonts w:ascii="Times New Roman" w:hAnsi="宋体" w:eastAsia="宋体" w:cs="Times New Roman"/>
                <w:b/>
                <w:color w:val="auto"/>
                <w:szCs w:val="21"/>
                <w:highlight w:val="none"/>
                <w:u w:val="none"/>
              </w:rPr>
              <w:t>不得</w:t>
            </w:r>
            <w:r>
              <w:rPr>
                <w:rFonts w:ascii="Times New Roman" w:hAnsi="宋体" w:eastAsia="宋体" w:cs="Times New Roman"/>
                <w:bCs/>
                <w:color w:val="auto"/>
                <w:szCs w:val="21"/>
                <w:highlight w:val="none"/>
                <w:u w:val="none"/>
              </w:rPr>
              <w:t>损害水产种质资源及其生存环境。</w:t>
            </w:r>
          </w:p>
          <w:p w14:paraId="1F66DA58">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4</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bCs/>
                <w:color w:val="auto"/>
                <w:szCs w:val="21"/>
                <w:highlight w:val="none"/>
                <w:u w:val="none"/>
              </w:rPr>
              <w:t>在水产种质资源保护区内从事围湖造田。</w:t>
            </w:r>
          </w:p>
        </w:tc>
      </w:tr>
      <w:tr w14:paraId="39872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0" w:hRule="atLeast"/>
          <w:jc w:val="center"/>
        </w:trPr>
        <w:tc>
          <w:tcPr>
            <w:tcW w:w="1595" w:type="dxa"/>
            <w:vMerge w:val="continue"/>
            <w:noWrap w:val="0"/>
            <w:vAlign w:val="center"/>
          </w:tcPr>
          <w:p w14:paraId="7544DD99">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790E0C53">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重要湿地</w:t>
            </w:r>
          </w:p>
        </w:tc>
        <w:tc>
          <w:tcPr>
            <w:tcW w:w="2039" w:type="dxa"/>
            <w:noWrap w:val="0"/>
            <w:vAlign w:val="center"/>
          </w:tcPr>
          <w:p w14:paraId="220DE08B">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7CCC39C3">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Times New Roman" w:eastAsia="宋体" w:cs="Times New Roman"/>
                <w:bCs/>
                <w:color w:val="auto"/>
                <w:szCs w:val="21"/>
                <w:highlight w:val="none"/>
                <w:u w:val="none"/>
              </w:rPr>
              <w:t>1</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bCs/>
                <w:color w:val="auto"/>
                <w:szCs w:val="21"/>
                <w:highlight w:val="none"/>
                <w:u w:val="none"/>
              </w:rPr>
              <w:t>占用国家重要湿地，国家重大项目、防灾减灾项目、重要水利及保护设施项目、湿地保护项目等除外。</w:t>
            </w:r>
            <w:r>
              <w:rPr>
                <w:rFonts w:ascii="Times New Roman" w:hAnsi="宋体" w:eastAsia="宋体" w:cs="Times New Roman"/>
                <w:color w:val="auto"/>
                <w:szCs w:val="21"/>
                <w:highlight w:val="none"/>
                <w:u w:val="none"/>
              </w:rPr>
              <w:t>建设项目选址、选线应当避让湿地，无法避让的应当尽量减少占用。建设项目规划选址、选线审批或者核准时，涉及国家重要湿地的，应当征求国务院林业草原主管部门的意见；涉及省级重要湿地或者一般湿地的，应当按照管理权限，征求县级以上地方人民政府授权的部门的意见。</w:t>
            </w:r>
          </w:p>
          <w:p w14:paraId="47CD8760">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Times New Roman" w:eastAsia="宋体" w:cs="Times New Roman"/>
                <w:bCs/>
                <w:color w:val="auto"/>
                <w:szCs w:val="21"/>
                <w:highlight w:val="none"/>
                <w:u w:val="none"/>
              </w:rPr>
              <w:t>2</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bCs/>
                <w:color w:val="auto"/>
                <w:szCs w:val="21"/>
                <w:highlight w:val="none"/>
                <w:u w:val="none"/>
              </w:rPr>
              <w:t>下列破坏湿地及其生态功能的行为：</w:t>
            </w:r>
          </w:p>
          <w:p w14:paraId="7CE35F00">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1</w:t>
            </w:r>
            <w:r>
              <w:rPr>
                <w:rFonts w:ascii="Times New Roman" w:hAnsi="宋体" w:eastAsia="宋体" w:cs="Times New Roman"/>
                <w:bCs/>
                <w:color w:val="auto"/>
                <w:szCs w:val="21"/>
                <w:highlight w:val="none"/>
                <w:u w:val="none"/>
              </w:rPr>
              <w:t>）开（围）垦、排干自然湿地，永久性截断自然湿地水源；</w:t>
            </w:r>
          </w:p>
          <w:p w14:paraId="5D3C1E0E">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2</w:t>
            </w:r>
            <w:r>
              <w:rPr>
                <w:rFonts w:ascii="Times New Roman" w:hAnsi="宋体" w:eastAsia="宋体" w:cs="Times New Roman"/>
                <w:bCs/>
                <w:color w:val="auto"/>
                <w:szCs w:val="21"/>
                <w:highlight w:val="none"/>
                <w:u w:val="none"/>
              </w:rPr>
              <w:t>）擅自填埋自然湿地，擅自采砂、采矿、取土；</w:t>
            </w:r>
          </w:p>
          <w:p w14:paraId="76B5B9F0">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3</w:t>
            </w:r>
            <w:r>
              <w:rPr>
                <w:rFonts w:ascii="Times New Roman" w:hAnsi="宋体" w:eastAsia="宋体" w:cs="Times New Roman"/>
                <w:bCs/>
                <w:color w:val="auto"/>
                <w:szCs w:val="21"/>
                <w:highlight w:val="none"/>
                <w:u w:val="none"/>
              </w:rPr>
              <w:t>）排放不符合水污染物排放标准的工业废水、生活污水及其他污染湿地的废水、污水，倾倒、堆放、丢弃、遗撒固体废物；</w:t>
            </w:r>
          </w:p>
          <w:p w14:paraId="4558640E">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4</w:t>
            </w:r>
            <w:r>
              <w:rPr>
                <w:rFonts w:ascii="Times New Roman" w:hAnsi="宋体" w:eastAsia="宋体" w:cs="Times New Roman"/>
                <w:bCs/>
                <w:color w:val="auto"/>
                <w:szCs w:val="21"/>
                <w:highlight w:val="none"/>
                <w:u w:val="none"/>
              </w:rPr>
              <w:t>）过度放牧或者滥采野生植物，过度捕捞或者灭绝式捕捞，过度施肥、投药、投放饵料等污染湿地的种植养殖行为；</w:t>
            </w:r>
          </w:p>
          <w:p w14:paraId="7E5B55BE">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宋体" w:eastAsia="宋体" w:cs="Times New Roman"/>
                <w:bCs/>
                <w:color w:val="auto"/>
                <w:szCs w:val="21"/>
                <w:highlight w:val="none"/>
                <w:u w:val="none"/>
              </w:rPr>
              <w:t>（</w:t>
            </w:r>
            <w:r>
              <w:rPr>
                <w:rFonts w:ascii="Times New Roman" w:hAnsi="Times New Roman" w:eastAsia="宋体" w:cs="Times New Roman"/>
                <w:bCs/>
                <w:color w:val="auto"/>
                <w:szCs w:val="21"/>
                <w:highlight w:val="none"/>
                <w:u w:val="none"/>
              </w:rPr>
              <w:t>5</w:t>
            </w:r>
            <w:r>
              <w:rPr>
                <w:rFonts w:ascii="Times New Roman" w:hAnsi="宋体" w:eastAsia="宋体" w:cs="Times New Roman"/>
                <w:bCs/>
                <w:color w:val="auto"/>
                <w:szCs w:val="21"/>
                <w:highlight w:val="none"/>
                <w:u w:val="none"/>
              </w:rPr>
              <w:t>）其他破坏湿地及其生态功能的行为。</w:t>
            </w:r>
          </w:p>
          <w:p w14:paraId="28FA0CFC">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Times New Roman" w:eastAsia="宋体" w:cs="Times New Roman"/>
                <w:bCs/>
                <w:color w:val="auto"/>
                <w:szCs w:val="21"/>
                <w:highlight w:val="none"/>
                <w:u w:val="none"/>
              </w:rPr>
              <w:t>3</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bCs/>
                <w:color w:val="auto"/>
                <w:szCs w:val="21"/>
                <w:highlight w:val="none"/>
                <w:u w:val="none"/>
              </w:rPr>
              <w:t>向湿地引进和放生外来物种，确需引进的应当进行科学评估，并依法取得批准。</w:t>
            </w:r>
          </w:p>
          <w:p w14:paraId="691040C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4</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bCs/>
                <w:color w:val="auto"/>
                <w:szCs w:val="21"/>
                <w:highlight w:val="none"/>
                <w:u w:val="none"/>
              </w:rPr>
              <w:t>在以水鸟为保护对象的自然保护地及其他重要栖息地从事捕鱼、挖捕底栖生物、捡拾鸟蛋、破坏鸟巢等危及水鸟生存、繁衍的活动。</w:t>
            </w:r>
          </w:p>
          <w:p w14:paraId="23EAEEC8">
            <w:pPr>
              <w:pStyle w:val="7"/>
              <w:rPr>
                <w:rFonts w:ascii="Times New Roman" w:hAnsi="Times New Roman" w:eastAsia="宋体" w:cs="Times New Roman"/>
                <w:color w:val="auto"/>
                <w:kern w:val="2"/>
                <w:sz w:val="21"/>
                <w:szCs w:val="21"/>
                <w:highlight w:val="none"/>
                <w:u w:val="none"/>
                <w:lang w:val="en-US" w:bidi="ar-SA"/>
              </w:rPr>
            </w:pPr>
            <w:r>
              <w:rPr>
                <w:rFonts w:ascii="Times New Roman" w:hAnsi="Times New Roman" w:eastAsia="宋体" w:cs="Times New Roman"/>
                <w:color w:val="auto"/>
                <w:kern w:val="2"/>
                <w:sz w:val="21"/>
                <w:szCs w:val="21"/>
                <w:highlight w:val="none"/>
                <w:u w:val="none"/>
                <w:lang w:val="en-US" w:bidi="ar-SA"/>
              </w:rPr>
              <w:t>5</w:t>
            </w:r>
            <w:r>
              <w:rPr>
                <w:rFonts w:ascii="Times New Roman" w:hAnsi="宋体" w:eastAsia="宋体" w:cs="Times New Roman"/>
                <w:color w:val="auto"/>
                <w:kern w:val="2"/>
                <w:sz w:val="21"/>
                <w:szCs w:val="21"/>
                <w:highlight w:val="none"/>
                <w:u w:val="none"/>
                <w:lang w:val="en-US" w:bidi="ar-SA"/>
              </w:rPr>
              <w:t>．严格控制征占用滨海湿地的围填海工程，</w:t>
            </w:r>
            <w:r>
              <w:rPr>
                <w:rFonts w:ascii="Times New Roman" w:hAnsi="宋体" w:eastAsia="宋体" w:cs="Times New Roman"/>
                <w:b/>
                <w:bCs/>
                <w:color w:val="auto"/>
                <w:kern w:val="2"/>
                <w:sz w:val="21"/>
                <w:szCs w:val="21"/>
                <w:highlight w:val="none"/>
                <w:u w:val="none"/>
                <w:lang w:val="en-US" w:bidi="ar-SA"/>
              </w:rPr>
              <w:t>禁止</w:t>
            </w:r>
            <w:r>
              <w:rPr>
                <w:rFonts w:ascii="Times New Roman" w:hAnsi="宋体" w:eastAsia="宋体" w:cs="Times New Roman"/>
                <w:color w:val="auto"/>
                <w:kern w:val="2"/>
                <w:sz w:val="21"/>
                <w:szCs w:val="21"/>
                <w:highlight w:val="none"/>
                <w:u w:val="none"/>
                <w:lang w:val="en-US" w:bidi="ar-SA"/>
              </w:rPr>
              <w:t>在重要水生生物的自然产卵场、繁殖场、索饵场和鸟类栖息地进行围填海活动。</w:t>
            </w:r>
          </w:p>
          <w:p w14:paraId="3F42DAF5">
            <w:pPr>
              <w:pStyle w:val="7"/>
              <w:rPr>
                <w:rFonts w:ascii="Times New Roman" w:hAnsi="Times New Roman" w:eastAsia="宋体" w:cs="Times New Roman"/>
                <w:color w:val="auto"/>
                <w:kern w:val="2"/>
                <w:sz w:val="21"/>
                <w:szCs w:val="21"/>
                <w:highlight w:val="none"/>
                <w:u w:val="none"/>
                <w:lang w:val="en-US" w:bidi="ar-SA"/>
              </w:rPr>
            </w:pPr>
            <w:r>
              <w:rPr>
                <w:rFonts w:ascii="Times New Roman" w:hAnsi="Times New Roman" w:eastAsia="宋体" w:cs="Times New Roman"/>
                <w:color w:val="auto"/>
                <w:kern w:val="2"/>
                <w:sz w:val="21"/>
                <w:szCs w:val="21"/>
                <w:highlight w:val="none"/>
                <w:u w:val="none"/>
                <w:lang w:val="en-US" w:bidi="ar-SA"/>
              </w:rPr>
              <w:t>6</w:t>
            </w:r>
            <w:r>
              <w:rPr>
                <w:rFonts w:ascii="Times New Roman" w:hAnsi="宋体" w:eastAsia="宋体" w:cs="Times New Roman"/>
                <w:color w:val="auto"/>
                <w:kern w:val="2"/>
                <w:sz w:val="21"/>
                <w:szCs w:val="21"/>
                <w:highlight w:val="none"/>
                <w:u w:val="none"/>
                <w:lang w:val="en-US" w:bidi="ar-SA"/>
              </w:rPr>
              <w:t>．</w:t>
            </w:r>
            <w:r>
              <w:rPr>
                <w:rFonts w:ascii="Times New Roman" w:hAnsi="宋体" w:eastAsia="宋体" w:cs="Times New Roman"/>
                <w:b/>
                <w:bCs/>
                <w:color w:val="auto"/>
                <w:kern w:val="2"/>
                <w:sz w:val="21"/>
                <w:szCs w:val="21"/>
                <w:highlight w:val="none"/>
                <w:u w:val="none"/>
                <w:lang w:val="en-US" w:bidi="ar-SA"/>
              </w:rPr>
              <w:t>禁止</w:t>
            </w:r>
            <w:r>
              <w:rPr>
                <w:rFonts w:ascii="Times New Roman" w:hAnsi="宋体" w:eastAsia="宋体" w:cs="Times New Roman"/>
                <w:color w:val="auto"/>
                <w:kern w:val="2"/>
                <w:sz w:val="21"/>
                <w:szCs w:val="21"/>
                <w:highlight w:val="none"/>
                <w:u w:val="none"/>
                <w:lang w:val="en-US" w:bidi="ar-SA"/>
              </w:rPr>
              <w:t>占用红树林湿地。确因国家重大项目、防灾减灾等需要占用的，应当依照有关法律规定办理。</w:t>
            </w:r>
            <w:r>
              <w:rPr>
                <w:rFonts w:ascii="Times New Roman" w:hAnsi="宋体" w:eastAsia="宋体" w:cs="Times New Roman"/>
                <w:b/>
                <w:bCs/>
                <w:color w:val="auto"/>
                <w:kern w:val="2"/>
                <w:sz w:val="21"/>
                <w:szCs w:val="21"/>
                <w:highlight w:val="none"/>
                <w:u w:val="none"/>
                <w:lang w:val="en-US" w:bidi="ar-SA"/>
              </w:rPr>
              <w:t>禁止</w:t>
            </w:r>
            <w:r>
              <w:rPr>
                <w:rFonts w:ascii="Times New Roman" w:hAnsi="宋体" w:eastAsia="宋体" w:cs="Times New Roman"/>
                <w:color w:val="auto"/>
                <w:kern w:val="2"/>
                <w:sz w:val="21"/>
                <w:szCs w:val="21"/>
                <w:highlight w:val="none"/>
                <w:u w:val="none"/>
                <w:lang w:val="en-US" w:bidi="ar-SA"/>
              </w:rPr>
              <w:t>在红树林湿地挖塘，</w:t>
            </w:r>
            <w:r>
              <w:rPr>
                <w:rFonts w:ascii="Times New Roman" w:hAnsi="宋体" w:eastAsia="宋体" w:cs="Times New Roman"/>
                <w:b/>
                <w:bCs/>
                <w:color w:val="auto"/>
                <w:kern w:val="2"/>
                <w:sz w:val="21"/>
                <w:szCs w:val="21"/>
                <w:highlight w:val="none"/>
                <w:u w:val="none"/>
                <w:lang w:val="en-US" w:bidi="ar-SA"/>
              </w:rPr>
              <w:t>禁止</w:t>
            </w:r>
            <w:r>
              <w:rPr>
                <w:rFonts w:ascii="Times New Roman" w:hAnsi="宋体" w:eastAsia="宋体" w:cs="Times New Roman"/>
                <w:color w:val="auto"/>
                <w:kern w:val="2"/>
                <w:sz w:val="21"/>
                <w:szCs w:val="21"/>
                <w:highlight w:val="none"/>
                <w:u w:val="none"/>
                <w:lang w:val="en-US" w:bidi="ar-SA"/>
              </w:rPr>
              <w:t>采伐、采挖、移植红树林或者过度采摘红树林种子，</w:t>
            </w:r>
            <w:r>
              <w:rPr>
                <w:rFonts w:ascii="Times New Roman" w:hAnsi="宋体" w:eastAsia="宋体" w:cs="Times New Roman"/>
                <w:b/>
                <w:bCs/>
                <w:color w:val="auto"/>
                <w:kern w:val="2"/>
                <w:sz w:val="21"/>
                <w:szCs w:val="21"/>
                <w:highlight w:val="none"/>
                <w:u w:val="none"/>
                <w:lang w:val="en-US" w:bidi="ar-SA"/>
              </w:rPr>
              <w:t>禁止</w:t>
            </w:r>
            <w:r>
              <w:rPr>
                <w:rFonts w:ascii="Times New Roman" w:hAnsi="宋体" w:eastAsia="宋体" w:cs="Times New Roman"/>
                <w:color w:val="auto"/>
                <w:kern w:val="2"/>
                <w:sz w:val="21"/>
                <w:szCs w:val="21"/>
                <w:highlight w:val="none"/>
                <w:u w:val="none"/>
                <w:lang w:val="en-US" w:bidi="ar-SA"/>
              </w:rPr>
              <w:t>投放、种植危害红树林生长的物种。因科研、医药或者红树林湿地保护等需要采伐、采挖、移植、采摘的，应当依照有关法律法规办理。</w:t>
            </w:r>
          </w:p>
          <w:p w14:paraId="12D8BAA5">
            <w:pPr>
              <w:pStyle w:val="7"/>
              <w:rPr>
                <w:rFonts w:ascii="Times New Roman" w:hAnsi="Times New Roman" w:eastAsia="宋体" w:cs="Times New Roman"/>
                <w:color w:val="auto"/>
                <w:kern w:val="2"/>
                <w:sz w:val="21"/>
                <w:szCs w:val="21"/>
                <w:highlight w:val="none"/>
                <w:u w:val="none"/>
                <w:lang w:val="en-US" w:bidi="ar-SA"/>
              </w:rPr>
            </w:pPr>
            <w:r>
              <w:rPr>
                <w:rFonts w:ascii="Times New Roman" w:hAnsi="Times New Roman" w:eastAsia="宋体" w:cs="Times New Roman"/>
                <w:color w:val="auto"/>
                <w:kern w:val="2"/>
                <w:sz w:val="21"/>
                <w:szCs w:val="21"/>
                <w:highlight w:val="none"/>
                <w:u w:val="none"/>
                <w:lang w:val="en-US" w:bidi="ar-SA"/>
              </w:rPr>
              <w:t>7</w:t>
            </w:r>
            <w:r>
              <w:rPr>
                <w:rFonts w:ascii="Times New Roman" w:hAnsi="宋体" w:eastAsia="宋体" w:cs="Times New Roman"/>
                <w:color w:val="auto"/>
                <w:kern w:val="2"/>
                <w:sz w:val="21"/>
                <w:szCs w:val="21"/>
                <w:highlight w:val="none"/>
                <w:u w:val="none"/>
                <w:lang w:val="en-US" w:bidi="ar-SA"/>
              </w:rPr>
              <w:t>．</w:t>
            </w:r>
            <w:r>
              <w:rPr>
                <w:rFonts w:ascii="Times New Roman" w:hAnsi="宋体" w:eastAsia="宋体" w:cs="Times New Roman"/>
                <w:b/>
                <w:bCs/>
                <w:color w:val="auto"/>
                <w:kern w:val="2"/>
                <w:sz w:val="21"/>
                <w:szCs w:val="21"/>
                <w:highlight w:val="none"/>
                <w:u w:val="none"/>
                <w:lang w:val="en-US" w:bidi="ar-SA"/>
              </w:rPr>
              <w:t>禁止</w:t>
            </w:r>
            <w:r>
              <w:rPr>
                <w:rFonts w:ascii="Times New Roman" w:hAnsi="宋体" w:eastAsia="宋体" w:cs="Times New Roman"/>
                <w:color w:val="auto"/>
                <w:kern w:val="2"/>
                <w:sz w:val="21"/>
                <w:szCs w:val="21"/>
                <w:highlight w:val="none"/>
                <w:u w:val="none"/>
                <w:lang w:val="en-US" w:bidi="ar-SA"/>
              </w:rPr>
              <w:t>在泥炭沼泽湿地开采泥炭或者擅自开采地下水；</w:t>
            </w:r>
            <w:r>
              <w:rPr>
                <w:rFonts w:ascii="Times New Roman" w:hAnsi="宋体" w:eastAsia="宋体" w:cs="Times New Roman"/>
                <w:b/>
                <w:bCs/>
                <w:color w:val="auto"/>
                <w:kern w:val="2"/>
                <w:sz w:val="21"/>
                <w:szCs w:val="21"/>
                <w:highlight w:val="none"/>
                <w:u w:val="none"/>
                <w:lang w:val="en-US" w:bidi="ar-SA"/>
              </w:rPr>
              <w:t>禁止</w:t>
            </w:r>
            <w:r>
              <w:rPr>
                <w:rFonts w:ascii="Times New Roman" w:hAnsi="宋体" w:eastAsia="宋体" w:cs="Times New Roman"/>
                <w:color w:val="auto"/>
                <w:kern w:val="2"/>
                <w:sz w:val="21"/>
                <w:szCs w:val="21"/>
                <w:highlight w:val="none"/>
                <w:u w:val="none"/>
                <w:lang w:val="en-US" w:bidi="ar-SA"/>
              </w:rPr>
              <w:t>将泥炭沼泽湿地蓄水向外排放，因防灾减灾需要的除外。</w:t>
            </w:r>
          </w:p>
          <w:p w14:paraId="41AEAD1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8</w:t>
            </w:r>
            <w:r>
              <w:rPr>
                <w:rFonts w:ascii="Times New Roman" w:hAnsi="宋体" w:eastAsia="宋体" w:cs="Times New Roman"/>
                <w:bCs/>
                <w:color w:val="auto"/>
                <w:szCs w:val="21"/>
                <w:highlight w:val="none"/>
                <w:u w:val="none"/>
              </w:rPr>
              <w:t>．建设项目确需临时占用湿地的，</w:t>
            </w:r>
            <w:r>
              <w:rPr>
                <w:rFonts w:ascii="Times New Roman" w:hAnsi="宋体" w:eastAsia="宋体" w:cs="Times New Roman"/>
                <w:color w:val="auto"/>
                <w:szCs w:val="21"/>
                <w:highlight w:val="none"/>
                <w:u w:val="none"/>
              </w:rPr>
              <w:t>应当依照《中华人民共和国土地管理法</w:t>
            </w:r>
            <w:r>
              <w:rPr>
                <w:rFonts w:hint="eastAsia" w:ascii="Times New Roman" w:hAnsi="宋体" w:cs="Times New Roman"/>
                <w:color w:val="auto"/>
                <w:szCs w:val="21"/>
                <w:highlight w:val="none"/>
                <w:u w:val="none"/>
                <w:lang w:eastAsia="zh-CN"/>
              </w:rPr>
              <w:t>》《</w:t>
            </w:r>
            <w:r>
              <w:rPr>
                <w:rFonts w:ascii="Times New Roman" w:hAnsi="宋体" w:eastAsia="宋体" w:cs="Times New Roman"/>
                <w:color w:val="auto"/>
                <w:szCs w:val="21"/>
                <w:highlight w:val="none"/>
                <w:u w:val="none"/>
              </w:rPr>
              <w:t>中华人民共和国水法</w:t>
            </w:r>
            <w:r>
              <w:rPr>
                <w:rFonts w:hint="eastAsia" w:ascii="Times New Roman" w:hAnsi="宋体" w:cs="Times New Roman"/>
                <w:color w:val="auto"/>
                <w:szCs w:val="21"/>
                <w:highlight w:val="none"/>
                <w:u w:val="none"/>
                <w:lang w:eastAsia="zh-CN"/>
              </w:rPr>
              <w:t>》《</w:t>
            </w:r>
            <w:r>
              <w:rPr>
                <w:rFonts w:ascii="Times New Roman" w:hAnsi="宋体" w:eastAsia="宋体" w:cs="Times New Roman"/>
                <w:color w:val="auto"/>
                <w:szCs w:val="21"/>
                <w:highlight w:val="none"/>
                <w:u w:val="none"/>
              </w:rPr>
              <w:t>中华人民共和国森林法</w:t>
            </w:r>
            <w:r>
              <w:rPr>
                <w:rFonts w:hint="eastAsia" w:ascii="Times New Roman" w:hAnsi="宋体" w:cs="Times New Roman"/>
                <w:color w:val="auto"/>
                <w:szCs w:val="21"/>
                <w:highlight w:val="none"/>
                <w:u w:val="none"/>
                <w:lang w:eastAsia="zh-CN"/>
              </w:rPr>
              <w:t>》《</w:t>
            </w:r>
            <w:r>
              <w:rPr>
                <w:rFonts w:ascii="Times New Roman" w:hAnsi="宋体" w:eastAsia="宋体" w:cs="Times New Roman"/>
                <w:color w:val="auto"/>
                <w:szCs w:val="21"/>
                <w:highlight w:val="none"/>
                <w:u w:val="none"/>
              </w:rPr>
              <w:t>中华人民共和国草原法</w:t>
            </w:r>
            <w:r>
              <w:rPr>
                <w:rFonts w:hint="eastAsia" w:ascii="Times New Roman" w:hAnsi="宋体" w:cs="Times New Roman"/>
                <w:color w:val="auto"/>
                <w:szCs w:val="21"/>
                <w:highlight w:val="none"/>
                <w:u w:val="none"/>
                <w:lang w:eastAsia="zh-CN"/>
              </w:rPr>
              <w:t>》《</w:t>
            </w:r>
            <w:r>
              <w:rPr>
                <w:rFonts w:ascii="Times New Roman" w:hAnsi="宋体" w:eastAsia="宋体" w:cs="Times New Roman"/>
                <w:color w:val="auto"/>
                <w:szCs w:val="21"/>
                <w:highlight w:val="none"/>
                <w:u w:val="none"/>
              </w:rPr>
              <w:t>中华人民共和国海域使用管理法》等有关法律法规的规定办理。临时占用湿地的期限一般</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超过二年，并</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在临时占用的湿地上修建永久性建筑物；临时占用期满后一年内，用地单位或者个人应当恢复湿地面积和生态条件。</w:t>
            </w:r>
          </w:p>
        </w:tc>
      </w:tr>
      <w:tr w14:paraId="18EF8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7" w:hRule="atLeast"/>
          <w:jc w:val="center"/>
        </w:trPr>
        <w:tc>
          <w:tcPr>
            <w:tcW w:w="1595" w:type="dxa"/>
            <w:vMerge w:val="continue"/>
            <w:noWrap w:val="0"/>
            <w:vAlign w:val="center"/>
          </w:tcPr>
          <w:p w14:paraId="6230DDA5">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40D7461C">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湿地公园</w:t>
            </w:r>
          </w:p>
        </w:tc>
        <w:tc>
          <w:tcPr>
            <w:tcW w:w="2039" w:type="dxa"/>
            <w:noWrap w:val="0"/>
            <w:vAlign w:val="center"/>
          </w:tcPr>
          <w:p w14:paraId="39276EF1">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1982F9E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Cs/>
                <w:color w:val="auto"/>
                <w:szCs w:val="21"/>
                <w:highlight w:val="none"/>
                <w:u w:val="none"/>
              </w:rPr>
              <w:t>保育区除开展保护、监测、科学研究等必需的保护管理活动外，</w:t>
            </w:r>
            <w:r>
              <w:rPr>
                <w:rFonts w:ascii="Times New Roman" w:hAnsi="宋体" w:eastAsia="宋体" w:cs="Times New Roman"/>
                <w:b/>
                <w:color w:val="auto"/>
                <w:szCs w:val="21"/>
                <w:highlight w:val="none"/>
                <w:u w:val="none"/>
              </w:rPr>
              <w:t>不得</w:t>
            </w:r>
            <w:r>
              <w:rPr>
                <w:rFonts w:ascii="Times New Roman" w:hAnsi="宋体" w:eastAsia="宋体" w:cs="Times New Roman"/>
                <w:bCs/>
                <w:color w:val="auto"/>
                <w:szCs w:val="21"/>
                <w:highlight w:val="none"/>
                <w:u w:val="none"/>
              </w:rPr>
              <w:t>进行任何与湿地生态系统保护和管理无关的其他活动。</w:t>
            </w:r>
            <w:r>
              <w:rPr>
                <w:rFonts w:ascii="Times New Roman" w:hAnsi="宋体" w:eastAsia="宋体" w:cs="Times New Roman"/>
                <w:color w:val="auto"/>
                <w:szCs w:val="21"/>
                <w:highlight w:val="none"/>
                <w:u w:val="none"/>
              </w:rPr>
              <w:t>恢复重建区应当开展培育和恢复湿地的相关活动。合理利用区应当开展以生态展示、科普教育为主的宣教活动，可开展不损害湿地生态系统功能的生态体验及管理服务等活动。</w:t>
            </w:r>
          </w:p>
          <w:p w14:paraId="2DC96F18">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擅自征收、占用湿地公园的土地。确需征收、占用的，用地单位应当征求同级人民政府林业主管部门和该湿地主管部门的意见后，方可依法办理相关手续。</w:t>
            </w:r>
          </w:p>
          <w:p w14:paraId="52F7D7E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擅自开（围）垦、填埋、占用湿地、排干湿地或者改变湿地用途。</w:t>
            </w:r>
          </w:p>
          <w:p w14:paraId="6579463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截断湿地水源或者堵截湿地水系与外围水系的通道。</w:t>
            </w:r>
          </w:p>
          <w:p w14:paraId="78A0649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擅自挖沙、采矿、挖塘、采石、取土、烧荒、采集泥炭。</w:t>
            </w:r>
          </w:p>
          <w:p w14:paraId="51D2E6A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倾倒有毒有害物质、废弃物、垃圾。</w:t>
            </w:r>
          </w:p>
          <w:p w14:paraId="476AB798">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从事房地产、度假村、高尔夫球场、风力发电、光伏发电等任何不符合主体功能定位的建设项目和开发活动。</w:t>
            </w:r>
          </w:p>
          <w:p w14:paraId="0C491B7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破坏野生动物重要繁殖区及栖息地和迁徙通道、鱼类等水生生物洄游通道，</w:t>
            </w:r>
            <w:r>
              <w:rPr>
                <w:rFonts w:ascii="Times New Roman" w:hAnsi="宋体" w:eastAsia="宋体" w:cs="Times New Roman"/>
                <w:b/>
                <w:color w:val="auto"/>
                <w:szCs w:val="21"/>
                <w:highlight w:val="none"/>
                <w:u w:val="none"/>
              </w:rPr>
              <w:t>不得</w:t>
            </w:r>
            <w:r>
              <w:rPr>
                <w:rFonts w:ascii="Times New Roman" w:hAnsi="宋体" w:eastAsia="宋体" w:cs="Times New Roman"/>
                <w:color w:val="auto"/>
                <w:szCs w:val="21"/>
                <w:highlight w:val="none"/>
                <w:u w:val="none"/>
              </w:rPr>
              <w:t>滥采滥捕野生动植物，</w:t>
            </w:r>
            <w:r>
              <w:rPr>
                <w:rFonts w:ascii="Times New Roman" w:hAnsi="宋体" w:eastAsia="宋体" w:cs="Times New Roman"/>
                <w:b/>
                <w:color w:val="auto"/>
                <w:szCs w:val="21"/>
                <w:highlight w:val="none"/>
                <w:u w:val="none"/>
              </w:rPr>
              <w:t>不得</w:t>
            </w:r>
            <w:r>
              <w:rPr>
                <w:rFonts w:ascii="Times New Roman" w:hAnsi="宋体" w:eastAsia="宋体" w:cs="Times New Roman"/>
                <w:color w:val="auto"/>
                <w:szCs w:val="21"/>
                <w:highlight w:val="none"/>
                <w:u w:val="none"/>
              </w:rPr>
              <w:t>抓捕国家和自治区重点保护野生动物，</w:t>
            </w:r>
            <w:r>
              <w:rPr>
                <w:rFonts w:ascii="Times New Roman" w:hAnsi="宋体" w:eastAsia="宋体" w:cs="Times New Roman"/>
                <w:b/>
                <w:color w:val="auto"/>
                <w:szCs w:val="21"/>
                <w:highlight w:val="none"/>
                <w:u w:val="none"/>
              </w:rPr>
              <w:t>不得</w:t>
            </w:r>
            <w:r>
              <w:rPr>
                <w:rFonts w:ascii="Times New Roman" w:hAnsi="宋体" w:eastAsia="宋体" w:cs="Times New Roman"/>
                <w:color w:val="auto"/>
                <w:szCs w:val="21"/>
                <w:highlight w:val="none"/>
                <w:u w:val="none"/>
              </w:rPr>
              <w:t>捡拾、损坏鸟卵和鸟巢。</w:t>
            </w:r>
          </w:p>
          <w:p w14:paraId="0F4113B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使用电鱼、水枪喷射等破坏湿地生态资源的方法捕捞鱼类以及其他水生动物。</w:t>
            </w:r>
          </w:p>
          <w:p w14:paraId="1221DD7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投放有害物种或者擅自引入外来物种。</w:t>
            </w:r>
          </w:p>
          <w:p w14:paraId="0E66E4B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擅自放牧、捕捞、取土、取水、排污、放生。</w:t>
            </w:r>
          </w:p>
          <w:p w14:paraId="4BECACCE">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投放有毒有害物质、倾倒废弃物和污染物或者排放未达到排放标准的污水。</w:t>
            </w:r>
          </w:p>
          <w:p w14:paraId="5B07189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破坏湿地保护设施设备。</w:t>
            </w:r>
          </w:p>
          <w:p w14:paraId="0E62EFB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擅自建造建筑物、构筑物。</w:t>
            </w:r>
          </w:p>
          <w:p w14:paraId="3DBC563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bCs/>
                <w:color w:val="auto"/>
                <w:szCs w:val="21"/>
                <w:highlight w:val="none"/>
                <w:u w:val="none"/>
              </w:rPr>
              <w:t>严格控制征占用滨海湿地的围填海工程，</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在重要水生生物的自然产卵场、繁殖场、索饵场和鸟类栖息地进行围填海活动。</w:t>
            </w:r>
          </w:p>
          <w:p w14:paraId="61D5A9E0">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其他破坏湿地及其生态功能的活动。</w:t>
            </w:r>
          </w:p>
        </w:tc>
      </w:tr>
      <w:tr w14:paraId="2BA51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6" w:hRule="atLeast"/>
          <w:jc w:val="center"/>
        </w:trPr>
        <w:tc>
          <w:tcPr>
            <w:tcW w:w="1595" w:type="dxa"/>
            <w:vMerge w:val="continue"/>
            <w:noWrap w:val="0"/>
            <w:vAlign w:val="center"/>
          </w:tcPr>
          <w:p w14:paraId="76117635">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7DCC92F0">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地质公园</w:t>
            </w:r>
          </w:p>
        </w:tc>
        <w:tc>
          <w:tcPr>
            <w:tcW w:w="2039" w:type="dxa"/>
            <w:noWrap w:val="0"/>
            <w:vAlign w:val="center"/>
          </w:tcPr>
          <w:p w14:paraId="7432DAE0">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42BF8CF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．要依据法律法规规定和相关规划实施强制性保护，严格控制人为因素对自然生态和地质自然遗产原真性、完整性的干扰，</w:t>
            </w:r>
            <w:r>
              <w:rPr>
                <w:rFonts w:ascii="Times New Roman" w:hAnsi="宋体" w:eastAsia="宋体" w:cs="Times New Roman"/>
                <w:b/>
                <w:bCs/>
                <w:color w:val="auto"/>
                <w:szCs w:val="21"/>
                <w:highlight w:val="none"/>
                <w:u w:val="none"/>
              </w:rPr>
              <w:t>严禁</w:t>
            </w:r>
            <w:r>
              <w:rPr>
                <w:rFonts w:ascii="Times New Roman" w:hAnsi="宋体" w:eastAsia="宋体" w:cs="Times New Roman"/>
                <w:color w:val="auto"/>
                <w:szCs w:val="21"/>
                <w:highlight w:val="none"/>
                <w:u w:val="none"/>
              </w:rPr>
              <w:t>不符合主体功能定位的各类开发活动。</w:t>
            </w:r>
          </w:p>
          <w:p w14:paraId="210CD48E">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进行采石、取土、开矿、放牧、砍伐以及其他对保护对象有损害的活动。</w:t>
            </w:r>
          </w:p>
          <w:p w14:paraId="749E904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．未经管理机构批准，</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在地质公园范围内采集标本和化石。</w:t>
            </w:r>
          </w:p>
          <w:p w14:paraId="01C5D75B">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．在公园保护区内</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修建与地质遗迹保护无关的厂房或其他建筑设施。</w:t>
            </w:r>
          </w:p>
          <w:p w14:paraId="4556D3A3">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．地质公园内特级保护点（区）不允许游客进入，以保护和科研为目的的人员经地质公园管理部门批准后方可进入。</w:t>
            </w:r>
          </w:p>
        </w:tc>
      </w:tr>
      <w:tr w14:paraId="1CF53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8" w:hRule="atLeast"/>
          <w:jc w:val="center"/>
        </w:trPr>
        <w:tc>
          <w:tcPr>
            <w:tcW w:w="1595" w:type="dxa"/>
            <w:vMerge w:val="continue"/>
            <w:noWrap w:val="0"/>
            <w:vAlign w:val="center"/>
          </w:tcPr>
          <w:p w14:paraId="541E2965">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16DB2633">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石漠公园</w:t>
            </w:r>
          </w:p>
        </w:tc>
        <w:tc>
          <w:tcPr>
            <w:tcW w:w="2039" w:type="dxa"/>
            <w:noWrap w:val="0"/>
            <w:vAlign w:val="center"/>
          </w:tcPr>
          <w:p w14:paraId="140F053F">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5848ED0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擅自在国家级石漠公园内从事采矿、房地产、开发区、高尔夫球场、风力光伏电场等不符合管控要求的开发活动。</w:t>
            </w:r>
          </w:p>
          <w:p w14:paraId="248871A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．国家级石漠公园范围内除国家重大项目外，仅允许对生态功能不造成破坏的有限人为活动：</w:t>
            </w:r>
          </w:p>
          <w:p w14:paraId="55E07D7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）石漠公园内居民和其他合法权益主体依法依规开展的生产生活及设施建设。</w:t>
            </w:r>
          </w:p>
          <w:p w14:paraId="49B45C5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）符合石漠公园保护管理要求的文化、体育活动和必要的配套设施建设。</w:t>
            </w:r>
          </w:p>
          <w:p w14:paraId="1CD85BA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）符合生态保护红线管控要求的其他活动和设施建设。</w:t>
            </w:r>
          </w:p>
          <w:p w14:paraId="6E62F5C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）法律法规和国家政策允许在石漠公园内开展的其他活动。</w:t>
            </w:r>
          </w:p>
          <w:p w14:paraId="7ED3184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．国家石漠公园应当按照总体规划确定的范围进行建设，任何单位和个人</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擅自更改建设范围。建设范围的变更，须经国家林业和草原局同意。</w:t>
            </w:r>
          </w:p>
        </w:tc>
      </w:tr>
      <w:tr w14:paraId="24D48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6" w:hRule="atLeast"/>
          <w:jc w:val="center"/>
        </w:trPr>
        <w:tc>
          <w:tcPr>
            <w:tcW w:w="1595" w:type="dxa"/>
            <w:vMerge w:val="continue"/>
            <w:noWrap w:val="0"/>
            <w:vAlign w:val="center"/>
          </w:tcPr>
          <w:p w14:paraId="6209C9A1">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5F9941BA">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自治区级以上</w:t>
            </w:r>
          </w:p>
          <w:p w14:paraId="3788B565">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森林公园</w:t>
            </w:r>
          </w:p>
        </w:tc>
        <w:tc>
          <w:tcPr>
            <w:tcW w:w="2039" w:type="dxa"/>
            <w:noWrap w:val="0"/>
            <w:vAlign w:val="center"/>
          </w:tcPr>
          <w:p w14:paraId="4CC51EA5">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0545587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在国家级森林公园内擅自从事采矿、房地产、开发区、高尔夫球场、风力光伏电场等不符合管控要求的开发活动。</w:t>
            </w:r>
          </w:p>
          <w:p w14:paraId="411755E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违规侵占国家级森林公园。</w:t>
            </w:r>
          </w:p>
          <w:p w14:paraId="4CDFF8C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．国家级森林公园范围内除国家重大项目外，仅允许对生态功能不造成破坏的有限人为活动：</w:t>
            </w:r>
          </w:p>
          <w:p w14:paraId="3520B9B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）森林公园内居民和其他合法权益主体依法依规开展的生产生活及设施建设。</w:t>
            </w:r>
          </w:p>
          <w:p w14:paraId="1C80AC2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）符合森林公园保护管理要求的文化、体育活动和必要的配套设施建设。</w:t>
            </w:r>
          </w:p>
          <w:p w14:paraId="6B59BB8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）符合生态保护红线管控要求的其他活动和设施建设。</w:t>
            </w:r>
          </w:p>
          <w:p w14:paraId="276E8F5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）法律法规和国家政策允许在森林公园内开展的其他活动。</w:t>
            </w:r>
          </w:p>
          <w:p w14:paraId="1A2EB53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．在国家级森林公园内开展允许有限人为活动，应当征求国家级森林公园管理单位的意见。</w:t>
            </w:r>
          </w:p>
          <w:p w14:paraId="13C7EFB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在森林公园范围内毁林开垦、采石、采砂、采土以及其他毁坏林木和林地的行为。</w:t>
            </w:r>
          </w:p>
          <w:p w14:paraId="27243BA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6</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向森林公园排放重金属或者其他有毒有害物质含量超标的污水、污泥，以及可能造成森林公园污染的清淤底泥、尾矿、矿渣等。</w:t>
            </w:r>
          </w:p>
          <w:p w14:paraId="751B48E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7</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在森林公园幼林地砍柴、毁苗、放牧。</w:t>
            </w:r>
          </w:p>
          <w:p w14:paraId="668D406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8</w:t>
            </w:r>
            <w:r>
              <w:rPr>
                <w:rFonts w:ascii="Times New Roman" w:hAnsi="宋体" w:eastAsia="宋体" w:cs="Times New Roman"/>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在森林公园内从事其他污染环境、破坏自然资源或自然景观的活动。</w:t>
            </w:r>
          </w:p>
          <w:p w14:paraId="69F8A1C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9</w:t>
            </w:r>
            <w:r>
              <w:rPr>
                <w:rFonts w:ascii="Times New Roman" w:hAnsi="宋体" w:eastAsia="宋体" w:cs="Times New Roman"/>
                <w:color w:val="auto"/>
                <w:szCs w:val="21"/>
                <w:highlight w:val="none"/>
                <w:u w:val="none"/>
              </w:rPr>
              <w:t>．国家保护古树名木和珍贵树木。</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破坏森林公园内古树名木和珍贵树木及其生存的自然环境。</w:t>
            </w:r>
          </w:p>
        </w:tc>
      </w:tr>
      <w:tr w14:paraId="4F5E0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1595" w:type="dxa"/>
            <w:vMerge w:val="continue"/>
            <w:noWrap w:val="0"/>
            <w:vAlign w:val="center"/>
          </w:tcPr>
          <w:p w14:paraId="1CACD479">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636D7DE1">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世界文化和</w:t>
            </w:r>
          </w:p>
          <w:p w14:paraId="2FC2A7CA">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自然遗产地</w:t>
            </w:r>
          </w:p>
        </w:tc>
        <w:tc>
          <w:tcPr>
            <w:tcW w:w="2039" w:type="dxa"/>
            <w:noWrap w:val="0"/>
            <w:vAlign w:val="center"/>
          </w:tcPr>
          <w:p w14:paraId="71E9BEFA">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1201442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．世界遗产地范围应划入</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建设区域，</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开展与遗产资源保护无关的建设活动；缓冲区范围应划入限制建设区域，严格控制各类景观游赏及旅游服务设施建设活动。</w:t>
            </w:r>
          </w:p>
          <w:p w14:paraId="32C48258">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．世界遗产地及其缓冲区范围内的各项管理措施和建设活动，应当符合世界遗产保护管理规划。</w:t>
            </w:r>
          </w:p>
          <w:p w14:paraId="3F3A0775">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世界遗产地内的建设项目，应当依法履行有关审批程序。在世界遗产地及其缓冲区范围拟建设缆车、索道、高等级公路、铁路、大型水库等对遗产地突出价值可能造成较大影响的重大建设工程项目的，应当依据《世界遗产公约操作指南》第</w:t>
            </w:r>
            <w:r>
              <w:rPr>
                <w:rFonts w:ascii="Times New Roman" w:hAnsi="Times New Roman" w:eastAsia="宋体" w:cs="Times New Roman"/>
                <w:color w:val="auto"/>
                <w:szCs w:val="21"/>
                <w:highlight w:val="none"/>
                <w:u w:val="none"/>
              </w:rPr>
              <w:t>172</w:t>
            </w:r>
            <w:r>
              <w:rPr>
                <w:rFonts w:ascii="Times New Roman" w:hAnsi="宋体" w:eastAsia="宋体" w:cs="Times New Roman"/>
                <w:color w:val="auto"/>
                <w:szCs w:val="21"/>
                <w:highlight w:val="none"/>
                <w:u w:val="none"/>
              </w:rPr>
              <w:t>条的要求，至少在项目批准建设前</w:t>
            </w:r>
            <w:r>
              <w:rPr>
                <w:rFonts w:ascii="Times New Roman" w:hAnsi="Times New Roman" w:eastAsia="宋体" w:cs="Times New Roman"/>
                <w:color w:val="auto"/>
                <w:szCs w:val="21"/>
                <w:highlight w:val="none"/>
                <w:u w:val="none"/>
              </w:rPr>
              <w:t>6</w:t>
            </w:r>
            <w:r>
              <w:rPr>
                <w:rFonts w:ascii="Times New Roman" w:hAnsi="宋体" w:eastAsia="宋体" w:cs="Times New Roman"/>
                <w:color w:val="auto"/>
                <w:szCs w:val="21"/>
                <w:highlight w:val="none"/>
                <w:u w:val="none"/>
              </w:rPr>
              <w:t>个月将项目选址方案、环境影响评价等材料经国家林业和草原局按程序告联合国教科文组织世界遗产中心。</w:t>
            </w:r>
          </w:p>
        </w:tc>
      </w:tr>
      <w:tr w14:paraId="05542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4" w:hRule="atLeast"/>
          <w:jc w:val="center"/>
        </w:trPr>
        <w:tc>
          <w:tcPr>
            <w:tcW w:w="1595" w:type="dxa"/>
            <w:vMerge w:val="continue"/>
            <w:noWrap w:val="0"/>
            <w:vAlign w:val="center"/>
          </w:tcPr>
          <w:p w14:paraId="053CDD43">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3149A935">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风景名胜区</w:t>
            </w:r>
          </w:p>
        </w:tc>
        <w:tc>
          <w:tcPr>
            <w:tcW w:w="2039" w:type="dxa"/>
            <w:noWrap w:val="0"/>
            <w:vAlign w:val="center"/>
          </w:tcPr>
          <w:p w14:paraId="54281BC9">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04B7092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．风景名胜区内的景观和自然环境，应严格保护，</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破坏或者随意改变。</w:t>
            </w:r>
          </w:p>
          <w:p w14:paraId="1A0496D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2</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开山、采石、采矿、挖沙、取土、开荒、修坟立碑、安装杆线等破坏景观、植被和地形地貌的活动。</w:t>
            </w:r>
          </w:p>
          <w:p w14:paraId="06B5DB1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3</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擅自围、填、堵、截自然水系。</w:t>
            </w:r>
          </w:p>
          <w:p w14:paraId="7EA9D1A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4</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捕杀、伤害野生动物或者引入未经检疫合格的动物。</w:t>
            </w:r>
          </w:p>
          <w:p w14:paraId="61B91CC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5</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修建储存爆炸性、易燃性、放射性、毒害性、腐蚀性物品的设施。</w:t>
            </w:r>
          </w:p>
          <w:p w14:paraId="6B82892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6</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建设畜禽养殖场、养殖小区。</w:t>
            </w:r>
          </w:p>
          <w:p w14:paraId="7528A89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7</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在风景名胜区内建设工业固体废物集中贮存、利用处置的设施、场所和生活垃圾填埋场。</w:t>
            </w:r>
          </w:p>
          <w:p w14:paraId="1D6146E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8</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在风景名胜区内设立各类开发区和在核心景区内建设宾馆、招待所、培训中心、疗养院以及与风景名胜资源保护无关的其他建筑物；已经建设的，应当按照风景名胜区规划，逐步迁出。在风景名胜区内从事上述禁止范围以外的建设活动，应当经风景名胜区管理机构审核后，依照有关</w:t>
            </w:r>
            <w:r>
              <w:rPr>
                <w:rFonts w:hint="eastAsia" w:ascii="Times New Roman" w:hAnsi="宋体" w:cs="Times New Roman"/>
                <w:color w:val="auto"/>
                <w:szCs w:val="21"/>
                <w:highlight w:val="none"/>
                <w:u w:val="none"/>
                <w:lang w:eastAsia="zh-CN"/>
              </w:rPr>
              <w:t>法律法规</w:t>
            </w:r>
            <w:r>
              <w:rPr>
                <w:rFonts w:ascii="Times New Roman" w:hAnsi="宋体" w:eastAsia="宋体" w:cs="Times New Roman"/>
                <w:color w:val="auto"/>
                <w:szCs w:val="21"/>
                <w:highlight w:val="none"/>
                <w:u w:val="none"/>
              </w:rPr>
              <w:t>的规定办理审批手续。在国家级风景名胜区内修建缆车、索道等重大建设工程，项目的选址方案应当报主管部门核准。</w:t>
            </w:r>
          </w:p>
          <w:p w14:paraId="063D74F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9</w:t>
            </w:r>
            <w:r>
              <w:rPr>
                <w:rFonts w:ascii="Times New Roman" w:hAnsi="宋体" w:eastAsia="宋体" w:cs="Times New Roman"/>
                <w:color w:val="auto"/>
                <w:szCs w:val="21"/>
                <w:highlight w:val="none"/>
                <w:u w:val="none"/>
              </w:rPr>
              <w:t>．在风景名胜区内进行改变水资源、水环境自然状态的活动或其他影响生态和景观的活动，应当经风景名胜区管理机构审核后，依照有关</w:t>
            </w:r>
            <w:r>
              <w:rPr>
                <w:rFonts w:hint="eastAsia" w:ascii="Times New Roman" w:hAnsi="宋体" w:cs="Times New Roman"/>
                <w:color w:val="auto"/>
                <w:szCs w:val="21"/>
                <w:highlight w:val="none"/>
                <w:u w:val="none"/>
                <w:lang w:eastAsia="zh-CN"/>
              </w:rPr>
              <w:t>法律法规</w:t>
            </w:r>
            <w:r>
              <w:rPr>
                <w:rFonts w:ascii="Times New Roman" w:hAnsi="宋体" w:eastAsia="宋体" w:cs="Times New Roman"/>
                <w:color w:val="auto"/>
                <w:szCs w:val="21"/>
                <w:highlight w:val="none"/>
                <w:u w:val="none"/>
              </w:rPr>
              <w:t>的规定报有关主管部门批准。</w:t>
            </w:r>
          </w:p>
          <w:p w14:paraId="390DA1F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10</w:t>
            </w:r>
            <w:r>
              <w:rPr>
                <w:rFonts w:ascii="Times New Roman" w:hAnsi="宋体" w:eastAsia="宋体" w:cs="Times New Roman"/>
                <w:color w:val="auto"/>
                <w:szCs w:val="21"/>
                <w:highlight w:val="none"/>
                <w:u w:val="none"/>
              </w:rPr>
              <w:t>．风景名胜区内的建设项目应当符合风景名胜区规划，并与景观相协调，</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破坏景观、污染环境、妨碍游览。</w:t>
            </w:r>
          </w:p>
          <w:p w14:paraId="4E276F3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11</w:t>
            </w:r>
            <w:r>
              <w:rPr>
                <w:rFonts w:ascii="Times New Roman" w:hAnsi="宋体" w:eastAsia="宋体" w:cs="Times New Roman"/>
                <w:color w:val="auto"/>
                <w:szCs w:val="21"/>
                <w:highlight w:val="none"/>
                <w:u w:val="none"/>
              </w:rPr>
              <w:t>．在风景名胜区内进行建设活动的，建设单位、施工单位应当制定污染防治和水土保持方案，并采取有效措施，保护好周围景物、水体、林草植被、野生动物资源和地形地貌。</w:t>
            </w:r>
          </w:p>
          <w:p w14:paraId="222AE8B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12</w:t>
            </w:r>
            <w:r>
              <w:rPr>
                <w:rFonts w:ascii="Times New Roman" w:hAnsi="宋体" w:eastAsia="宋体" w:cs="Times New Roman"/>
                <w:color w:val="auto"/>
                <w:szCs w:val="21"/>
                <w:highlight w:val="none"/>
                <w:u w:val="none"/>
              </w:rPr>
              <w:t>．在风景名胜区及其外围保护地带进行建设活动，建设单位应当采取有效措施，保护自然景观和人文景观的原有风貌及周围植被、水体、地形、地貌等。工程竣工后，应当及时清理施工场地，恢复植被和环境原貌。</w:t>
            </w:r>
          </w:p>
          <w:p w14:paraId="77F2C0B2">
            <w:pPr>
              <w:shd w:val="clear" w:color="auto" w:fill="auto"/>
              <w:adjustRightInd w:val="0"/>
              <w:snapToGrid w:val="0"/>
              <w:rPr>
                <w:rFonts w:ascii="Times New Roman" w:hAnsi="Times New Roman" w:eastAsia="宋体" w:cs="Times New Roman"/>
                <w:b/>
                <w:color w:val="auto"/>
                <w:szCs w:val="21"/>
                <w:highlight w:val="none"/>
                <w:u w:val="none"/>
              </w:rPr>
            </w:pPr>
            <w:r>
              <w:rPr>
                <w:rFonts w:ascii="Times New Roman" w:hAnsi="Times New Roman" w:eastAsia="宋体" w:cs="Times New Roman"/>
                <w:bCs/>
                <w:color w:val="auto"/>
                <w:szCs w:val="21"/>
                <w:highlight w:val="none"/>
                <w:u w:val="none"/>
              </w:rPr>
              <w:t>13</w:t>
            </w:r>
            <w:r>
              <w:rPr>
                <w:rFonts w:ascii="Times New Roman" w:hAnsi="宋体" w:eastAsia="宋体" w:cs="Times New Roman"/>
                <w:bCs/>
                <w:color w:val="auto"/>
                <w:szCs w:val="21"/>
                <w:highlight w:val="none"/>
                <w:u w:val="none"/>
              </w:rPr>
              <w:t>．海滨风景名胜区</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新建排污口，</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从事污染环境、破坏景观、毁坏红树林和珊瑚礁生态系统的海岸工程项目建设或者其他活动。</w:t>
            </w:r>
          </w:p>
        </w:tc>
      </w:tr>
      <w:tr w14:paraId="39AA9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7" w:hRule="atLeast"/>
          <w:jc w:val="center"/>
        </w:trPr>
        <w:tc>
          <w:tcPr>
            <w:tcW w:w="1595" w:type="dxa"/>
            <w:vMerge w:val="continue"/>
            <w:noWrap w:val="0"/>
            <w:vAlign w:val="center"/>
          </w:tcPr>
          <w:p w14:paraId="6939A0A0">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2FB555EF">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自治区级以上</w:t>
            </w:r>
          </w:p>
          <w:p w14:paraId="64FCF175">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公益林</w:t>
            </w:r>
          </w:p>
        </w:tc>
        <w:tc>
          <w:tcPr>
            <w:tcW w:w="2039" w:type="dxa"/>
            <w:noWrap w:val="0"/>
            <w:vAlign w:val="center"/>
          </w:tcPr>
          <w:p w14:paraId="762B59B1">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6B9154A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严格控制勘查、开采矿藏和工程建设使用国家级公益林地。确需使用的，严格按照《建设项目使用林地审核审批管理办法》有关规定办理使用林地手续。涉及林木采伐的，按相关规定依法办理林木采伐手续。经审核审批同意使用的自治区级以上公益林地，按规定实行占补平衡。</w:t>
            </w:r>
          </w:p>
          <w:p w14:paraId="57FD64E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．一级国家级公益林原则上</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开展生产经营活动，</w:t>
            </w:r>
            <w:r>
              <w:rPr>
                <w:rFonts w:ascii="Times New Roman" w:hAnsi="宋体" w:eastAsia="宋体" w:cs="Times New Roman"/>
                <w:b/>
                <w:bCs/>
                <w:color w:val="auto"/>
                <w:szCs w:val="21"/>
                <w:highlight w:val="none"/>
                <w:u w:val="none"/>
              </w:rPr>
              <w:t>严禁</w:t>
            </w:r>
            <w:r>
              <w:rPr>
                <w:rFonts w:ascii="Times New Roman" w:hAnsi="宋体" w:eastAsia="宋体" w:cs="Times New Roman"/>
                <w:color w:val="auto"/>
                <w:szCs w:val="21"/>
                <w:highlight w:val="none"/>
                <w:u w:val="none"/>
              </w:rPr>
              <w:t>打枝、采脂、割漆、剥树皮、掘根等行为。国有一级国家级公益林，</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开展任何形式的生产经营活动。因教学科研等确需采伐林木，或者发生较为严重森林火灾、病虫害及其他自然灾害等特殊情况确需对受害林木进行清理的，应当组织相关专家进行生态影响评价，经县级以上林业主管部门依法审批后实施。集体和个人所有的一级国家级公益林，以严格保护为原则。依据其生态状况需要开展抚育和更新采伐等经营活动，或适宜开展非木质资源培育利用的，应当符合有关技术规定。</w:t>
            </w:r>
          </w:p>
          <w:p w14:paraId="28A857C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二级国家级公益林、自治区级公益林在不影响整体森林生态系统功能发挥的前提下，可以按照相关技术规程的规定开展抚育和更新性质的采伐。在不破坏森林植被的前提下，可以合理利用其林地资源，适度开展林下种植养殖和森林游憩等非木质资源开发与利用，科学发展林下经济。</w:t>
            </w:r>
          </w:p>
          <w:p w14:paraId="39635E3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．国家保护林地，严格控制林地转为非林地，实行占用林地总量控制，确保林地保有量不减少。各类建设项目占用林地</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超过本行政区域的占用林地总量控制指标。矿藏勘查、开采以及其他各类工程建设，应当不占或者少占林地；确需占用林地的，应当经县级以上人民政府林业主管部门审核同意，依法办理建设用地审批手续。</w:t>
            </w:r>
          </w:p>
        </w:tc>
      </w:tr>
      <w:tr w14:paraId="63598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3" w:hRule="atLeast"/>
          <w:jc w:val="center"/>
        </w:trPr>
        <w:tc>
          <w:tcPr>
            <w:tcW w:w="1595" w:type="dxa"/>
            <w:vMerge w:val="continue"/>
            <w:noWrap w:val="0"/>
            <w:vAlign w:val="center"/>
          </w:tcPr>
          <w:p w14:paraId="712CDE69">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516160A6">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天然林</w:t>
            </w:r>
          </w:p>
        </w:tc>
        <w:tc>
          <w:tcPr>
            <w:tcW w:w="2039" w:type="dxa"/>
            <w:noWrap w:val="0"/>
            <w:vAlign w:val="center"/>
          </w:tcPr>
          <w:p w14:paraId="52F8D341">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1C3859D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．对所有天然林实行保护，</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毁林开垦、将天然林改造为人工林以及其他破坏天然林及其生态环境的行为。</w:t>
            </w:r>
          </w:p>
          <w:p w14:paraId="6619113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．对纳入保护重点区域的天然林，除森林病虫害防治、森林防火等维护天然林生态系统健康的必要措施外，</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其他一切生产经营活动。开展天然林抚育作业的，必须编制作业设计，经林业主管部门审查批准后实施。</w:t>
            </w:r>
          </w:p>
          <w:p w14:paraId="3AD9281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．严格控制天然林地转为其他用途，除国防建设、国家重大工程项目建设特殊需要外，</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占用保护重点区域的天然林地。在不破坏地表植被、不影响生物多样性保护前提下，可在天然林地适度发展生态旅游、休闲康养、特色种植养殖等产业。</w:t>
            </w:r>
          </w:p>
          <w:p w14:paraId="35BA481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．国家保护林地，严格控制林地转为非林地，实行占用林地总量控制，确保林地保有量不减少。各类建设项目占用林地</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超过本行政区域的占用林地总量控制指标。矿藏勘查、开采以及其他各类工程建设，应当不占或者少占林地；确需占用林地的，应当经县级以上人民政府林业主管部门审核同意，依法办理建设用地审批手续。</w:t>
            </w:r>
          </w:p>
        </w:tc>
      </w:tr>
      <w:tr w14:paraId="58ED3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8" w:hRule="atLeast"/>
          <w:jc w:val="center"/>
        </w:trPr>
        <w:tc>
          <w:tcPr>
            <w:tcW w:w="1595" w:type="dxa"/>
            <w:vMerge w:val="continue"/>
            <w:noWrap w:val="0"/>
            <w:vAlign w:val="center"/>
          </w:tcPr>
          <w:p w14:paraId="242ECABE">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2D70E5C7">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水源涵养功能</w:t>
            </w:r>
          </w:p>
          <w:p w14:paraId="1AE1AB48">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（极）重要区</w:t>
            </w:r>
          </w:p>
        </w:tc>
        <w:tc>
          <w:tcPr>
            <w:tcW w:w="2039" w:type="dxa"/>
            <w:noWrap w:val="0"/>
            <w:vAlign w:val="center"/>
          </w:tcPr>
          <w:p w14:paraId="0F9111F6">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321C059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．严格保护具有水源涵养功能的自然植被，</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过度放牧、无序采矿、毁林开荒，</w:t>
            </w:r>
            <w:r>
              <w:rPr>
                <w:rFonts w:ascii="Times New Roman" w:hAnsi="宋体" w:eastAsia="宋体" w:cs="Times New Roman"/>
                <w:b/>
                <w:bCs/>
                <w:color w:val="auto"/>
                <w:szCs w:val="21"/>
                <w:highlight w:val="none"/>
                <w:u w:val="none"/>
              </w:rPr>
              <w:t>限制或禁止</w:t>
            </w:r>
            <w:r>
              <w:rPr>
                <w:rFonts w:ascii="Times New Roman" w:hAnsi="宋体" w:eastAsia="宋体" w:cs="Times New Roman"/>
                <w:color w:val="auto"/>
                <w:szCs w:val="21"/>
                <w:highlight w:val="none"/>
                <w:u w:val="none"/>
              </w:rPr>
              <w:t>湿地和草地开垦等损害生态系统水源涵养功能的活动。</w:t>
            </w:r>
          </w:p>
          <w:p w14:paraId="346BC73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．推进天然林草保护和围栏封育，治理水土流失，维护或重建湿地、森林、草原等生态系统。</w:t>
            </w:r>
          </w:p>
          <w:p w14:paraId="01E26FB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．加强大江大河源头及上游地区的小流域治理，减少面源污染。</w:t>
            </w:r>
          </w:p>
          <w:p w14:paraId="0402FF46">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4</w:t>
            </w:r>
            <w:r>
              <w:rPr>
                <w:rFonts w:hAnsi="宋体" w:eastAsia="宋体"/>
                <w:color w:val="auto"/>
                <w:kern w:val="2"/>
                <w:sz w:val="21"/>
                <w:highlight w:val="none"/>
                <w:u w:val="none"/>
                <w:lang w:bidi="ar-SA"/>
              </w:rPr>
              <w:t>．加强生态公益林的改造和建设，通过封育恢复自然植被，促使其逐步向常绿阔叶林演化，提高水源涵养的功能；林产业向合理利用与保护建设相结合的生态型林业方向发展，保持森林生长与采伐利用的动态平衡，兼顾生态效益和经济效益，逐步恢复和改善地力；加强水土保持。</w:t>
            </w:r>
          </w:p>
          <w:p w14:paraId="6D9E375D">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．除符合国土空间规划建设和布局要求外，原则上按限制开发区域的要求进行管理。</w:t>
            </w:r>
          </w:p>
        </w:tc>
      </w:tr>
      <w:tr w14:paraId="3E825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1" w:hRule="atLeast"/>
          <w:jc w:val="center"/>
        </w:trPr>
        <w:tc>
          <w:tcPr>
            <w:tcW w:w="1595" w:type="dxa"/>
            <w:vMerge w:val="continue"/>
            <w:noWrap w:val="0"/>
            <w:vAlign w:val="center"/>
          </w:tcPr>
          <w:p w14:paraId="50FCBA41">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79F0AF5A">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（极）重度</w:t>
            </w:r>
          </w:p>
          <w:p w14:paraId="47DADEC0">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石漠化区</w:t>
            </w:r>
          </w:p>
        </w:tc>
        <w:tc>
          <w:tcPr>
            <w:tcW w:w="2039" w:type="dxa"/>
            <w:noWrap w:val="0"/>
            <w:vAlign w:val="center"/>
          </w:tcPr>
          <w:p w14:paraId="1FB8CD1A">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2540FCF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1</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严禁</w:t>
            </w:r>
            <w:r>
              <w:rPr>
                <w:rFonts w:ascii="Times New Roman" w:hAnsi="宋体" w:eastAsia="宋体" w:cs="Times New Roman"/>
                <w:color w:val="auto"/>
                <w:szCs w:val="21"/>
                <w:highlight w:val="none"/>
                <w:u w:val="none"/>
              </w:rPr>
              <w:t>陡坡垦殖、过度放牧、乱砍滥伐树木等损害水土保持功能的活动。</w:t>
            </w:r>
          </w:p>
          <w:p w14:paraId="6559D56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2</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在崩塌、滑坡危险区和泥石流易发区从事取土、挖砂、采石等可能造成水土流失的活动。</w:t>
            </w:r>
          </w:p>
          <w:p w14:paraId="1F5B91D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．控制人为造成新增水土流失的资源开发和建设项目等损害水土保持功能的活动。</w:t>
            </w:r>
          </w:p>
          <w:p w14:paraId="3330FFB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．加强石漠化综合治理，通过保护天然林、封山育林、小流域治理、农村生态能源建设、改变耕作方式、草食动物舍饲圈养、生态移民等措施，恢复自然植被，提高水源涵养和水土保持能力。</w:t>
            </w:r>
          </w:p>
        </w:tc>
      </w:tr>
      <w:tr w14:paraId="72F34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4" w:hRule="atLeast"/>
          <w:jc w:val="center"/>
        </w:trPr>
        <w:tc>
          <w:tcPr>
            <w:tcW w:w="1595" w:type="dxa"/>
            <w:vMerge w:val="continue"/>
            <w:noWrap w:val="0"/>
            <w:vAlign w:val="center"/>
          </w:tcPr>
          <w:p w14:paraId="1379214B">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6ADFF7EF">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生物多样性维护</w:t>
            </w:r>
          </w:p>
          <w:p w14:paraId="589F4FFE">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功能（极）重要区</w:t>
            </w:r>
          </w:p>
        </w:tc>
        <w:tc>
          <w:tcPr>
            <w:tcW w:w="2039" w:type="dxa"/>
            <w:noWrap w:val="0"/>
            <w:vAlign w:val="center"/>
          </w:tcPr>
          <w:p w14:paraId="7360E913">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17CE6E3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1</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滥捕、乱采、乱猎野生动植物。</w:t>
            </w:r>
          </w:p>
          <w:p w14:paraId="44DB5AA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．保护自然生态系统与重要物种栖息地，</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无序采矿、毁林开荒、湿地和草地开垦等。</w:t>
            </w:r>
          </w:p>
          <w:p w14:paraId="1B875C7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．加强对外来物种入侵的控制，</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在生物多样性保护功能区引进外来物种。</w:t>
            </w:r>
          </w:p>
          <w:p w14:paraId="170B35D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．加强生物多样性资源调查与监测，保护和修复自然生态系统和重要物种栖息地，实施生物多样性保护工程。</w:t>
            </w:r>
          </w:p>
        </w:tc>
      </w:tr>
      <w:tr w14:paraId="5F52F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1595" w:type="dxa"/>
            <w:vMerge w:val="continue"/>
            <w:noWrap w:val="0"/>
            <w:vAlign w:val="center"/>
          </w:tcPr>
          <w:p w14:paraId="12E45685">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5CA2BF6E">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水土流失重点预防区</w:t>
            </w:r>
          </w:p>
        </w:tc>
        <w:tc>
          <w:tcPr>
            <w:tcW w:w="2039" w:type="dxa"/>
            <w:noWrap w:val="0"/>
            <w:vAlign w:val="center"/>
          </w:tcPr>
          <w:p w14:paraId="26C50426">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52B5756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采取保护管理、局部治理、生态补偿及能源替代等措施，保护林草植被，强化生产建设活动和项目水土保持管理，实施封育保护，促进自然修复，全面预防水土流失。</w:t>
            </w:r>
          </w:p>
        </w:tc>
      </w:tr>
      <w:tr w14:paraId="33CE1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 w:hRule="atLeast"/>
          <w:jc w:val="center"/>
        </w:trPr>
        <w:tc>
          <w:tcPr>
            <w:tcW w:w="1595" w:type="dxa"/>
            <w:vMerge w:val="continue"/>
            <w:noWrap w:val="0"/>
            <w:vAlign w:val="center"/>
          </w:tcPr>
          <w:p w14:paraId="3F12ED8E">
            <w:pPr>
              <w:shd w:val="clear" w:color="auto" w:fill="auto"/>
              <w:adjustRightInd w:val="0"/>
              <w:snapToGrid w:val="0"/>
              <w:rPr>
                <w:rFonts w:ascii="Times New Roman" w:hAnsi="Times New Roman" w:eastAsia="宋体" w:cs="Times New Roman"/>
                <w:color w:val="auto"/>
                <w:szCs w:val="21"/>
                <w:highlight w:val="none"/>
                <w:u w:val="none"/>
              </w:rPr>
            </w:pPr>
          </w:p>
        </w:tc>
        <w:tc>
          <w:tcPr>
            <w:tcW w:w="1932" w:type="dxa"/>
            <w:gridSpan w:val="2"/>
            <w:noWrap w:val="0"/>
            <w:vAlign w:val="center"/>
          </w:tcPr>
          <w:p w14:paraId="0ABFAF7E">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水土流失重点治理区</w:t>
            </w:r>
          </w:p>
        </w:tc>
        <w:tc>
          <w:tcPr>
            <w:tcW w:w="2039" w:type="dxa"/>
            <w:noWrap w:val="0"/>
            <w:vAlign w:val="center"/>
          </w:tcPr>
          <w:p w14:paraId="4978D56E">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77" w:type="dxa"/>
            <w:noWrap w:val="0"/>
            <w:vAlign w:val="center"/>
          </w:tcPr>
          <w:p w14:paraId="5B99B58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坚持政府领导、部门协作、统一规划、项目带动、社会参与，结合区域特点，科学制定分区水土流失防治措施体系，因地制宜地采取林草措施、工程措施以及农业保护性耕作措施，维护和增强区域水土保持功能。</w:t>
            </w:r>
          </w:p>
        </w:tc>
      </w:tr>
    </w:tbl>
    <w:p w14:paraId="388C8151">
      <w:pPr>
        <w:keepNext w:val="0"/>
        <w:keepLines w:val="0"/>
        <w:pageBreakBefore w:val="0"/>
        <w:widowControl w:val="0"/>
        <w:kinsoku/>
        <w:wordWrap/>
        <w:overflowPunct/>
        <w:topLinePunct w:val="0"/>
        <w:autoSpaceDE/>
        <w:autoSpaceDN/>
        <w:bidi w:val="0"/>
        <w:adjustRightInd w:val="0"/>
        <w:snapToGrid w:val="0"/>
        <w:jc w:val="center"/>
        <w:textAlignment w:val="auto"/>
        <w:outlineLvl w:val="0"/>
        <w:rPr>
          <w:rFonts w:ascii="黑体" w:hAnsi="Times New Roman" w:eastAsia="黑体" w:cs="Times New Roman"/>
          <w:color w:val="auto"/>
          <w:kern w:val="2"/>
          <w:sz w:val="24"/>
          <w:szCs w:val="24"/>
          <w:highlight w:val="none"/>
          <w:u w:val="none"/>
          <w:lang w:val="en-US" w:eastAsia="zh-CN" w:bidi="ar-SA"/>
        </w:rPr>
      </w:pPr>
      <w:r>
        <w:rPr>
          <w:rFonts w:ascii="黑体" w:hAnsi="Times New Roman" w:eastAsia="黑体" w:cs="Times New Roman"/>
          <w:color w:val="auto"/>
          <w:kern w:val="2"/>
          <w:sz w:val="24"/>
          <w:szCs w:val="24"/>
          <w:highlight w:val="none"/>
          <w:u w:val="none"/>
          <w:lang w:val="en-US" w:eastAsia="zh-CN" w:bidi="ar-SA"/>
        </w:rPr>
        <w:br w:type="page"/>
      </w:r>
      <w:bookmarkStart w:id="21" w:name="_Toc15695"/>
      <w:bookmarkStart w:id="22" w:name="_Toc733"/>
      <w:bookmarkStart w:id="23" w:name="_Toc14746"/>
      <w:bookmarkStart w:id="24" w:name="_Toc25259"/>
      <w:bookmarkStart w:id="25" w:name="_Toc4065"/>
      <w:r>
        <w:rPr>
          <w:rFonts w:ascii="黑体" w:hAnsi="黑体" w:eastAsia="黑体" w:cs="Times New Roman"/>
          <w:color w:val="auto"/>
          <w:kern w:val="2"/>
          <w:sz w:val="24"/>
          <w:szCs w:val="24"/>
          <w:highlight w:val="none"/>
          <w:u w:val="none"/>
          <w:lang w:val="en-US" w:eastAsia="zh-CN" w:bidi="ar-SA"/>
        </w:rPr>
        <w:t>表</w:t>
      </w:r>
      <w:r>
        <w:rPr>
          <w:rFonts w:ascii="黑体" w:hAnsi="Times New Roman" w:eastAsia="黑体" w:cs="Times New Roman"/>
          <w:color w:val="auto"/>
          <w:kern w:val="2"/>
          <w:sz w:val="24"/>
          <w:szCs w:val="24"/>
          <w:highlight w:val="none"/>
          <w:u w:val="none"/>
          <w:lang w:val="en-US" w:eastAsia="zh-CN" w:bidi="ar-SA"/>
        </w:rPr>
        <w:t xml:space="preserve">1.1-3  </w:t>
      </w:r>
      <w:r>
        <w:rPr>
          <w:rFonts w:ascii="黑体" w:hAnsi="黑体" w:eastAsia="黑体" w:cs="Times New Roman"/>
          <w:color w:val="auto"/>
          <w:kern w:val="2"/>
          <w:sz w:val="24"/>
          <w:szCs w:val="24"/>
          <w:highlight w:val="none"/>
          <w:u w:val="none"/>
          <w:lang w:val="en-US" w:eastAsia="zh-CN" w:bidi="ar-SA"/>
        </w:rPr>
        <w:t>陆域重点管控区总体</w:t>
      </w:r>
      <w:r>
        <w:rPr>
          <w:rFonts w:hint="eastAsia" w:ascii="黑体" w:hAnsi="黑体" w:eastAsia="黑体" w:cs="Times New Roman"/>
          <w:color w:val="auto"/>
          <w:kern w:val="2"/>
          <w:sz w:val="24"/>
          <w:szCs w:val="24"/>
          <w:highlight w:val="none"/>
          <w:u w:val="none"/>
          <w:lang w:val="en-US" w:eastAsia="zh-CN" w:bidi="ar-SA"/>
        </w:rPr>
        <w:t>生态环境</w:t>
      </w:r>
      <w:r>
        <w:rPr>
          <w:rFonts w:ascii="黑体" w:hAnsi="黑体" w:eastAsia="黑体" w:cs="Times New Roman"/>
          <w:color w:val="auto"/>
          <w:kern w:val="2"/>
          <w:sz w:val="24"/>
          <w:szCs w:val="24"/>
          <w:highlight w:val="none"/>
          <w:u w:val="none"/>
          <w:lang w:val="en-US" w:eastAsia="zh-CN" w:bidi="ar-SA"/>
        </w:rPr>
        <w:t>准入</w:t>
      </w:r>
      <w:r>
        <w:rPr>
          <w:rFonts w:hint="eastAsia" w:ascii="黑体" w:hAnsi="黑体" w:eastAsia="黑体" w:cs="Times New Roman"/>
          <w:color w:val="auto"/>
          <w:kern w:val="2"/>
          <w:sz w:val="24"/>
          <w:szCs w:val="24"/>
          <w:highlight w:val="none"/>
          <w:u w:val="none"/>
          <w:lang w:val="en-US" w:eastAsia="zh-CN" w:bidi="ar-SA"/>
        </w:rPr>
        <w:t>及管控</w:t>
      </w:r>
      <w:r>
        <w:rPr>
          <w:rFonts w:ascii="黑体" w:hAnsi="黑体" w:eastAsia="黑体" w:cs="Times New Roman"/>
          <w:color w:val="auto"/>
          <w:kern w:val="2"/>
          <w:sz w:val="24"/>
          <w:szCs w:val="24"/>
          <w:highlight w:val="none"/>
          <w:u w:val="none"/>
          <w:lang w:val="en-US" w:eastAsia="zh-CN" w:bidi="ar-SA"/>
        </w:rPr>
        <w:t>要求</w:t>
      </w:r>
      <w:bookmarkEnd w:id="21"/>
      <w:bookmarkEnd w:id="22"/>
      <w:bookmarkEnd w:id="23"/>
      <w:bookmarkEnd w:id="24"/>
      <w:bookmarkEnd w:id="25"/>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2"/>
        <w:gridCol w:w="1808"/>
        <w:gridCol w:w="2262"/>
        <w:gridCol w:w="14896"/>
      </w:tblGrid>
      <w:tr w14:paraId="6AE86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602" w:type="dxa"/>
            <w:noWrap w:val="0"/>
            <w:vAlign w:val="center"/>
          </w:tcPr>
          <w:p w14:paraId="28E4CA96">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适用分区</w:t>
            </w:r>
          </w:p>
        </w:tc>
        <w:tc>
          <w:tcPr>
            <w:tcW w:w="1808" w:type="dxa"/>
            <w:noWrap w:val="0"/>
            <w:vAlign w:val="center"/>
          </w:tcPr>
          <w:p w14:paraId="1601C87F">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适用对象</w:t>
            </w:r>
          </w:p>
        </w:tc>
        <w:tc>
          <w:tcPr>
            <w:tcW w:w="2262" w:type="dxa"/>
            <w:noWrap w:val="0"/>
            <w:vAlign w:val="center"/>
          </w:tcPr>
          <w:p w14:paraId="0EBD3EFA">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管控要求类别</w:t>
            </w:r>
          </w:p>
        </w:tc>
        <w:tc>
          <w:tcPr>
            <w:tcW w:w="14896" w:type="dxa"/>
            <w:noWrap w:val="0"/>
            <w:vAlign w:val="center"/>
          </w:tcPr>
          <w:p w14:paraId="7B2AD62A">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bCs/>
                <w:color w:val="auto"/>
                <w:szCs w:val="21"/>
                <w:highlight w:val="none"/>
                <w:u w:val="none"/>
              </w:rPr>
              <w:t>生态环境准入及管控要求</w:t>
            </w:r>
          </w:p>
        </w:tc>
      </w:tr>
      <w:tr w14:paraId="5FE0F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1602" w:type="dxa"/>
            <w:vMerge w:val="restart"/>
            <w:noWrap w:val="0"/>
            <w:vAlign w:val="center"/>
          </w:tcPr>
          <w:p w14:paraId="2479D30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重点管控单元</w:t>
            </w:r>
          </w:p>
        </w:tc>
        <w:tc>
          <w:tcPr>
            <w:tcW w:w="1808" w:type="dxa"/>
            <w:vMerge w:val="restart"/>
            <w:noWrap w:val="0"/>
            <w:vAlign w:val="center"/>
          </w:tcPr>
          <w:p w14:paraId="28E41961">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工业集聚区重点管控单元</w:t>
            </w:r>
          </w:p>
        </w:tc>
        <w:tc>
          <w:tcPr>
            <w:tcW w:w="2262" w:type="dxa"/>
            <w:noWrap w:val="0"/>
            <w:vAlign w:val="center"/>
          </w:tcPr>
          <w:p w14:paraId="3BBE74D8">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896" w:type="dxa"/>
            <w:noWrap w:val="0"/>
            <w:vAlign w:val="center"/>
          </w:tcPr>
          <w:p w14:paraId="6614D988">
            <w:pPr>
              <w:numPr>
                <w:ilvl w:val="0"/>
                <w:numId w:val="0"/>
              </w:num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各类产业园区管理机构应将规划环评结论及审查意见落实到规划中。负责统筹区域内生态环境基础设施建设，</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引入不符合规划环评结论及审查意见的项目入园。</w:t>
            </w:r>
          </w:p>
        </w:tc>
      </w:tr>
      <w:tr w14:paraId="05B75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3" w:hRule="atLeast"/>
          <w:jc w:val="center"/>
        </w:trPr>
        <w:tc>
          <w:tcPr>
            <w:tcW w:w="1602" w:type="dxa"/>
            <w:vMerge w:val="continue"/>
            <w:noWrap w:val="0"/>
            <w:vAlign w:val="center"/>
          </w:tcPr>
          <w:p w14:paraId="4737FAF8">
            <w:pPr>
              <w:shd w:val="clear" w:color="auto" w:fill="auto"/>
              <w:adjustRightInd w:val="0"/>
              <w:snapToGrid w:val="0"/>
              <w:rPr>
                <w:rFonts w:ascii="Times New Roman" w:hAnsi="Times New Roman" w:eastAsia="宋体" w:cs="Times New Roman"/>
                <w:color w:val="auto"/>
                <w:szCs w:val="21"/>
                <w:highlight w:val="none"/>
                <w:u w:val="none"/>
              </w:rPr>
            </w:pPr>
          </w:p>
        </w:tc>
        <w:tc>
          <w:tcPr>
            <w:tcW w:w="1808" w:type="dxa"/>
            <w:vMerge w:val="continue"/>
            <w:noWrap w:val="0"/>
            <w:vAlign w:val="center"/>
          </w:tcPr>
          <w:p w14:paraId="600D5FB6">
            <w:pPr>
              <w:shd w:val="clear" w:color="auto" w:fill="auto"/>
              <w:adjustRightInd w:val="0"/>
              <w:snapToGrid w:val="0"/>
              <w:jc w:val="center"/>
              <w:rPr>
                <w:rFonts w:ascii="Times New Roman" w:hAnsi="Times New Roman" w:eastAsia="宋体" w:cs="Times New Roman"/>
                <w:color w:val="auto"/>
                <w:szCs w:val="21"/>
                <w:highlight w:val="none"/>
                <w:u w:val="none"/>
              </w:rPr>
            </w:pPr>
          </w:p>
        </w:tc>
        <w:tc>
          <w:tcPr>
            <w:tcW w:w="2262" w:type="dxa"/>
            <w:noWrap w:val="0"/>
            <w:vAlign w:val="center"/>
          </w:tcPr>
          <w:p w14:paraId="588AC59D">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污染物排放管控</w:t>
            </w:r>
          </w:p>
        </w:tc>
        <w:tc>
          <w:tcPr>
            <w:tcW w:w="14896" w:type="dxa"/>
            <w:noWrap w:val="0"/>
            <w:vAlign w:val="center"/>
          </w:tcPr>
          <w:p w14:paraId="6B218BCB">
            <w:pPr>
              <w:shd w:val="clear" w:color="auto" w:fill="auto"/>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．逐步完成工业集聚区集中式污水处理设施建设，确保已建污水处理设施稳定运行及达标排放。园区集中式污水处理设施总排口安装自动监控系统、视频监控系统，并与生态环境主管部门联网。按照</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清污分流、雨污分流</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原则，实施废水分类收集、分质处理。</w:t>
            </w:r>
          </w:p>
          <w:p w14:paraId="1D9A9D8D">
            <w:pPr>
              <w:shd w:val="clear" w:color="auto" w:fill="auto"/>
              <w:adjustRightInd w:val="0"/>
              <w:snapToGrid w:val="0"/>
              <w:rPr>
                <w:rFonts w:ascii="Times New Roman" w:hAnsi="Times New Roman" w:eastAsia="宋体" w:cs="Times New Roman"/>
                <w:color w:val="auto"/>
                <w:szCs w:val="21"/>
                <w:highlight w:val="none"/>
                <w:u w:val="none"/>
              </w:rPr>
            </w:pPr>
            <w:r>
              <w:rPr>
                <w:rFonts w:hint="eastAsia" w:ascii="Times New Roman" w:hAnsi="Times New Roman" w:eastAsia="宋体" w:cs="Times New Roman"/>
                <w:color w:val="auto"/>
                <w:szCs w:val="21"/>
                <w:highlight w:val="none"/>
                <w:u w:val="none"/>
                <w:lang w:val="en-US" w:eastAsia="zh-CN"/>
              </w:rPr>
              <w:t>2</w:t>
            </w:r>
            <w:r>
              <w:rPr>
                <w:rFonts w:ascii="Times New Roman" w:hAnsi="宋体" w:eastAsia="宋体" w:cs="Times New Roman"/>
                <w:color w:val="auto"/>
                <w:szCs w:val="21"/>
                <w:highlight w:val="none"/>
                <w:u w:val="none"/>
              </w:rPr>
              <w:t>．新、改、扩建涉重金属重点行业建设项目必须以改善环境质量为核心，确保区域环境质量符合功能区定位，遵循重点重金属污染物排放</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减量置换</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或</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等量置换</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的原则，确保辖区完成重点行业重金属污染物排放总量控制目标。</w:t>
            </w:r>
          </w:p>
          <w:p w14:paraId="043D672D">
            <w:pPr>
              <w:shd w:val="clear" w:color="auto" w:fill="auto"/>
              <w:adjustRightInd w:val="0"/>
              <w:snapToGrid w:val="0"/>
              <w:rPr>
                <w:rFonts w:ascii="Times New Roman" w:hAnsi="Times New Roman" w:eastAsia="宋体" w:cs="Times New Roman"/>
                <w:color w:val="auto"/>
                <w:szCs w:val="21"/>
                <w:highlight w:val="none"/>
                <w:u w:val="none"/>
              </w:rPr>
            </w:pPr>
            <w:r>
              <w:rPr>
                <w:rFonts w:hint="eastAsia" w:ascii="Times New Roman" w:hAnsi="Times New Roman" w:eastAsia="宋体" w:cs="Times New Roman"/>
                <w:color w:val="auto"/>
                <w:szCs w:val="21"/>
                <w:highlight w:val="none"/>
                <w:u w:val="none"/>
                <w:lang w:val="en-US" w:eastAsia="zh-CN"/>
              </w:rPr>
              <w:t>3</w:t>
            </w:r>
            <w:r>
              <w:rPr>
                <w:rFonts w:ascii="Times New Roman" w:hAnsi="宋体" w:eastAsia="宋体" w:cs="Times New Roman"/>
                <w:color w:val="auto"/>
                <w:szCs w:val="21"/>
                <w:highlight w:val="none"/>
                <w:u w:val="none"/>
              </w:rPr>
              <w:t>．对现有生态环境问题要组织整改，落实主要污染物总量控制和减排任务。</w:t>
            </w:r>
          </w:p>
          <w:p w14:paraId="51E4D40F">
            <w:pPr>
              <w:shd w:val="clear" w:color="auto" w:fill="auto"/>
              <w:adjustRightInd w:val="0"/>
              <w:snapToGrid w:val="0"/>
              <w:rPr>
                <w:rFonts w:ascii="Times New Roman" w:hAnsi="Times New Roman" w:eastAsia="宋体" w:cs="Times New Roman"/>
                <w:color w:val="auto"/>
                <w:szCs w:val="21"/>
                <w:highlight w:val="none"/>
                <w:u w:val="none"/>
              </w:rPr>
            </w:pPr>
            <w:r>
              <w:rPr>
                <w:rFonts w:hint="eastAsia" w:ascii="Times New Roman" w:hAnsi="Times New Roman" w:eastAsia="宋体" w:cs="Times New Roman"/>
                <w:color w:val="auto"/>
                <w:szCs w:val="21"/>
                <w:highlight w:val="none"/>
                <w:u w:val="none"/>
                <w:lang w:val="en-US" w:eastAsia="zh-CN"/>
              </w:rPr>
              <w:t>4</w:t>
            </w:r>
            <w:r>
              <w:rPr>
                <w:rFonts w:ascii="Times New Roman" w:hAnsi="宋体" w:eastAsia="宋体" w:cs="Times New Roman"/>
                <w:color w:val="auto"/>
                <w:szCs w:val="21"/>
                <w:highlight w:val="none"/>
                <w:u w:val="none"/>
              </w:rPr>
              <w:t>．对石化、煤化工、燃煤发电（含热电）、钢铁、有色金属、制浆造纸等重点行业建设项目采取区域削减、强化区域整治、行业减排。</w:t>
            </w:r>
          </w:p>
          <w:p w14:paraId="596E7B9B">
            <w:pPr>
              <w:shd w:val="clear" w:color="auto" w:fill="auto"/>
              <w:adjustRightInd w:val="0"/>
              <w:snapToGrid w:val="0"/>
              <w:rPr>
                <w:rFonts w:ascii="Times New Roman" w:hAnsi="Times New Roman" w:eastAsia="宋体" w:cs="Times New Roman"/>
                <w:color w:val="auto"/>
                <w:szCs w:val="21"/>
                <w:highlight w:val="none"/>
                <w:u w:val="none"/>
              </w:rPr>
            </w:pPr>
            <w:r>
              <w:rPr>
                <w:rFonts w:hint="eastAsia" w:ascii="Times New Roman" w:hAnsi="Times New Roman" w:eastAsia="宋体" w:cs="Times New Roman"/>
                <w:color w:val="auto"/>
                <w:szCs w:val="21"/>
                <w:highlight w:val="none"/>
                <w:u w:val="none"/>
                <w:lang w:val="en-US" w:eastAsia="zh-CN"/>
              </w:rPr>
              <w:t>5</w:t>
            </w:r>
            <w:r>
              <w:rPr>
                <w:rFonts w:ascii="Times New Roman" w:hAnsi="宋体" w:eastAsia="宋体" w:cs="Times New Roman"/>
                <w:color w:val="auto"/>
                <w:szCs w:val="21"/>
                <w:highlight w:val="none"/>
                <w:u w:val="none"/>
              </w:rPr>
              <w:t>．严格能效约束推动重点领域节能降碳，持续推进钢铁、有色、建材、电力、石化化工、造纸等行业企业节能改造和转型升级。</w:t>
            </w:r>
          </w:p>
        </w:tc>
      </w:tr>
      <w:tr w14:paraId="18315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jc w:val="center"/>
        </w:trPr>
        <w:tc>
          <w:tcPr>
            <w:tcW w:w="1602" w:type="dxa"/>
            <w:vMerge w:val="continue"/>
            <w:noWrap w:val="0"/>
            <w:vAlign w:val="center"/>
          </w:tcPr>
          <w:p w14:paraId="3BEE11FF">
            <w:pPr>
              <w:shd w:val="clear" w:color="auto" w:fill="auto"/>
              <w:adjustRightInd w:val="0"/>
              <w:snapToGrid w:val="0"/>
              <w:rPr>
                <w:rFonts w:ascii="Times New Roman" w:hAnsi="Times New Roman" w:eastAsia="宋体" w:cs="Times New Roman"/>
                <w:color w:val="auto"/>
                <w:szCs w:val="21"/>
                <w:highlight w:val="none"/>
                <w:u w:val="none"/>
              </w:rPr>
            </w:pPr>
          </w:p>
        </w:tc>
        <w:tc>
          <w:tcPr>
            <w:tcW w:w="1808" w:type="dxa"/>
            <w:vMerge w:val="continue"/>
            <w:noWrap w:val="0"/>
            <w:vAlign w:val="center"/>
          </w:tcPr>
          <w:p w14:paraId="5E34F0B8">
            <w:pPr>
              <w:shd w:val="clear" w:color="auto" w:fill="auto"/>
              <w:adjustRightInd w:val="0"/>
              <w:snapToGrid w:val="0"/>
              <w:jc w:val="center"/>
              <w:rPr>
                <w:rFonts w:ascii="Times New Roman" w:hAnsi="Times New Roman" w:eastAsia="宋体" w:cs="Times New Roman"/>
                <w:color w:val="auto"/>
                <w:szCs w:val="21"/>
                <w:highlight w:val="none"/>
                <w:u w:val="none"/>
              </w:rPr>
            </w:pPr>
          </w:p>
        </w:tc>
        <w:tc>
          <w:tcPr>
            <w:tcW w:w="2262" w:type="dxa"/>
            <w:noWrap w:val="0"/>
            <w:vAlign w:val="center"/>
          </w:tcPr>
          <w:p w14:paraId="137A7D3D">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环境风险防控</w:t>
            </w:r>
          </w:p>
        </w:tc>
        <w:tc>
          <w:tcPr>
            <w:tcW w:w="14896" w:type="dxa"/>
            <w:noWrap w:val="0"/>
            <w:vAlign w:val="center"/>
          </w:tcPr>
          <w:p w14:paraId="322EEF4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加强产业园区环境风险防控体系建设并编制应急预案，细化明确产业园区及区内企业环境风险防范责任，与地方政府应急预案做好衔接联动，切实做好环境风险防范工作，督促污染企业做好退出地块的土壤、地下水等风险防控工作。</w:t>
            </w:r>
          </w:p>
        </w:tc>
      </w:tr>
      <w:tr w14:paraId="13149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02" w:type="dxa"/>
            <w:vMerge w:val="continue"/>
            <w:noWrap w:val="0"/>
            <w:vAlign w:val="center"/>
          </w:tcPr>
          <w:p w14:paraId="7EF2B45A">
            <w:pPr>
              <w:shd w:val="clear" w:color="auto" w:fill="auto"/>
              <w:adjustRightInd w:val="0"/>
              <w:snapToGrid w:val="0"/>
              <w:rPr>
                <w:rFonts w:ascii="Times New Roman" w:hAnsi="Times New Roman" w:eastAsia="宋体" w:cs="Times New Roman"/>
                <w:color w:val="auto"/>
                <w:szCs w:val="21"/>
                <w:highlight w:val="none"/>
                <w:u w:val="none"/>
              </w:rPr>
            </w:pPr>
          </w:p>
        </w:tc>
        <w:tc>
          <w:tcPr>
            <w:tcW w:w="1808" w:type="dxa"/>
            <w:vMerge w:val="restart"/>
            <w:noWrap w:val="0"/>
            <w:vAlign w:val="center"/>
          </w:tcPr>
          <w:p w14:paraId="79D4CDE9">
            <w:pPr>
              <w:shd w:val="clear" w:color="auto" w:fill="auto"/>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城镇生活类重点管控单元</w:t>
            </w:r>
          </w:p>
        </w:tc>
        <w:tc>
          <w:tcPr>
            <w:tcW w:w="2262" w:type="dxa"/>
            <w:noWrap w:val="0"/>
            <w:vAlign w:val="center"/>
          </w:tcPr>
          <w:p w14:paraId="04FE46B7">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896" w:type="dxa"/>
            <w:noWrap w:val="0"/>
            <w:vAlign w:val="center"/>
          </w:tcPr>
          <w:p w14:paraId="6EC2E39D">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．在城市建成区</w:t>
            </w:r>
            <w:r>
              <w:rPr>
                <w:rFonts w:hAnsi="宋体" w:eastAsia="宋体"/>
                <w:b/>
                <w:color w:val="auto"/>
                <w:kern w:val="2"/>
                <w:sz w:val="21"/>
                <w:highlight w:val="none"/>
                <w:u w:val="none"/>
                <w:lang w:bidi="ar-SA"/>
              </w:rPr>
              <w:t>禁止</w:t>
            </w:r>
            <w:r>
              <w:rPr>
                <w:rFonts w:hAnsi="宋体" w:eastAsia="宋体"/>
                <w:color w:val="auto"/>
                <w:kern w:val="2"/>
                <w:sz w:val="21"/>
                <w:highlight w:val="none"/>
                <w:u w:val="none"/>
                <w:lang w:bidi="ar-SA"/>
              </w:rPr>
              <w:t>新建、扩建钢铁、石油、化工、有色金属、水泥、平板玻璃、建筑陶瓷、砖瓦、碳酸钙、造纸等高排放、高污染项目，已建企业应当逐步进行搬迁、改造或者转型、退出。</w:t>
            </w:r>
          </w:p>
          <w:p w14:paraId="545EE062">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．在城市建成区和其他依法需要特殊保护的区域内，</w:t>
            </w:r>
            <w:r>
              <w:rPr>
                <w:rFonts w:hAnsi="宋体" w:eastAsia="宋体"/>
                <w:b/>
                <w:color w:val="auto"/>
                <w:kern w:val="2"/>
                <w:sz w:val="21"/>
                <w:highlight w:val="none"/>
                <w:u w:val="none"/>
                <w:lang w:bidi="ar-SA"/>
              </w:rPr>
              <w:t>禁止</w:t>
            </w:r>
            <w:r>
              <w:rPr>
                <w:rFonts w:hAnsi="宋体" w:eastAsia="宋体"/>
                <w:color w:val="auto"/>
                <w:kern w:val="2"/>
                <w:sz w:val="21"/>
                <w:highlight w:val="none"/>
                <w:u w:val="none"/>
                <w:lang w:bidi="ar-SA"/>
              </w:rPr>
              <w:t>新建、改建、扩建产生恶臭气体的项目。污水处理设施、垃圾转运站等确实需要建设的项目，需设置合理的绿化带或隔离带。</w:t>
            </w:r>
          </w:p>
          <w:p w14:paraId="66E603B2">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3</w:t>
            </w:r>
            <w:r>
              <w:rPr>
                <w:rFonts w:hAnsi="宋体" w:eastAsia="宋体"/>
                <w:color w:val="auto"/>
                <w:kern w:val="2"/>
                <w:sz w:val="21"/>
                <w:highlight w:val="none"/>
                <w:u w:val="none"/>
                <w:lang w:bidi="ar-SA"/>
              </w:rPr>
              <w:t>．城市市区、镇和村庄居民区、文化教育科学研究区等人口集中区域</w:t>
            </w:r>
            <w:r>
              <w:rPr>
                <w:rFonts w:hAnsi="宋体" w:eastAsia="宋体"/>
                <w:b/>
                <w:color w:val="auto"/>
                <w:kern w:val="2"/>
                <w:sz w:val="21"/>
                <w:highlight w:val="none"/>
                <w:u w:val="none"/>
                <w:lang w:bidi="ar-SA"/>
              </w:rPr>
              <w:t>禁止</w:t>
            </w:r>
            <w:r>
              <w:rPr>
                <w:rFonts w:hAnsi="宋体" w:eastAsia="宋体"/>
                <w:color w:val="auto"/>
                <w:kern w:val="2"/>
                <w:sz w:val="21"/>
                <w:highlight w:val="none"/>
                <w:u w:val="none"/>
                <w:lang w:bidi="ar-SA"/>
              </w:rPr>
              <w:t>设置畜禽养殖场、养殖小区。</w:t>
            </w:r>
          </w:p>
          <w:p w14:paraId="6269CD7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在居民区和学校、医院、疗养院、养老院等单位周边新建、改建、扩建可能造成土壤污染的建设项目。</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在人口聚居区域内新（改、扩）建涉重金属企业。</w:t>
            </w:r>
          </w:p>
          <w:p w14:paraId="315D1F3E">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．推进城镇绿廊建设，建立城镇生态空间与区域生态空间的有机联系。任何单位和个人都</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擅自改变城市绿化规划用地性质或者破坏绿化规划用地；</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擅自占用城市绿化用地。</w:t>
            </w:r>
          </w:p>
        </w:tc>
      </w:tr>
      <w:tr w14:paraId="6852D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jc w:val="center"/>
        </w:trPr>
        <w:tc>
          <w:tcPr>
            <w:tcW w:w="1602" w:type="dxa"/>
            <w:vMerge w:val="continue"/>
            <w:noWrap w:val="0"/>
            <w:vAlign w:val="center"/>
          </w:tcPr>
          <w:p w14:paraId="56A13492">
            <w:pPr>
              <w:shd w:val="clear" w:color="auto" w:fill="auto"/>
              <w:adjustRightInd w:val="0"/>
              <w:snapToGrid w:val="0"/>
              <w:rPr>
                <w:rFonts w:ascii="Times New Roman" w:hAnsi="Times New Roman" w:eastAsia="宋体" w:cs="Times New Roman"/>
                <w:color w:val="auto"/>
                <w:szCs w:val="21"/>
                <w:highlight w:val="none"/>
                <w:u w:val="none"/>
              </w:rPr>
            </w:pPr>
          </w:p>
        </w:tc>
        <w:tc>
          <w:tcPr>
            <w:tcW w:w="1808" w:type="dxa"/>
            <w:vMerge w:val="continue"/>
            <w:noWrap w:val="0"/>
            <w:vAlign w:val="center"/>
          </w:tcPr>
          <w:p w14:paraId="3B317E61">
            <w:pPr>
              <w:shd w:val="clear" w:color="auto" w:fill="auto"/>
              <w:adjustRightInd w:val="0"/>
              <w:snapToGrid w:val="0"/>
              <w:jc w:val="center"/>
              <w:rPr>
                <w:rFonts w:ascii="Times New Roman" w:hAnsi="Times New Roman" w:eastAsia="宋体" w:cs="Times New Roman"/>
                <w:color w:val="auto"/>
                <w:szCs w:val="21"/>
                <w:highlight w:val="none"/>
                <w:u w:val="none"/>
              </w:rPr>
            </w:pPr>
          </w:p>
        </w:tc>
        <w:tc>
          <w:tcPr>
            <w:tcW w:w="2262" w:type="dxa"/>
            <w:noWrap w:val="0"/>
            <w:vAlign w:val="center"/>
          </w:tcPr>
          <w:p w14:paraId="5C7CBB2C">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污染物排放管控</w:t>
            </w:r>
          </w:p>
        </w:tc>
        <w:tc>
          <w:tcPr>
            <w:tcW w:w="14896" w:type="dxa"/>
            <w:noWrap w:val="0"/>
            <w:vAlign w:val="center"/>
          </w:tcPr>
          <w:p w14:paraId="6E98E3C0">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新增或扩建城镇污水集中处理设施同步配套建设服务片区内污水收集管网，确保污水有效收集。加快建设城市城中村、老旧城区、城乡结合部和易地扶贫搬迁安置区生活污水收集管网，填补污水收集管网空白区。开展老旧破损和易造成积水内涝问题的污水管网、雨污合流制管网诊断修复更新，循序推进管网错接混接漏接改造，提升污水收集效能。</w:t>
            </w:r>
          </w:p>
          <w:p w14:paraId="7D69EBEF">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．持续开展城镇生活污水处理厂新建、改扩建，进一步提高污水收集率。对全区重点流域和水环境敏感区域城镇污水处理厂提标改造建设。</w:t>
            </w:r>
          </w:p>
          <w:p w14:paraId="4B01F932">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3</w:t>
            </w:r>
            <w:r>
              <w:rPr>
                <w:rFonts w:hAnsi="宋体" w:eastAsia="宋体"/>
                <w:color w:val="auto"/>
                <w:kern w:val="2"/>
                <w:sz w:val="21"/>
                <w:highlight w:val="none"/>
                <w:u w:val="none"/>
                <w:lang w:bidi="ar-SA"/>
              </w:rPr>
              <w:t>．巩固城市黑臭水体治理成效，建立防止返黑返臭的长效机制。县级城市建成区黑臭水体基本消除。</w:t>
            </w:r>
          </w:p>
          <w:p w14:paraId="78BE8694">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4</w:t>
            </w:r>
            <w:r>
              <w:rPr>
                <w:rFonts w:hAnsi="宋体" w:eastAsia="宋体"/>
                <w:color w:val="auto"/>
                <w:kern w:val="2"/>
                <w:sz w:val="21"/>
                <w:highlight w:val="none"/>
                <w:u w:val="none"/>
                <w:lang w:bidi="ar-SA"/>
              </w:rPr>
              <w:t>．原则上不再新建原生生活垃圾填埋处理设施，加快发展以焚烧方式为主的垃圾处理模式。限制未经脱水处理达标的污水处理厂污泥在垃圾填埋场填埋。</w:t>
            </w:r>
          </w:p>
        </w:tc>
      </w:tr>
      <w:tr w14:paraId="71A5C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02" w:type="dxa"/>
            <w:vMerge w:val="continue"/>
            <w:noWrap w:val="0"/>
            <w:vAlign w:val="center"/>
          </w:tcPr>
          <w:p w14:paraId="693C3D6F">
            <w:pPr>
              <w:shd w:val="clear" w:color="auto" w:fill="auto"/>
              <w:adjustRightInd w:val="0"/>
              <w:snapToGrid w:val="0"/>
              <w:rPr>
                <w:rFonts w:ascii="Times New Roman" w:hAnsi="Times New Roman" w:eastAsia="宋体" w:cs="Times New Roman"/>
                <w:color w:val="auto"/>
                <w:szCs w:val="21"/>
                <w:highlight w:val="none"/>
                <w:u w:val="none"/>
              </w:rPr>
            </w:pPr>
          </w:p>
        </w:tc>
        <w:tc>
          <w:tcPr>
            <w:tcW w:w="1808" w:type="dxa"/>
            <w:vMerge w:val="continue"/>
            <w:noWrap w:val="0"/>
            <w:vAlign w:val="center"/>
          </w:tcPr>
          <w:p w14:paraId="3060B080">
            <w:pPr>
              <w:shd w:val="clear" w:color="auto" w:fill="auto"/>
              <w:adjustRightInd w:val="0"/>
              <w:snapToGrid w:val="0"/>
              <w:jc w:val="center"/>
              <w:rPr>
                <w:rFonts w:ascii="Times New Roman" w:hAnsi="Times New Roman" w:eastAsia="宋体" w:cs="Times New Roman"/>
                <w:color w:val="auto"/>
                <w:szCs w:val="21"/>
                <w:highlight w:val="none"/>
                <w:u w:val="none"/>
              </w:rPr>
            </w:pPr>
          </w:p>
        </w:tc>
        <w:tc>
          <w:tcPr>
            <w:tcW w:w="2262" w:type="dxa"/>
            <w:noWrap w:val="0"/>
            <w:vAlign w:val="center"/>
          </w:tcPr>
          <w:p w14:paraId="062D59D2">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资源开发利用效率要求</w:t>
            </w:r>
          </w:p>
        </w:tc>
        <w:tc>
          <w:tcPr>
            <w:tcW w:w="14896" w:type="dxa"/>
            <w:noWrap w:val="0"/>
            <w:vAlign w:val="center"/>
          </w:tcPr>
          <w:p w14:paraId="3F207E15">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．到</w:t>
            </w:r>
            <w:r>
              <w:rPr>
                <w:rFonts w:eastAsia="宋体"/>
                <w:color w:val="auto"/>
                <w:kern w:val="2"/>
                <w:sz w:val="21"/>
                <w:highlight w:val="none"/>
                <w:u w:val="none"/>
                <w:lang w:bidi="ar-SA"/>
              </w:rPr>
              <w:t>2025</w:t>
            </w:r>
            <w:r>
              <w:rPr>
                <w:rFonts w:hAnsi="宋体" w:eastAsia="宋体"/>
                <w:color w:val="auto"/>
                <w:kern w:val="2"/>
                <w:sz w:val="21"/>
                <w:highlight w:val="none"/>
                <w:u w:val="none"/>
                <w:lang w:bidi="ar-SA"/>
              </w:rPr>
              <w:t>年，城镇新建建筑全面执行绿色建筑标准。</w:t>
            </w:r>
          </w:p>
          <w:p w14:paraId="47ACAFA4">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．提升县城能源使用效率，因地制宜开发利用地热能、生物质能、空气源和水源热泵等。</w:t>
            </w:r>
          </w:p>
        </w:tc>
      </w:tr>
      <w:tr w14:paraId="5209D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602" w:type="dxa"/>
            <w:vMerge w:val="continue"/>
            <w:noWrap w:val="0"/>
            <w:vAlign w:val="center"/>
          </w:tcPr>
          <w:p w14:paraId="00F70F83">
            <w:pPr>
              <w:shd w:val="clear" w:color="auto" w:fill="auto"/>
              <w:adjustRightInd w:val="0"/>
              <w:snapToGrid w:val="0"/>
              <w:rPr>
                <w:rFonts w:ascii="Times New Roman" w:hAnsi="Times New Roman" w:eastAsia="宋体" w:cs="Times New Roman"/>
                <w:color w:val="auto"/>
                <w:szCs w:val="21"/>
                <w:highlight w:val="none"/>
                <w:u w:val="none"/>
              </w:rPr>
            </w:pPr>
          </w:p>
        </w:tc>
        <w:tc>
          <w:tcPr>
            <w:tcW w:w="1808" w:type="dxa"/>
            <w:vMerge w:val="restart"/>
            <w:noWrap w:val="0"/>
            <w:vAlign w:val="center"/>
          </w:tcPr>
          <w:p w14:paraId="25248995">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农业空间类重点管控单元</w:t>
            </w:r>
          </w:p>
        </w:tc>
        <w:tc>
          <w:tcPr>
            <w:tcW w:w="2262" w:type="dxa"/>
            <w:noWrap w:val="0"/>
            <w:vAlign w:val="center"/>
          </w:tcPr>
          <w:p w14:paraId="10BCAA35">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896" w:type="dxa"/>
            <w:noWrap w:val="0"/>
            <w:vAlign w:val="center"/>
          </w:tcPr>
          <w:p w14:paraId="7A6B15ED">
            <w:pPr>
              <w:pStyle w:val="18"/>
              <w:widowControl w:val="0"/>
              <w:jc w:val="both"/>
              <w:rPr>
                <w:rFonts w:eastAsia="宋体"/>
                <w:color w:val="auto"/>
                <w:kern w:val="2"/>
                <w:sz w:val="21"/>
                <w:highlight w:val="none"/>
                <w:u w:val="none"/>
                <w:lang w:bidi="ar-SA"/>
              </w:rPr>
            </w:pPr>
            <w:r>
              <w:rPr>
                <w:rFonts w:hAnsi="宋体" w:eastAsia="宋体"/>
                <w:color w:val="auto"/>
                <w:kern w:val="2"/>
                <w:sz w:val="21"/>
                <w:highlight w:val="none"/>
                <w:u w:val="none"/>
                <w:lang w:bidi="ar-SA"/>
              </w:rPr>
              <w:t>合理确定畜禽养殖和水产养殖空间，严格按照水产养殖规划和畜禽养殖禁养区规定执行。</w:t>
            </w:r>
          </w:p>
        </w:tc>
      </w:tr>
      <w:tr w14:paraId="67E9B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5" w:hRule="atLeast"/>
          <w:jc w:val="center"/>
        </w:trPr>
        <w:tc>
          <w:tcPr>
            <w:tcW w:w="1602" w:type="dxa"/>
            <w:vMerge w:val="continue"/>
            <w:noWrap w:val="0"/>
            <w:vAlign w:val="center"/>
          </w:tcPr>
          <w:p w14:paraId="1ACCA91E">
            <w:pPr>
              <w:shd w:val="clear" w:color="auto" w:fill="auto"/>
              <w:adjustRightInd w:val="0"/>
              <w:snapToGrid w:val="0"/>
              <w:rPr>
                <w:rFonts w:ascii="Times New Roman" w:hAnsi="Times New Roman" w:eastAsia="宋体" w:cs="Times New Roman"/>
                <w:color w:val="auto"/>
                <w:szCs w:val="21"/>
                <w:highlight w:val="none"/>
                <w:u w:val="none"/>
              </w:rPr>
            </w:pPr>
          </w:p>
        </w:tc>
        <w:tc>
          <w:tcPr>
            <w:tcW w:w="1808" w:type="dxa"/>
            <w:vMerge w:val="continue"/>
            <w:noWrap w:val="0"/>
            <w:vAlign w:val="center"/>
          </w:tcPr>
          <w:p w14:paraId="18A994CD">
            <w:pPr>
              <w:shd w:val="clear" w:color="auto" w:fill="auto"/>
              <w:adjustRightInd w:val="0"/>
              <w:snapToGrid w:val="0"/>
              <w:jc w:val="center"/>
              <w:rPr>
                <w:rFonts w:ascii="Times New Roman" w:hAnsi="Times New Roman" w:eastAsia="宋体" w:cs="Times New Roman"/>
                <w:color w:val="auto"/>
                <w:szCs w:val="21"/>
                <w:highlight w:val="none"/>
                <w:u w:val="none"/>
              </w:rPr>
            </w:pPr>
          </w:p>
        </w:tc>
        <w:tc>
          <w:tcPr>
            <w:tcW w:w="2262" w:type="dxa"/>
            <w:noWrap w:val="0"/>
            <w:vAlign w:val="center"/>
          </w:tcPr>
          <w:p w14:paraId="60DA5E58">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污染物排放管控</w:t>
            </w:r>
          </w:p>
        </w:tc>
        <w:tc>
          <w:tcPr>
            <w:tcW w:w="14896" w:type="dxa"/>
            <w:noWrap w:val="0"/>
            <w:vAlign w:val="center"/>
          </w:tcPr>
          <w:p w14:paraId="423A982B">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．新（改、扩）建规模化畜禽养殖场（小区）实施雨污分流、粪污资源化利用。</w:t>
            </w:r>
          </w:p>
          <w:p w14:paraId="08A280ED">
            <w:pPr>
              <w:shd w:val="clear" w:color="auto" w:fill="auto"/>
              <w:tabs>
                <w:tab w:val="left" w:pos="312"/>
              </w:tabs>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．鼓励种植和养殖相结合，就地就近消纳利用畜禽养殖废弃物。</w:t>
            </w:r>
          </w:p>
          <w:p w14:paraId="15409DCA">
            <w:pPr>
              <w:pStyle w:val="19"/>
              <w:widowControl w:val="0"/>
              <w:adjustRightInd w:val="0"/>
              <w:snapToGrid w:val="0"/>
              <w:ind w:firstLine="0" w:firstLineChars="0"/>
              <w:jc w:val="both"/>
              <w:rPr>
                <w:rFonts w:ascii="Times New Roman" w:hAnsi="Times New Roman" w:eastAsia="宋体" w:cs="Times New Roman"/>
                <w:color w:val="auto"/>
                <w:kern w:val="2"/>
                <w:sz w:val="21"/>
                <w:szCs w:val="21"/>
                <w:highlight w:val="none"/>
                <w:u w:val="none"/>
                <w:lang w:bidi="ar-SA"/>
              </w:rPr>
            </w:pPr>
            <w:r>
              <w:rPr>
                <w:rFonts w:ascii="Times New Roman" w:hAnsi="Times New Roman" w:eastAsia="宋体" w:cs="Times New Roman"/>
                <w:color w:val="auto"/>
                <w:kern w:val="2"/>
                <w:sz w:val="21"/>
                <w:szCs w:val="21"/>
                <w:highlight w:val="none"/>
                <w:u w:val="none"/>
                <w:lang w:bidi="ar-SA"/>
              </w:rPr>
              <w:t>3</w:t>
            </w:r>
            <w:r>
              <w:rPr>
                <w:rFonts w:ascii="Times New Roman" w:hAnsi="宋体" w:eastAsia="宋体" w:cs="Times New Roman"/>
                <w:color w:val="auto"/>
                <w:kern w:val="2"/>
                <w:sz w:val="21"/>
                <w:szCs w:val="21"/>
                <w:highlight w:val="none"/>
                <w:u w:val="none"/>
                <w:lang w:bidi="ar-SA"/>
              </w:rPr>
              <w:t>．严格控制高毒高风险农药使用，推进有机肥替代化肥、病虫害绿色防控替代化学防治。推进农药化肥减量化工作。</w:t>
            </w:r>
          </w:p>
          <w:p w14:paraId="7EA3957D">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4</w:t>
            </w:r>
            <w:r>
              <w:rPr>
                <w:rFonts w:hAnsi="宋体" w:eastAsia="宋体"/>
                <w:color w:val="auto"/>
                <w:kern w:val="2"/>
                <w:sz w:val="21"/>
                <w:highlight w:val="none"/>
                <w:u w:val="none"/>
                <w:lang w:bidi="ar-SA"/>
              </w:rPr>
              <w:t>．合理布局水产养殖空间，深入推进水产健康养殖，加快重点江河湖库破坏生态环境的养殖方式综合整治。推广生态、健康、循环型水产养殖模式，加强养殖投入品管理，严格控制水产养殖污染影响。加大水产养殖场养殖尾水排放监管。</w:t>
            </w:r>
          </w:p>
          <w:p w14:paraId="2DE30EB2">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5</w:t>
            </w:r>
            <w:r>
              <w:rPr>
                <w:rFonts w:hAnsi="宋体" w:eastAsia="宋体"/>
                <w:color w:val="auto"/>
                <w:kern w:val="2"/>
                <w:sz w:val="21"/>
                <w:highlight w:val="none"/>
                <w:u w:val="none"/>
                <w:lang w:bidi="ar-SA"/>
              </w:rPr>
              <w:t>．推动城镇污水管网向周边村庄延伸覆盖，推进农村污水垃圾处理设施建设。加强垃圾分类资源化利用，完善收集</w:t>
            </w:r>
            <w:r>
              <w:rPr>
                <w:rFonts w:eastAsia="宋体"/>
                <w:color w:val="auto"/>
                <w:kern w:val="2"/>
                <w:sz w:val="21"/>
                <w:highlight w:val="none"/>
                <w:u w:val="none"/>
                <w:lang w:bidi="ar-SA"/>
              </w:rPr>
              <w:t>-</w:t>
            </w:r>
            <w:r>
              <w:rPr>
                <w:rFonts w:hAnsi="宋体" w:eastAsia="宋体"/>
                <w:color w:val="auto"/>
                <w:kern w:val="2"/>
                <w:sz w:val="21"/>
                <w:highlight w:val="none"/>
                <w:u w:val="none"/>
                <w:lang w:bidi="ar-SA"/>
              </w:rPr>
              <w:t>转运</w:t>
            </w:r>
            <w:r>
              <w:rPr>
                <w:rFonts w:eastAsia="宋体"/>
                <w:color w:val="auto"/>
                <w:kern w:val="2"/>
                <w:sz w:val="21"/>
                <w:highlight w:val="none"/>
                <w:u w:val="none"/>
                <w:lang w:bidi="ar-SA"/>
              </w:rPr>
              <w:t>-</w:t>
            </w:r>
            <w:r>
              <w:rPr>
                <w:rFonts w:hAnsi="宋体" w:eastAsia="宋体"/>
                <w:color w:val="auto"/>
                <w:kern w:val="2"/>
                <w:sz w:val="21"/>
                <w:highlight w:val="none"/>
                <w:u w:val="none"/>
                <w:lang w:bidi="ar-SA"/>
              </w:rPr>
              <w:t>处理处置体系。完善农村污水垃圾处理设施运营机制，加强已建污水垃圾处理设施运行管理。</w:t>
            </w:r>
          </w:p>
        </w:tc>
      </w:tr>
      <w:tr w14:paraId="08ADA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1602" w:type="dxa"/>
            <w:vMerge w:val="continue"/>
            <w:noWrap w:val="0"/>
            <w:vAlign w:val="center"/>
          </w:tcPr>
          <w:p w14:paraId="2360CC8D">
            <w:pPr>
              <w:shd w:val="clear" w:color="auto" w:fill="auto"/>
              <w:adjustRightInd w:val="0"/>
              <w:snapToGrid w:val="0"/>
              <w:rPr>
                <w:rFonts w:ascii="Times New Roman" w:hAnsi="Times New Roman" w:eastAsia="宋体" w:cs="Times New Roman"/>
                <w:color w:val="auto"/>
                <w:szCs w:val="21"/>
                <w:highlight w:val="none"/>
                <w:u w:val="none"/>
              </w:rPr>
            </w:pPr>
          </w:p>
        </w:tc>
        <w:tc>
          <w:tcPr>
            <w:tcW w:w="1808" w:type="dxa"/>
            <w:vMerge w:val="continue"/>
            <w:noWrap w:val="0"/>
            <w:vAlign w:val="center"/>
          </w:tcPr>
          <w:p w14:paraId="5B1C8886">
            <w:pPr>
              <w:shd w:val="clear" w:color="auto" w:fill="auto"/>
              <w:adjustRightInd w:val="0"/>
              <w:snapToGrid w:val="0"/>
              <w:jc w:val="center"/>
              <w:rPr>
                <w:rFonts w:ascii="Times New Roman" w:hAnsi="Times New Roman" w:eastAsia="宋体" w:cs="Times New Roman"/>
                <w:color w:val="auto"/>
                <w:szCs w:val="21"/>
                <w:highlight w:val="none"/>
                <w:u w:val="none"/>
              </w:rPr>
            </w:pPr>
          </w:p>
        </w:tc>
        <w:tc>
          <w:tcPr>
            <w:tcW w:w="2262" w:type="dxa"/>
            <w:noWrap w:val="0"/>
            <w:vAlign w:val="center"/>
          </w:tcPr>
          <w:p w14:paraId="6A223CA7">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环境风险防控</w:t>
            </w:r>
          </w:p>
        </w:tc>
        <w:tc>
          <w:tcPr>
            <w:tcW w:w="14896" w:type="dxa"/>
            <w:noWrap w:val="0"/>
            <w:vAlign w:val="center"/>
          </w:tcPr>
          <w:p w14:paraId="223F2D8F">
            <w:pPr>
              <w:pStyle w:val="18"/>
              <w:widowControl w:val="0"/>
              <w:jc w:val="both"/>
              <w:rPr>
                <w:rFonts w:eastAsia="宋体"/>
                <w:color w:val="auto"/>
                <w:kern w:val="2"/>
                <w:sz w:val="21"/>
                <w:highlight w:val="none"/>
                <w:u w:val="none"/>
                <w:lang w:bidi="ar-SA"/>
              </w:rPr>
            </w:pPr>
            <w:r>
              <w:rPr>
                <w:rFonts w:hAnsi="宋体" w:eastAsia="宋体"/>
                <w:color w:val="auto"/>
                <w:kern w:val="2"/>
                <w:sz w:val="21"/>
                <w:highlight w:val="none"/>
                <w:u w:val="none"/>
                <w:lang w:bidi="ar-SA"/>
              </w:rPr>
              <w:t>向农田灌溉渠道排放城镇污水以及未综合利用的畜禽养殖废水、农产品加工废水的，应当保证其下游最近的灌溉取水点的水质符合农田灌溉水质标准。</w:t>
            </w:r>
          </w:p>
        </w:tc>
      </w:tr>
    </w:tbl>
    <w:p w14:paraId="7982C315">
      <w:pPr>
        <w:keepNext w:val="0"/>
        <w:keepLines w:val="0"/>
        <w:pageBreakBefore w:val="0"/>
        <w:widowControl w:val="0"/>
        <w:kinsoku/>
        <w:wordWrap/>
        <w:overflowPunct/>
        <w:topLinePunct w:val="0"/>
        <w:autoSpaceDE/>
        <w:autoSpaceDN/>
        <w:bidi w:val="0"/>
        <w:adjustRightInd w:val="0"/>
        <w:snapToGrid w:val="0"/>
        <w:jc w:val="center"/>
        <w:textAlignment w:val="auto"/>
        <w:outlineLvl w:val="2"/>
        <w:rPr>
          <w:rFonts w:ascii="Times New Roman" w:hAnsi="Times New Roman" w:eastAsia="黑体" w:cs="Times New Roman"/>
          <w:color w:val="auto"/>
          <w:kern w:val="2"/>
          <w:sz w:val="24"/>
          <w:szCs w:val="24"/>
          <w:highlight w:val="none"/>
          <w:u w:val="none"/>
          <w:lang w:val="en-US" w:eastAsia="zh-CN" w:bidi="ar-SA"/>
        </w:rPr>
      </w:pPr>
      <w:bookmarkStart w:id="26" w:name="_Toc28793"/>
      <w:bookmarkStart w:id="27" w:name="_Toc23318"/>
      <w:bookmarkStart w:id="28" w:name="_Toc28587"/>
      <w:bookmarkStart w:id="29" w:name="_Toc22572"/>
      <w:bookmarkStart w:id="30" w:name="_Toc335"/>
      <w:r>
        <w:rPr>
          <w:rFonts w:ascii="Times New Roman" w:hAnsi="Times New Roman" w:eastAsia="黑体" w:cs="Times New Roman"/>
          <w:color w:val="auto"/>
          <w:kern w:val="2"/>
          <w:sz w:val="24"/>
          <w:szCs w:val="24"/>
          <w:highlight w:val="none"/>
          <w:u w:val="none"/>
          <w:lang w:val="en-US" w:eastAsia="zh-CN" w:bidi="ar-SA"/>
        </w:rPr>
        <w:t>表1.1-4  陆域一般管控区总体</w:t>
      </w:r>
      <w:r>
        <w:rPr>
          <w:rFonts w:hint="eastAsia" w:ascii="Times New Roman" w:hAnsi="Times New Roman" w:eastAsia="黑体" w:cs="Times New Roman"/>
          <w:color w:val="auto"/>
          <w:kern w:val="2"/>
          <w:sz w:val="24"/>
          <w:szCs w:val="24"/>
          <w:highlight w:val="none"/>
          <w:u w:val="none"/>
          <w:lang w:val="en-US" w:eastAsia="zh-CN" w:bidi="ar-SA"/>
        </w:rPr>
        <w:t>生态环境</w:t>
      </w:r>
      <w:r>
        <w:rPr>
          <w:rFonts w:ascii="Times New Roman" w:hAnsi="Times New Roman" w:eastAsia="黑体" w:cs="Times New Roman"/>
          <w:color w:val="auto"/>
          <w:kern w:val="2"/>
          <w:sz w:val="24"/>
          <w:szCs w:val="24"/>
          <w:highlight w:val="none"/>
          <w:u w:val="none"/>
          <w:lang w:val="en-US" w:eastAsia="zh-CN" w:bidi="ar-SA"/>
        </w:rPr>
        <w:t>准入</w:t>
      </w:r>
      <w:r>
        <w:rPr>
          <w:rFonts w:hint="eastAsia" w:ascii="Times New Roman" w:hAnsi="Times New Roman" w:eastAsia="黑体" w:cs="Times New Roman"/>
          <w:color w:val="auto"/>
          <w:kern w:val="2"/>
          <w:sz w:val="24"/>
          <w:szCs w:val="24"/>
          <w:highlight w:val="none"/>
          <w:u w:val="none"/>
          <w:lang w:val="en-US" w:eastAsia="zh-CN" w:bidi="ar-SA"/>
        </w:rPr>
        <w:t>及管控</w:t>
      </w:r>
      <w:r>
        <w:rPr>
          <w:rFonts w:ascii="Times New Roman" w:hAnsi="Times New Roman" w:eastAsia="黑体" w:cs="Times New Roman"/>
          <w:color w:val="auto"/>
          <w:kern w:val="2"/>
          <w:sz w:val="24"/>
          <w:szCs w:val="24"/>
          <w:highlight w:val="none"/>
          <w:u w:val="none"/>
          <w:lang w:val="en-US" w:eastAsia="zh-CN" w:bidi="ar-SA"/>
        </w:rPr>
        <w:t>要求</w:t>
      </w:r>
      <w:bookmarkEnd w:id="26"/>
      <w:bookmarkEnd w:id="27"/>
      <w:bookmarkEnd w:id="28"/>
      <w:bookmarkEnd w:id="29"/>
      <w:bookmarkEnd w:id="30"/>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7"/>
        <w:gridCol w:w="1824"/>
        <w:gridCol w:w="2264"/>
        <w:gridCol w:w="14957"/>
      </w:tblGrid>
      <w:tr w14:paraId="704F9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587" w:type="dxa"/>
            <w:noWrap w:val="0"/>
            <w:vAlign w:val="center"/>
          </w:tcPr>
          <w:p w14:paraId="76021F28">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适用分区</w:t>
            </w:r>
          </w:p>
        </w:tc>
        <w:tc>
          <w:tcPr>
            <w:tcW w:w="1824" w:type="dxa"/>
            <w:noWrap w:val="0"/>
            <w:vAlign w:val="center"/>
          </w:tcPr>
          <w:p w14:paraId="5DC44FA8">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适用对象</w:t>
            </w:r>
          </w:p>
        </w:tc>
        <w:tc>
          <w:tcPr>
            <w:tcW w:w="2264" w:type="dxa"/>
            <w:noWrap w:val="0"/>
            <w:vAlign w:val="center"/>
          </w:tcPr>
          <w:p w14:paraId="04708098">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color w:val="auto"/>
                <w:szCs w:val="21"/>
                <w:highlight w:val="none"/>
                <w:u w:val="none"/>
              </w:rPr>
              <w:t>管控要求类别</w:t>
            </w:r>
          </w:p>
        </w:tc>
        <w:tc>
          <w:tcPr>
            <w:tcW w:w="14957" w:type="dxa"/>
            <w:noWrap w:val="0"/>
            <w:vAlign w:val="center"/>
          </w:tcPr>
          <w:p w14:paraId="1873E236">
            <w:pPr>
              <w:shd w:val="clear" w:color="auto" w:fill="auto"/>
              <w:adjustRightInd w:val="0"/>
              <w:snapToGrid w:val="0"/>
              <w:jc w:val="center"/>
              <w:rPr>
                <w:rFonts w:ascii="Times New Roman" w:hAnsi="Times New Roman" w:eastAsia="宋体" w:cs="Times New Roman"/>
                <w:b/>
                <w:color w:val="auto"/>
                <w:szCs w:val="21"/>
                <w:highlight w:val="none"/>
                <w:u w:val="none"/>
              </w:rPr>
            </w:pPr>
            <w:r>
              <w:rPr>
                <w:rFonts w:ascii="Times New Roman" w:hAnsi="宋体" w:eastAsia="宋体" w:cs="Times New Roman"/>
                <w:b/>
                <w:bCs/>
                <w:color w:val="auto"/>
                <w:szCs w:val="21"/>
                <w:highlight w:val="none"/>
                <w:u w:val="none"/>
              </w:rPr>
              <w:t>生态环境准入及管控要求</w:t>
            </w:r>
          </w:p>
        </w:tc>
      </w:tr>
      <w:tr w14:paraId="10EE3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587" w:type="dxa"/>
            <w:noWrap w:val="0"/>
            <w:vAlign w:val="center"/>
          </w:tcPr>
          <w:p w14:paraId="1A6269F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一般管控单元</w:t>
            </w:r>
          </w:p>
        </w:tc>
        <w:tc>
          <w:tcPr>
            <w:tcW w:w="1824" w:type="dxa"/>
            <w:noWrap w:val="0"/>
            <w:vAlign w:val="center"/>
          </w:tcPr>
          <w:p w14:paraId="19CA848D">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永久基本农田类一般管控单元</w:t>
            </w:r>
          </w:p>
        </w:tc>
        <w:tc>
          <w:tcPr>
            <w:tcW w:w="2264" w:type="dxa"/>
            <w:noWrap w:val="0"/>
            <w:vAlign w:val="center"/>
          </w:tcPr>
          <w:p w14:paraId="6C51E575">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14957" w:type="dxa"/>
            <w:noWrap w:val="0"/>
            <w:vAlign w:val="center"/>
          </w:tcPr>
          <w:p w14:paraId="4F6578C5">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．落实最严格的耕地保护制度，严守耕地保护红线，加强用途管制，规范占补平衡，强化土地流转用途监管，推进闲置、荒芜土地利用，遏制耕地</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非农化</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、永久基本农田</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非粮化</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w:t>
            </w:r>
          </w:p>
          <w:p w14:paraId="547AB018">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．永久基本农田一经划定，任何单位和个人</w:t>
            </w:r>
            <w:r>
              <w:rPr>
                <w:rFonts w:hAnsi="宋体" w:eastAsia="宋体"/>
                <w:b/>
                <w:bCs/>
                <w:color w:val="auto"/>
                <w:kern w:val="2"/>
                <w:sz w:val="21"/>
                <w:highlight w:val="none"/>
                <w:u w:val="none"/>
                <w:lang w:bidi="ar-SA"/>
              </w:rPr>
              <w:t>不得</w:t>
            </w:r>
            <w:r>
              <w:rPr>
                <w:rFonts w:hAnsi="宋体" w:eastAsia="宋体"/>
                <w:color w:val="auto"/>
                <w:kern w:val="2"/>
                <w:sz w:val="21"/>
                <w:highlight w:val="none"/>
                <w:u w:val="none"/>
                <w:lang w:bidi="ar-SA"/>
              </w:rPr>
              <w:t>擅自占用或改变用途。</w:t>
            </w:r>
            <w:r>
              <w:rPr>
                <w:rFonts w:hAnsi="宋体" w:eastAsia="宋体"/>
                <w:b/>
                <w:bCs/>
                <w:color w:val="auto"/>
                <w:kern w:val="2"/>
                <w:sz w:val="21"/>
                <w:highlight w:val="none"/>
                <w:u w:val="none"/>
                <w:lang w:bidi="ar-SA"/>
              </w:rPr>
              <w:t>禁止</w:t>
            </w:r>
            <w:r>
              <w:rPr>
                <w:rFonts w:hAnsi="宋体" w:eastAsia="宋体"/>
                <w:color w:val="auto"/>
                <w:kern w:val="2"/>
                <w:sz w:val="21"/>
                <w:highlight w:val="none"/>
                <w:u w:val="none"/>
                <w:lang w:bidi="ar-SA"/>
              </w:rPr>
              <w:t>任何单位和个人破坏永久基本农田耕作层。对永久基本农田实行严格保护，确保其面积不减少、土壤环境质量不下降。对于重大建设项目、生态建设项目等符合国家规定的项目，在选址时确实难以避让永久基本农田的情况下，依照法定程序批准占用永久基本农田。对于经依法批准占用永久基本农田的，按照</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数量不减、质量不降、布局稳定</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的要求进行补划。</w:t>
            </w:r>
          </w:p>
          <w:p w14:paraId="373F031E">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3</w:t>
            </w:r>
            <w:r>
              <w:rPr>
                <w:rFonts w:hAnsi="宋体" w:eastAsia="宋体"/>
                <w:color w:val="auto"/>
                <w:kern w:val="2"/>
                <w:sz w:val="21"/>
                <w:highlight w:val="none"/>
                <w:u w:val="none"/>
                <w:lang w:bidi="ar-SA"/>
              </w:rPr>
              <w:t>．</w:t>
            </w:r>
            <w:r>
              <w:rPr>
                <w:rFonts w:hAnsi="宋体" w:eastAsia="宋体"/>
                <w:b/>
                <w:bCs/>
                <w:color w:val="auto"/>
                <w:kern w:val="2"/>
                <w:sz w:val="21"/>
                <w:highlight w:val="none"/>
                <w:u w:val="none"/>
                <w:lang w:bidi="ar-SA"/>
              </w:rPr>
              <w:t>严禁</w:t>
            </w:r>
            <w:r>
              <w:rPr>
                <w:rFonts w:hAnsi="宋体" w:eastAsia="宋体"/>
                <w:color w:val="auto"/>
                <w:kern w:val="2"/>
                <w:sz w:val="21"/>
                <w:highlight w:val="none"/>
                <w:u w:val="none"/>
                <w:lang w:bidi="ar-SA"/>
              </w:rPr>
              <w:t>永久基本农田转为林地、草地、园地等其他农用地及农业设施建设用地；</w:t>
            </w:r>
            <w:r>
              <w:rPr>
                <w:rFonts w:hAnsi="宋体" w:eastAsia="宋体"/>
                <w:b/>
                <w:bCs/>
                <w:color w:val="auto"/>
                <w:kern w:val="2"/>
                <w:sz w:val="21"/>
                <w:highlight w:val="none"/>
                <w:u w:val="none"/>
                <w:lang w:bidi="ar-SA"/>
              </w:rPr>
              <w:t>禁止</w:t>
            </w:r>
            <w:r>
              <w:rPr>
                <w:rFonts w:hAnsi="宋体" w:eastAsia="宋体"/>
                <w:color w:val="auto"/>
                <w:kern w:val="2"/>
                <w:sz w:val="21"/>
                <w:highlight w:val="none"/>
                <w:u w:val="none"/>
                <w:lang w:bidi="ar-SA"/>
              </w:rPr>
              <w:t>占用永久基本农田种植苗木、草皮等用于绿化装饰以及其他破坏耕作层的植物；</w:t>
            </w:r>
            <w:r>
              <w:rPr>
                <w:rFonts w:hAnsi="宋体" w:eastAsia="宋体"/>
                <w:b/>
                <w:bCs/>
                <w:color w:val="auto"/>
                <w:kern w:val="2"/>
                <w:sz w:val="21"/>
                <w:highlight w:val="none"/>
                <w:u w:val="none"/>
                <w:lang w:bidi="ar-SA"/>
              </w:rPr>
              <w:t>严禁</w:t>
            </w:r>
            <w:r>
              <w:rPr>
                <w:rFonts w:hAnsi="宋体" w:eastAsia="宋体"/>
                <w:color w:val="auto"/>
                <w:kern w:val="2"/>
                <w:sz w:val="21"/>
                <w:highlight w:val="none"/>
                <w:u w:val="none"/>
                <w:lang w:bidi="ar-SA"/>
              </w:rPr>
              <w:t>占用永久基本农田扩大自然保护地。</w:t>
            </w:r>
          </w:p>
          <w:p w14:paraId="2E7C12DD">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4</w:t>
            </w:r>
            <w:r>
              <w:rPr>
                <w:rFonts w:hAnsi="宋体" w:eastAsia="宋体"/>
                <w:color w:val="auto"/>
                <w:kern w:val="2"/>
                <w:sz w:val="21"/>
                <w:highlight w:val="none"/>
                <w:u w:val="none"/>
                <w:lang w:bidi="ar-SA"/>
              </w:rPr>
              <w:t>．在永久基本农田集中区域，</w:t>
            </w:r>
            <w:r>
              <w:rPr>
                <w:rFonts w:hAnsi="宋体" w:eastAsia="宋体"/>
                <w:b/>
                <w:bCs/>
                <w:color w:val="auto"/>
                <w:kern w:val="2"/>
                <w:sz w:val="21"/>
                <w:highlight w:val="none"/>
                <w:u w:val="none"/>
                <w:lang w:bidi="ar-SA"/>
              </w:rPr>
              <w:t>不得</w:t>
            </w:r>
            <w:r>
              <w:rPr>
                <w:rFonts w:hAnsi="宋体" w:eastAsia="宋体"/>
                <w:color w:val="auto"/>
                <w:kern w:val="2"/>
                <w:sz w:val="21"/>
                <w:highlight w:val="none"/>
                <w:u w:val="none"/>
                <w:lang w:bidi="ar-SA"/>
              </w:rPr>
              <w:t>新建可能造成土壤污染的建设项目；已经建成的，应当限期关闭拆除。</w:t>
            </w:r>
          </w:p>
          <w:p w14:paraId="0BFE0FA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将重金属或者其他有毒有害物质含量超标的工业固体废物、生活垃圾或者污染土壤用于土地复垦。</w:t>
            </w:r>
          </w:p>
          <w:p w14:paraId="3968F35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6</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违法占用耕地等建设人工湿地。</w:t>
            </w:r>
          </w:p>
        </w:tc>
      </w:tr>
    </w:tbl>
    <w:p w14:paraId="563CA05E">
      <w:pPr>
        <w:outlineLvl w:val="9"/>
        <w:rPr>
          <w:color w:val="auto"/>
          <w:highlight w:val="none"/>
          <w:u w:val="none"/>
        </w:rPr>
        <w:sectPr>
          <w:headerReference r:id="rId11" w:type="default"/>
          <w:footerReference r:id="rId12" w:type="default"/>
          <w:pgSz w:w="23814" w:h="16839" w:orient="landscape"/>
          <w:pgMar w:top="1797" w:right="1440" w:bottom="1797" w:left="1440" w:header="851" w:footer="992" w:gutter="0"/>
          <w:pgNumType w:start="8"/>
          <w:cols w:space="720" w:num="1"/>
          <w:docGrid w:type="lines" w:linePitch="312" w:charSpace="0"/>
        </w:sectPr>
      </w:pPr>
      <w:bookmarkStart w:id="31" w:name="_Toc28856"/>
    </w:p>
    <w:p w14:paraId="18A82109">
      <w:pPr>
        <w:keepNext w:val="0"/>
        <w:keepLines w:val="0"/>
        <w:pageBreakBefore w:val="0"/>
        <w:widowControl w:val="0"/>
        <w:kinsoku/>
        <w:wordWrap/>
        <w:overflowPunct/>
        <w:topLinePunct w:val="0"/>
        <w:autoSpaceDE/>
        <w:autoSpaceDN/>
        <w:bidi w:val="0"/>
        <w:adjustRightInd w:val="0"/>
        <w:snapToGrid w:val="0"/>
        <w:jc w:val="center"/>
        <w:textAlignment w:val="auto"/>
        <w:outlineLvl w:val="0"/>
        <w:rPr>
          <w:rFonts w:ascii="黑体" w:hAnsi="Times New Roman" w:eastAsia="黑体" w:cs="Times New Roman"/>
          <w:color w:val="auto"/>
          <w:kern w:val="2"/>
          <w:sz w:val="24"/>
          <w:szCs w:val="24"/>
          <w:highlight w:val="none"/>
          <w:u w:val="none"/>
          <w:lang w:val="en-US" w:eastAsia="zh-CN" w:bidi="ar-SA"/>
        </w:rPr>
      </w:pPr>
      <w:bookmarkStart w:id="32" w:name="_Toc31388"/>
      <w:bookmarkStart w:id="33" w:name="_Toc20284"/>
      <w:bookmarkStart w:id="34" w:name="_Toc17842"/>
      <w:bookmarkStart w:id="35" w:name="_Toc14092"/>
      <w:r>
        <w:rPr>
          <w:rFonts w:ascii="黑体" w:hAnsi="黑体" w:eastAsia="黑体" w:cs="Times New Roman"/>
          <w:color w:val="auto"/>
          <w:kern w:val="2"/>
          <w:sz w:val="24"/>
          <w:szCs w:val="24"/>
          <w:highlight w:val="none"/>
          <w:u w:val="none"/>
          <w:lang w:val="en-US" w:eastAsia="zh-CN" w:bidi="ar-SA"/>
        </w:rPr>
        <w:t>表</w:t>
      </w:r>
      <w:r>
        <w:rPr>
          <w:rFonts w:ascii="黑体" w:hAnsi="Times New Roman" w:eastAsia="黑体" w:cs="Times New Roman"/>
          <w:color w:val="auto"/>
          <w:kern w:val="2"/>
          <w:sz w:val="24"/>
          <w:szCs w:val="24"/>
          <w:highlight w:val="none"/>
          <w:u w:val="none"/>
          <w:lang w:val="en-US" w:eastAsia="zh-CN" w:bidi="ar-SA"/>
        </w:rPr>
        <w:t xml:space="preserve">1.1-5  </w:t>
      </w:r>
      <w:r>
        <w:rPr>
          <w:rFonts w:ascii="黑体" w:hAnsi="黑体" w:eastAsia="黑体" w:cs="Times New Roman"/>
          <w:color w:val="auto"/>
          <w:kern w:val="2"/>
          <w:sz w:val="24"/>
          <w:szCs w:val="24"/>
          <w:highlight w:val="none"/>
          <w:u w:val="none"/>
          <w:lang w:val="en-US" w:eastAsia="zh-CN" w:bidi="ar-SA"/>
        </w:rPr>
        <w:t>近岸海域总体</w:t>
      </w:r>
      <w:r>
        <w:rPr>
          <w:rFonts w:hint="eastAsia" w:ascii="黑体" w:hAnsi="黑体" w:eastAsia="黑体" w:cs="Times New Roman"/>
          <w:color w:val="auto"/>
          <w:kern w:val="2"/>
          <w:sz w:val="24"/>
          <w:szCs w:val="24"/>
          <w:highlight w:val="none"/>
          <w:u w:val="none"/>
          <w:lang w:val="en-US" w:eastAsia="zh-CN" w:bidi="ar-SA"/>
        </w:rPr>
        <w:t>生态环境</w:t>
      </w:r>
      <w:r>
        <w:rPr>
          <w:rFonts w:ascii="黑体" w:hAnsi="黑体" w:eastAsia="黑体" w:cs="Times New Roman"/>
          <w:color w:val="auto"/>
          <w:kern w:val="2"/>
          <w:sz w:val="24"/>
          <w:szCs w:val="24"/>
          <w:highlight w:val="none"/>
          <w:u w:val="none"/>
          <w:lang w:val="en-US" w:eastAsia="zh-CN" w:bidi="ar-SA"/>
        </w:rPr>
        <w:t>准入</w:t>
      </w:r>
      <w:r>
        <w:rPr>
          <w:rFonts w:hint="eastAsia" w:ascii="黑体" w:hAnsi="黑体" w:eastAsia="黑体" w:cs="Times New Roman"/>
          <w:color w:val="auto"/>
          <w:kern w:val="2"/>
          <w:sz w:val="24"/>
          <w:szCs w:val="24"/>
          <w:highlight w:val="none"/>
          <w:u w:val="none"/>
          <w:lang w:val="en-US" w:eastAsia="zh-CN" w:bidi="ar-SA"/>
        </w:rPr>
        <w:t>及管控</w:t>
      </w:r>
      <w:r>
        <w:rPr>
          <w:rFonts w:ascii="黑体" w:hAnsi="黑体" w:eastAsia="黑体" w:cs="Times New Roman"/>
          <w:color w:val="auto"/>
          <w:kern w:val="2"/>
          <w:sz w:val="24"/>
          <w:szCs w:val="24"/>
          <w:highlight w:val="none"/>
          <w:u w:val="none"/>
          <w:lang w:val="en-US" w:eastAsia="zh-CN" w:bidi="ar-SA"/>
        </w:rPr>
        <w:t>要求</w:t>
      </w:r>
      <w:bookmarkEnd w:id="31"/>
      <w:bookmarkEnd w:id="32"/>
      <w:bookmarkEnd w:id="33"/>
      <w:bookmarkEnd w:id="34"/>
      <w:bookmarkEnd w:id="35"/>
    </w:p>
    <w:tbl>
      <w:tblPr>
        <w:tblStyle w:val="1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45"/>
        <w:gridCol w:w="1844"/>
        <w:gridCol w:w="2291"/>
        <w:gridCol w:w="15309"/>
      </w:tblGrid>
      <w:tr w14:paraId="4ADAE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390" w:type="pct"/>
            <w:noWrap w:val="0"/>
            <w:vAlign w:val="center"/>
          </w:tcPr>
          <w:p w14:paraId="16B533E4">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适用分区</w:t>
            </w:r>
          </w:p>
        </w:tc>
        <w:tc>
          <w:tcPr>
            <w:tcW w:w="437" w:type="pct"/>
            <w:noWrap w:val="0"/>
            <w:vAlign w:val="center"/>
          </w:tcPr>
          <w:p w14:paraId="5905C726">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适用对象</w:t>
            </w:r>
          </w:p>
        </w:tc>
        <w:tc>
          <w:tcPr>
            <w:tcW w:w="543" w:type="pct"/>
            <w:noWrap w:val="0"/>
            <w:vAlign w:val="center"/>
          </w:tcPr>
          <w:p w14:paraId="1736FC7F">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管控要求类别</w:t>
            </w:r>
          </w:p>
        </w:tc>
        <w:tc>
          <w:tcPr>
            <w:tcW w:w="3629" w:type="pct"/>
            <w:noWrap w:val="0"/>
            <w:vAlign w:val="center"/>
          </w:tcPr>
          <w:p w14:paraId="69A133E8">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生态环境准入及管控要求</w:t>
            </w:r>
          </w:p>
        </w:tc>
      </w:tr>
      <w:tr w14:paraId="2F0E0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90" w:type="pct"/>
            <w:noWrap w:val="0"/>
            <w:vAlign w:val="center"/>
          </w:tcPr>
          <w:p w14:paraId="569AC7C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全自治区海域</w:t>
            </w:r>
          </w:p>
        </w:tc>
        <w:tc>
          <w:tcPr>
            <w:tcW w:w="437" w:type="pct"/>
            <w:noWrap w:val="0"/>
            <w:vAlign w:val="center"/>
          </w:tcPr>
          <w:p w14:paraId="4A8C5364">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全自治区海域</w:t>
            </w:r>
          </w:p>
        </w:tc>
        <w:tc>
          <w:tcPr>
            <w:tcW w:w="543" w:type="pct"/>
            <w:noWrap w:val="0"/>
            <w:vAlign w:val="center"/>
          </w:tcPr>
          <w:p w14:paraId="0D8D2CD7">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3629" w:type="pct"/>
            <w:noWrap w:val="0"/>
            <w:vAlign w:val="center"/>
          </w:tcPr>
          <w:p w14:paraId="08CAA4A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严格限制</w:t>
            </w:r>
            <w:r>
              <w:rPr>
                <w:rFonts w:ascii="Times New Roman" w:hAnsi="宋体" w:eastAsia="宋体" w:cs="Times New Roman"/>
                <w:color w:val="auto"/>
                <w:szCs w:val="21"/>
                <w:highlight w:val="none"/>
                <w:u w:val="none"/>
              </w:rPr>
              <w:t>在生态脆弱敏感、自净能力弱的海域实施围填海行为，</w:t>
            </w:r>
            <w:r>
              <w:rPr>
                <w:rFonts w:ascii="Times New Roman" w:hAnsi="宋体" w:eastAsia="宋体" w:cs="Times New Roman"/>
                <w:b/>
                <w:bCs/>
                <w:color w:val="auto"/>
                <w:szCs w:val="21"/>
                <w:highlight w:val="none"/>
                <w:u w:val="none"/>
              </w:rPr>
              <w:t>严禁</w:t>
            </w:r>
            <w:r>
              <w:rPr>
                <w:rFonts w:ascii="Times New Roman" w:hAnsi="宋体" w:eastAsia="宋体" w:cs="Times New Roman"/>
                <w:color w:val="auto"/>
                <w:szCs w:val="21"/>
                <w:highlight w:val="none"/>
                <w:u w:val="none"/>
              </w:rPr>
              <w:t>国家产业政策淘汰类、限制类项目在滨海湿地布局。</w:t>
            </w:r>
          </w:p>
          <w:p w14:paraId="04FB12F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．强化近岸排污口入海污染物管控，严格按照相关法律法规及国土空间用途管制等要求，规范设置和监管入海排污口。有条件的地区，应当将排污口深水设置，实行离岸排放。</w:t>
            </w:r>
          </w:p>
          <w:p w14:paraId="44A1B502">
            <w:pPr>
              <w:shd w:val="clear" w:color="auto" w:fill="auto"/>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在依法划定的自然保护地、重要渔业水域及其他需要特别保护的区域，违法建设污染环境、破坏生态的工程建设项目或者从事其他活动。</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在严格保护岸线范围内开采海砂。</w:t>
            </w:r>
          </w:p>
          <w:p w14:paraId="3A7F74C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加强水生生物重要生境以及自然岸线、红树林、湿地保护。红树林严格按照《广西壮族自治区红树林资源保护条例》进行管控。重要湿地严格按照《中华人民共和国湿地保护法》《广西壮族自治区湿地保护条例》进行管控。</w:t>
            </w:r>
          </w:p>
          <w:p w14:paraId="5B60B512">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5</w:t>
            </w:r>
            <w:r>
              <w:rPr>
                <w:rFonts w:hAnsi="宋体" w:eastAsia="宋体"/>
                <w:color w:val="auto"/>
                <w:kern w:val="2"/>
                <w:sz w:val="21"/>
                <w:highlight w:val="none"/>
                <w:u w:val="none"/>
                <w:lang w:bidi="ar-SA"/>
              </w:rPr>
              <w:t>．确需在生态保护红线区内进行渔业及其执法码头、陆岛交通码头、道路交通、航道锚地、海底管线等公益或公共基础设施建设的，要经严格科学论证并经相关主管部门审批后方可准入。</w:t>
            </w:r>
          </w:p>
        </w:tc>
      </w:tr>
    </w:tbl>
    <w:p w14:paraId="536EC8AC">
      <w:pPr>
        <w:shd w:val="clear" w:color="auto" w:fill="auto"/>
        <w:rPr>
          <w:rFonts w:ascii="Times New Roman" w:hAnsi="Times New Roman" w:eastAsia="宋体" w:cs="Times New Roman"/>
          <w:color w:val="auto"/>
          <w:szCs w:val="21"/>
          <w:highlight w:val="none"/>
          <w:u w:val="none"/>
        </w:rPr>
      </w:pPr>
    </w:p>
    <w:p w14:paraId="674D0543">
      <w:pPr>
        <w:keepNext w:val="0"/>
        <w:keepLines w:val="0"/>
        <w:pageBreakBefore w:val="0"/>
        <w:widowControl w:val="0"/>
        <w:kinsoku/>
        <w:wordWrap/>
        <w:overflowPunct/>
        <w:topLinePunct w:val="0"/>
        <w:autoSpaceDE/>
        <w:autoSpaceDN/>
        <w:bidi w:val="0"/>
        <w:adjustRightInd w:val="0"/>
        <w:snapToGrid w:val="0"/>
        <w:jc w:val="center"/>
        <w:textAlignment w:val="auto"/>
        <w:outlineLvl w:val="0"/>
        <w:rPr>
          <w:rFonts w:ascii="黑体" w:hAnsi="Times New Roman" w:eastAsia="黑体" w:cs="Times New Roman"/>
          <w:color w:val="auto"/>
          <w:kern w:val="2"/>
          <w:sz w:val="24"/>
          <w:szCs w:val="24"/>
          <w:highlight w:val="none"/>
          <w:u w:val="none"/>
          <w:lang w:val="en-US" w:eastAsia="zh-CN" w:bidi="ar-SA"/>
        </w:rPr>
      </w:pPr>
      <w:r>
        <w:rPr>
          <w:rFonts w:ascii="黑体" w:hAnsi="Times New Roman" w:eastAsia="黑体" w:cs="Times New Roman"/>
          <w:color w:val="auto"/>
          <w:kern w:val="2"/>
          <w:sz w:val="24"/>
          <w:szCs w:val="24"/>
          <w:highlight w:val="none"/>
          <w:u w:val="none"/>
          <w:lang w:val="en-US" w:eastAsia="zh-CN" w:bidi="ar-SA"/>
        </w:rPr>
        <w:br w:type="page"/>
      </w:r>
      <w:bookmarkStart w:id="36" w:name="_Toc7560"/>
      <w:bookmarkStart w:id="37" w:name="_Toc1015"/>
      <w:bookmarkStart w:id="38" w:name="_Toc20023"/>
      <w:bookmarkStart w:id="39" w:name="_Toc31061"/>
      <w:bookmarkStart w:id="40" w:name="_Toc2332"/>
      <w:r>
        <w:rPr>
          <w:rFonts w:ascii="黑体" w:hAnsi="黑体" w:eastAsia="黑体" w:cs="Times New Roman"/>
          <w:color w:val="auto"/>
          <w:kern w:val="2"/>
          <w:sz w:val="24"/>
          <w:szCs w:val="24"/>
          <w:highlight w:val="none"/>
          <w:u w:val="none"/>
          <w:lang w:val="en-US" w:eastAsia="zh-CN" w:bidi="ar-SA"/>
        </w:rPr>
        <w:t>表</w:t>
      </w:r>
      <w:r>
        <w:rPr>
          <w:rFonts w:ascii="黑体" w:hAnsi="Times New Roman" w:eastAsia="黑体" w:cs="Times New Roman"/>
          <w:color w:val="auto"/>
          <w:kern w:val="2"/>
          <w:sz w:val="24"/>
          <w:szCs w:val="24"/>
          <w:highlight w:val="none"/>
          <w:u w:val="none"/>
          <w:lang w:val="en-US" w:eastAsia="zh-CN" w:bidi="ar-SA"/>
        </w:rPr>
        <w:t xml:space="preserve">1.1-6  </w:t>
      </w:r>
      <w:r>
        <w:rPr>
          <w:rFonts w:ascii="黑体" w:hAnsi="黑体" w:eastAsia="黑体" w:cs="Times New Roman"/>
          <w:color w:val="auto"/>
          <w:kern w:val="2"/>
          <w:sz w:val="24"/>
          <w:szCs w:val="24"/>
          <w:highlight w:val="none"/>
          <w:u w:val="none"/>
          <w:lang w:val="en-US" w:eastAsia="zh-CN" w:bidi="ar-SA"/>
        </w:rPr>
        <w:t>近岸海域生态空间总体</w:t>
      </w:r>
      <w:r>
        <w:rPr>
          <w:rFonts w:hint="default" w:ascii="黑体" w:hAnsi="黑体" w:eastAsia="黑体" w:cs="Times New Roman"/>
          <w:color w:val="auto"/>
          <w:kern w:val="2"/>
          <w:sz w:val="24"/>
          <w:szCs w:val="24"/>
          <w:highlight w:val="none"/>
          <w:u w:val="none"/>
          <w:lang w:val="en-US" w:eastAsia="zh-CN" w:bidi="ar-SA"/>
        </w:rPr>
        <w:t>生态环境</w:t>
      </w:r>
      <w:r>
        <w:rPr>
          <w:rFonts w:ascii="黑体" w:hAnsi="黑体" w:eastAsia="黑体" w:cs="Times New Roman"/>
          <w:color w:val="auto"/>
          <w:kern w:val="2"/>
          <w:sz w:val="24"/>
          <w:szCs w:val="24"/>
          <w:highlight w:val="none"/>
          <w:u w:val="none"/>
          <w:lang w:val="en-US" w:eastAsia="zh-CN" w:bidi="ar-SA"/>
        </w:rPr>
        <w:t>准入</w:t>
      </w:r>
      <w:r>
        <w:rPr>
          <w:rFonts w:hint="default" w:ascii="黑体" w:hAnsi="黑体" w:eastAsia="黑体" w:cs="Times New Roman"/>
          <w:color w:val="auto"/>
          <w:kern w:val="2"/>
          <w:sz w:val="24"/>
          <w:szCs w:val="24"/>
          <w:highlight w:val="none"/>
          <w:u w:val="none"/>
          <w:lang w:val="en-US" w:eastAsia="zh-CN" w:bidi="ar-SA"/>
        </w:rPr>
        <w:t>及管控</w:t>
      </w:r>
      <w:r>
        <w:rPr>
          <w:rFonts w:ascii="黑体" w:hAnsi="黑体" w:eastAsia="黑体" w:cs="Times New Roman"/>
          <w:color w:val="auto"/>
          <w:kern w:val="2"/>
          <w:sz w:val="24"/>
          <w:szCs w:val="24"/>
          <w:highlight w:val="none"/>
          <w:u w:val="none"/>
          <w:lang w:val="en-US" w:eastAsia="zh-CN" w:bidi="ar-SA"/>
        </w:rPr>
        <w:t>要求</w:t>
      </w:r>
      <w:bookmarkEnd w:id="36"/>
      <w:bookmarkEnd w:id="37"/>
      <w:bookmarkEnd w:id="38"/>
      <w:bookmarkEnd w:id="39"/>
      <w:bookmarkEnd w:id="40"/>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0"/>
        <w:gridCol w:w="1383"/>
        <w:gridCol w:w="1113"/>
        <w:gridCol w:w="17487"/>
      </w:tblGrid>
      <w:tr w14:paraId="379B3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0" w:type="auto"/>
            <w:noWrap w:val="0"/>
            <w:vAlign w:val="center"/>
          </w:tcPr>
          <w:p w14:paraId="2CAE826B">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适用分区</w:t>
            </w:r>
          </w:p>
        </w:tc>
        <w:tc>
          <w:tcPr>
            <w:tcW w:w="0" w:type="auto"/>
            <w:noWrap w:val="0"/>
            <w:vAlign w:val="center"/>
          </w:tcPr>
          <w:p w14:paraId="23DED5D5">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适用对象</w:t>
            </w:r>
          </w:p>
        </w:tc>
        <w:tc>
          <w:tcPr>
            <w:tcW w:w="0" w:type="auto"/>
            <w:noWrap w:val="0"/>
            <w:vAlign w:val="center"/>
          </w:tcPr>
          <w:p w14:paraId="23C9EF25">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管控要求类别</w:t>
            </w:r>
          </w:p>
        </w:tc>
        <w:tc>
          <w:tcPr>
            <w:tcW w:w="0" w:type="auto"/>
            <w:noWrap w:val="0"/>
            <w:vAlign w:val="center"/>
          </w:tcPr>
          <w:p w14:paraId="5458BE0C">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生态环境准入及管控要求</w:t>
            </w:r>
          </w:p>
        </w:tc>
      </w:tr>
      <w:tr w14:paraId="034E5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9" w:hRule="atLeast"/>
          <w:jc w:val="center"/>
        </w:trPr>
        <w:tc>
          <w:tcPr>
            <w:tcW w:w="0" w:type="auto"/>
            <w:vMerge w:val="restart"/>
            <w:noWrap w:val="0"/>
            <w:vAlign w:val="center"/>
          </w:tcPr>
          <w:p w14:paraId="312D9875">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优先保护单元</w:t>
            </w:r>
          </w:p>
        </w:tc>
        <w:tc>
          <w:tcPr>
            <w:tcW w:w="0" w:type="auto"/>
            <w:noWrap w:val="0"/>
            <w:vAlign w:val="center"/>
          </w:tcPr>
          <w:p w14:paraId="640A2239">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近岸海域生态</w:t>
            </w:r>
          </w:p>
          <w:p w14:paraId="57BB7A66">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保护红线</w:t>
            </w:r>
          </w:p>
        </w:tc>
        <w:tc>
          <w:tcPr>
            <w:tcW w:w="0" w:type="auto"/>
            <w:noWrap w:val="0"/>
            <w:vAlign w:val="center"/>
          </w:tcPr>
          <w:p w14:paraId="0C47D536">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空间布局约束</w:t>
            </w:r>
          </w:p>
        </w:tc>
        <w:tc>
          <w:tcPr>
            <w:tcW w:w="0" w:type="auto"/>
            <w:noWrap w:val="0"/>
            <w:vAlign w:val="center"/>
          </w:tcPr>
          <w:p w14:paraId="451BF38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1</w:t>
            </w:r>
            <w:r>
              <w:rPr>
                <w:rFonts w:ascii="Times New Roman" w:hAnsi="宋体" w:eastAsia="宋体" w:cs="Times New Roman"/>
                <w:bCs/>
                <w:color w:val="auto"/>
                <w:szCs w:val="21"/>
                <w:highlight w:val="none"/>
                <w:u w:val="none"/>
              </w:rPr>
              <w:t>．</w:t>
            </w:r>
            <w:r>
              <w:rPr>
                <w:rFonts w:ascii="Times New Roman" w:hAnsi="宋体" w:eastAsia="宋体" w:cs="Times New Roman"/>
                <w:color w:val="auto"/>
                <w:szCs w:val="21"/>
                <w:highlight w:val="none"/>
                <w:u w:val="none"/>
              </w:rPr>
              <w:t>生态保护红线内，自然保护地核心保护区内原则上</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人为活动，自然保护地核心保护区外，</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开发性、生产性建设活动，在符合法律法规的前提下，仅允许对生态功能不造成破坏的有限人为活动。有限人为活动主要包括：</w:t>
            </w:r>
          </w:p>
          <w:p w14:paraId="1CDADA5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）管</w:t>
            </w:r>
            <w:r>
              <w:rPr>
                <w:rFonts w:hint="eastAsia" w:ascii="Times New Roman" w:hAnsi="宋体" w:cs="Times New Roman"/>
                <w:color w:val="auto"/>
                <w:szCs w:val="21"/>
                <w:highlight w:val="none"/>
                <w:u w:val="none"/>
                <w:lang w:eastAsia="zh-CN"/>
              </w:rPr>
              <w:t>护巡</w:t>
            </w:r>
            <w:r>
              <w:rPr>
                <w:rFonts w:ascii="Times New Roman" w:hAnsi="宋体" w:eastAsia="宋体" w:cs="Times New Roman"/>
                <w:color w:val="auto"/>
                <w:szCs w:val="21"/>
                <w:highlight w:val="none"/>
                <w:u w:val="none"/>
              </w:rPr>
              <w:t>查、保护执法、科学研究、调查监测、测绘导航、防灾减灾救灾、军事国防、疫情防控等活动及相关的必要设施修筑；</w:t>
            </w:r>
          </w:p>
          <w:p w14:paraId="0887EF2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原住居民和其他合法权益主体，允许在不扩大现有建设用地、用海用岛、耕地、水产养殖规模和放牧强度的前提下，开展种植、放牧、捕捞、养殖（不包括投礁型海洋牧场、围海养殖）等活动，修筑必须的生产生活设施。</w:t>
            </w:r>
          </w:p>
          <w:p w14:paraId="452F32D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）按规定对人工商品林进行抚育采伐、择伐、果实采摘、更新改造，或以提升森林质量、优化栖息地、建设生物防火隔离带、林业有害生物防治等为目的的树种更新，依法开展的竹林采伐经营；</w:t>
            </w:r>
          </w:p>
          <w:p w14:paraId="44E63A5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）地质调查与矿产资源勘查开采。包括：基础地质调查和战略性矿产资源远景调查等公益性工作；</w:t>
            </w:r>
          </w:p>
          <w:p w14:paraId="51F8774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）经依法批准的考古调查发掘、古生物化石调查发掘、标本采集和文物保护活动。</w:t>
            </w:r>
          </w:p>
          <w:p w14:paraId="0BAB3319">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6</w:t>
            </w:r>
            <w:r>
              <w:rPr>
                <w:rFonts w:ascii="Times New Roman" w:hAnsi="宋体" w:eastAsia="宋体" w:cs="Times New Roman"/>
                <w:color w:val="auto"/>
                <w:szCs w:val="21"/>
                <w:highlight w:val="none"/>
                <w:u w:val="none"/>
              </w:rPr>
              <w:t>）不破坏生态功能的适度参观旅游、科普宣教及符合相关规划的配套性服务设施和相关的必要公共设施建设及维护；</w:t>
            </w:r>
          </w:p>
          <w:p w14:paraId="57CBB86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7</w:t>
            </w:r>
            <w:r>
              <w:rPr>
                <w:rFonts w:ascii="Times New Roman" w:hAnsi="宋体" w:eastAsia="宋体" w:cs="Times New Roman"/>
                <w:color w:val="auto"/>
                <w:szCs w:val="21"/>
                <w:highlight w:val="none"/>
                <w:u w:val="none"/>
              </w:rPr>
              <w:t>）必须且无法避让、符合县级以上国土空间规划的线性基础设施、通讯和防洪（潮）、供水设施建设和船舶航行、航道疏浚清淤等活动；已有的合法水利、交通运输等设施运行维护改造。</w:t>
            </w:r>
          </w:p>
          <w:p w14:paraId="4AE6B8C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8</w:t>
            </w:r>
            <w:r>
              <w:rPr>
                <w:rFonts w:ascii="Times New Roman" w:hAnsi="宋体" w:eastAsia="宋体" w:cs="Times New Roman"/>
                <w:color w:val="auto"/>
                <w:szCs w:val="21"/>
                <w:highlight w:val="none"/>
                <w:u w:val="none"/>
              </w:rPr>
              <w:t>）依据县级以上国土空间规划和生态保护修复专项规划开展的生态修复，包括山水林田湖草海湿地生态保护修复、废弃矿山生态修复等。</w:t>
            </w:r>
          </w:p>
          <w:p w14:paraId="56F4CE7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9</w:t>
            </w:r>
            <w:r>
              <w:rPr>
                <w:rFonts w:ascii="Times New Roman" w:hAnsi="宋体" w:eastAsia="宋体" w:cs="Times New Roman"/>
                <w:color w:val="auto"/>
                <w:szCs w:val="21"/>
                <w:highlight w:val="none"/>
                <w:u w:val="none"/>
              </w:rPr>
              <w:t>）根据我国相关法律法规和与邻国签署的国界管理制度协定（条约）开展的边界边境通视道清理以及界务工程的修建、维护和拆除工作。</w:t>
            </w:r>
          </w:p>
          <w:p w14:paraId="7D37C99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10</w:t>
            </w:r>
            <w:r>
              <w:rPr>
                <w:rFonts w:ascii="Times New Roman" w:hAnsi="宋体" w:eastAsia="宋体" w:cs="Times New Roman"/>
                <w:color w:val="auto"/>
                <w:szCs w:val="21"/>
                <w:highlight w:val="none"/>
                <w:u w:val="none"/>
              </w:rPr>
              <w:t>）法律法规规定允许的其他人为活动。</w:t>
            </w:r>
          </w:p>
          <w:p w14:paraId="38BB8B84">
            <w:pPr>
              <w:shd w:val="clear" w:color="auto" w:fill="auto"/>
              <w:adjustRightInd w:val="0"/>
              <w:snapToGrid w:val="0"/>
              <w:rPr>
                <w:rFonts w:ascii="Times New Roman" w:hAnsi="宋体"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．开展允许有限人为活动时</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新增填海造地和新增围海，涉及利用无居民海岛的，原则上仅允许按照相关规定对海岛自然岸线、表面积、岛体、植被改变轻微的低影响利用方式。</w:t>
            </w:r>
          </w:p>
          <w:p w14:paraId="37CD39E8">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．生态保护红线内自然保护区、风景名胜区、重要湿地、地质公园等区域，依照法律法规执行。</w:t>
            </w:r>
          </w:p>
        </w:tc>
      </w:tr>
      <w:tr w14:paraId="65834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vMerge w:val="continue"/>
            <w:noWrap w:val="0"/>
            <w:vAlign w:val="center"/>
          </w:tcPr>
          <w:p w14:paraId="2EB2AFAC">
            <w:pPr>
              <w:shd w:val="clear" w:color="auto" w:fill="auto"/>
              <w:adjustRightInd w:val="0"/>
              <w:snapToGrid w:val="0"/>
              <w:jc w:val="center"/>
              <w:rPr>
                <w:rFonts w:ascii="Times New Roman" w:hAnsi="Times New Roman" w:eastAsia="宋体" w:cs="Times New Roman"/>
                <w:color w:val="auto"/>
                <w:szCs w:val="21"/>
                <w:highlight w:val="none"/>
                <w:u w:val="none"/>
              </w:rPr>
            </w:pPr>
          </w:p>
        </w:tc>
        <w:tc>
          <w:tcPr>
            <w:tcW w:w="0" w:type="auto"/>
            <w:noWrap w:val="0"/>
            <w:vAlign w:val="center"/>
          </w:tcPr>
          <w:p w14:paraId="1FFED397">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海洋类自然保护区</w:t>
            </w:r>
          </w:p>
        </w:tc>
        <w:tc>
          <w:tcPr>
            <w:tcW w:w="0" w:type="auto"/>
            <w:noWrap w:val="0"/>
            <w:vAlign w:val="center"/>
          </w:tcPr>
          <w:p w14:paraId="14DCBCA7">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空间布局约束</w:t>
            </w:r>
          </w:p>
        </w:tc>
        <w:tc>
          <w:tcPr>
            <w:tcW w:w="0" w:type="auto"/>
            <w:noWrap w:val="0"/>
            <w:vAlign w:val="center"/>
          </w:tcPr>
          <w:p w14:paraId="0D23F9FD">
            <w:pPr>
              <w:shd w:val="clear" w:color="auto" w:fill="auto"/>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合浦儒艮国家级自然保护区、各类红树林自然保护区及新建自然保护地参照近岸海域生态保护红线管控要求进行。海洋自然保护区和红树林自然保护区还需符合《中华人民共和国自然保护区条例》《海洋自然保护区管理办法》及《广西壮族自治区红树林资源保护条例》相关管理要求。</w:t>
            </w:r>
          </w:p>
        </w:tc>
      </w:tr>
      <w:tr w14:paraId="3A918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0" w:type="auto"/>
            <w:vMerge w:val="continue"/>
            <w:noWrap w:val="0"/>
            <w:vAlign w:val="center"/>
          </w:tcPr>
          <w:p w14:paraId="28859779">
            <w:pPr>
              <w:shd w:val="clear" w:color="auto" w:fill="auto"/>
              <w:adjustRightInd w:val="0"/>
              <w:snapToGrid w:val="0"/>
              <w:jc w:val="center"/>
              <w:rPr>
                <w:rFonts w:ascii="Times New Roman" w:hAnsi="Times New Roman" w:eastAsia="宋体" w:cs="Times New Roman"/>
                <w:color w:val="auto"/>
                <w:szCs w:val="21"/>
                <w:highlight w:val="none"/>
                <w:u w:val="none"/>
              </w:rPr>
            </w:pPr>
          </w:p>
        </w:tc>
        <w:tc>
          <w:tcPr>
            <w:tcW w:w="0" w:type="auto"/>
            <w:noWrap w:val="0"/>
            <w:vAlign w:val="center"/>
          </w:tcPr>
          <w:p w14:paraId="0B6CF10D">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海洋类自然公园</w:t>
            </w:r>
          </w:p>
        </w:tc>
        <w:tc>
          <w:tcPr>
            <w:tcW w:w="0" w:type="auto"/>
            <w:noWrap w:val="0"/>
            <w:vAlign w:val="center"/>
          </w:tcPr>
          <w:p w14:paraId="16A52441">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空间布局约束</w:t>
            </w:r>
          </w:p>
        </w:tc>
        <w:tc>
          <w:tcPr>
            <w:tcW w:w="0" w:type="auto"/>
            <w:noWrap w:val="0"/>
            <w:vAlign w:val="center"/>
          </w:tcPr>
          <w:p w14:paraId="2AF3DD52">
            <w:pPr>
              <w:shd w:val="clear" w:color="auto" w:fill="auto"/>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．在国家级自然公园内开展相关活动和设施建设，</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擅自改变其自然状态和历史风貌。</w:t>
            </w:r>
          </w:p>
          <w:p w14:paraId="3C0253C0">
            <w:pPr>
              <w:shd w:val="clear" w:color="auto" w:fill="auto"/>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擅自在国家级自然公园内从事采矿、开发区、风力光伏电场等不符合管控要求的开发活动。</w:t>
            </w:r>
          </w:p>
          <w:p w14:paraId="6428E51B">
            <w:pPr>
              <w:shd w:val="clear" w:color="auto" w:fill="auto"/>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违规侵占国家级自然公园，排放不符合水污染物排放标准的工业废水、生活污水及其他的废水、污水，倾倒、堆放、丢弃、遗撒固体废物等污染生态环境的行为。</w:t>
            </w:r>
          </w:p>
          <w:p w14:paraId="7DC874F6">
            <w:pPr>
              <w:shd w:val="clear" w:color="auto" w:fill="auto"/>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．国家级自然公园范围内除国家重大项目外，仅允许对生态功能不造成破坏的有限人为活动：</w:t>
            </w:r>
          </w:p>
          <w:p w14:paraId="5E87ABFA">
            <w:pPr>
              <w:shd w:val="clear" w:color="auto" w:fill="auto"/>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）自然公园内居民和其他合法权益主体依法依规开展的生产生活及设施建设；</w:t>
            </w:r>
          </w:p>
          <w:p w14:paraId="5D548ABF">
            <w:pPr>
              <w:shd w:val="clear" w:color="auto" w:fill="auto"/>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）符合自然公园保护管理要求的文化、体育活动和必要的配套设施建设；</w:t>
            </w:r>
          </w:p>
          <w:p w14:paraId="67B24247">
            <w:pPr>
              <w:shd w:val="clear" w:color="auto" w:fill="auto"/>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）符合生态保护红线管控要求的其他活动和设施建设；</w:t>
            </w:r>
          </w:p>
          <w:p w14:paraId="7DBF44BD">
            <w:pPr>
              <w:shd w:val="clear" w:color="auto" w:fill="auto"/>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）法律法规和国家政策允许在自然公园内开展的其他活动。</w:t>
            </w:r>
          </w:p>
          <w:p w14:paraId="407082A0">
            <w:pPr>
              <w:shd w:val="clear" w:color="auto" w:fill="auto"/>
              <w:rPr>
                <w:rFonts w:hint="eastAsia" w:ascii="Times New Roman" w:hAnsi="Times New Roman" w:eastAsia="宋体" w:cs="Times New Roman"/>
                <w:color w:val="auto"/>
                <w:szCs w:val="21"/>
                <w:highlight w:val="none"/>
                <w:u w:val="none"/>
                <w:lang w:eastAsia="zh-CN"/>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严格限制</w:t>
            </w:r>
            <w:r>
              <w:rPr>
                <w:rFonts w:ascii="Times New Roman" w:hAnsi="宋体" w:eastAsia="宋体" w:cs="Times New Roman"/>
                <w:color w:val="auto"/>
                <w:szCs w:val="21"/>
                <w:highlight w:val="none"/>
                <w:u w:val="none"/>
              </w:rPr>
              <w:t>将外来物种引入海洋特别保护区</w:t>
            </w:r>
            <w:r>
              <w:rPr>
                <w:rFonts w:hint="eastAsia" w:ascii="Times New Roman" w:hAnsi="Times New Roman" w:cs="Times New Roman"/>
                <w:color w:val="auto"/>
                <w:szCs w:val="21"/>
                <w:highlight w:val="none"/>
                <w:u w:val="none"/>
                <w:lang w:eastAsia="zh-CN"/>
              </w:rPr>
              <w:t>。</w:t>
            </w:r>
          </w:p>
          <w:p w14:paraId="5FF21444">
            <w:pPr>
              <w:shd w:val="clear" w:color="auto" w:fill="auto"/>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6</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狩猎、采拾鸟卵；砍伐红树林、采挖珊瑚和破坏珊瑚礁；炸鱼、毒鱼、电鱼；擅自采集、加工、销售野生动植物及矿物质制品；移动、污损和破坏海洋特别保护区设施。</w:t>
            </w:r>
          </w:p>
          <w:p w14:paraId="4660FFC5">
            <w:pPr>
              <w:shd w:val="clear" w:color="auto" w:fill="auto"/>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7</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开（围）垦、填埋或者排干湿地，截断湿地水源；挖沙、采矿；倾倒有毒有害物质、废弃物、垃圾；破坏野生动物栖息地和迁徙通道、鱼类洄游通道，滥采滥捕野生动植物；擅自放牧、捕捞、取土、取水、排污、放生；其他破坏湿地及其生态功能的活动。</w:t>
            </w:r>
          </w:p>
        </w:tc>
      </w:tr>
      <w:tr w14:paraId="020A2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vMerge w:val="continue"/>
            <w:noWrap w:val="0"/>
            <w:vAlign w:val="center"/>
          </w:tcPr>
          <w:p w14:paraId="49770B3D">
            <w:pPr>
              <w:shd w:val="clear" w:color="auto" w:fill="auto"/>
              <w:adjustRightInd w:val="0"/>
              <w:snapToGrid w:val="0"/>
              <w:rPr>
                <w:rFonts w:ascii="Times New Roman" w:hAnsi="Times New Roman" w:eastAsia="宋体" w:cs="Times New Roman"/>
                <w:color w:val="auto"/>
                <w:szCs w:val="21"/>
                <w:highlight w:val="none"/>
                <w:u w:val="none"/>
              </w:rPr>
            </w:pPr>
          </w:p>
        </w:tc>
        <w:tc>
          <w:tcPr>
            <w:tcW w:w="0" w:type="auto"/>
            <w:noWrap w:val="0"/>
            <w:vAlign w:val="center"/>
          </w:tcPr>
          <w:p w14:paraId="61AF129C">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红树林湿地</w:t>
            </w:r>
          </w:p>
        </w:tc>
        <w:tc>
          <w:tcPr>
            <w:tcW w:w="0" w:type="auto"/>
            <w:noWrap w:val="0"/>
            <w:vAlign w:val="center"/>
          </w:tcPr>
          <w:p w14:paraId="0E74A49F">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空间布局约束</w:t>
            </w:r>
          </w:p>
        </w:tc>
        <w:tc>
          <w:tcPr>
            <w:tcW w:w="0" w:type="auto"/>
            <w:noWrap w:val="0"/>
            <w:vAlign w:val="center"/>
          </w:tcPr>
          <w:p w14:paraId="23DE160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1</w:t>
            </w:r>
            <w:r>
              <w:rPr>
                <w:rFonts w:ascii="Times New Roman" w:hAnsi="宋体" w:eastAsia="宋体" w:cs="Times New Roman"/>
                <w:bCs/>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捡拾、损坏鸟蛋和雏鸟、鸟巢，</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以鸣笛、鸣炮、追赶等方式惊吓野生水禽，</w:t>
            </w:r>
            <w:r>
              <w:rPr>
                <w:rFonts w:ascii="Times New Roman" w:hAnsi="宋体" w:eastAsia="宋体" w:cs="Times New Roman"/>
                <w:b/>
                <w:bCs/>
                <w:color w:val="auto"/>
                <w:szCs w:val="21"/>
                <w:highlight w:val="none"/>
                <w:u w:val="none"/>
              </w:rPr>
              <w:t>不得</w:t>
            </w:r>
            <w:r>
              <w:rPr>
                <w:rFonts w:ascii="Times New Roman" w:hAnsi="宋体" w:eastAsia="宋体" w:cs="Times New Roman"/>
                <w:color w:val="auto"/>
                <w:szCs w:val="21"/>
                <w:highlight w:val="none"/>
                <w:u w:val="none"/>
              </w:rPr>
              <w:t>干扰鸟类觅食、繁殖。</w:t>
            </w:r>
          </w:p>
          <w:p w14:paraId="2D4F26F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放牧、狩猎、捕捞、采药、挖塘、填海造地、围堤、开垦、烧荒、开矿、采石、挖沙、取土。</w:t>
            </w:r>
          </w:p>
          <w:p w14:paraId="0DDB4AA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bCs/>
                <w:color w:val="auto"/>
                <w:szCs w:val="21"/>
                <w:highlight w:val="none"/>
                <w:u w:val="none"/>
              </w:rPr>
              <w:t>3</w:t>
            </w:r>
            <w:r>
              <w:rPr>
                <w:rFonts w:ascii="Times New Roman" w:hAnsi="宋体" w:eastAsia="宋体" w:cs="Times New Roman"/>
                <w:bCs/>
                <w:color w:val="auto"/>
                <w:szCs w:val="21"/>
                <w:highlight w:val="none"/>
                <w:u w:val="none"/>
              </w:rPr>
              <w:t>．</w:t>
            </w:r>
            <w:r>
              <w:rPr>
                <w:rFonts w:ascii="Times New Roman" w:hAnsi="宋体" w:eastAsia="宋体" w:cs="Times New Roman"/>
                <w:b/>
                <w:color w:val="auto"/>
                <w:szCs w:val="21"/>
                <w:highlight w:val="none"/>
                <w:u w:val="none"/>
              </w:rPr>
              <w:t>禁止</w:t>
            </w:r>
            <w:r>
              <w:rPr>
                <w:rFonts w:ascii="Times New Roman" w:hAnsi="宋体" w:eastAsia="宋体" w:cs="Times New Roman"/>
                <w:color w:val="auto"/>
                <w:szCs w:val="21"/>
                <w:highlight w:val="none"/>
                <w:u w:val="none"/>
              </w:rPr>
              <w:t>排放有毒有害物质或者倾倒固体、液体废弃物。</w:t>
            </w:r>
          </w:p>
          <w:p w14:paraId="6F6889F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投放、种植妨碍红树林生长的物种或者擅自引进外来物种。</w:t>
            </w:r>
          </w:p>
          <w:p w14:paraId="67002C32">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其他破坏红树林资源的行为。</w:t>
            </w:r>
          </w:p>
          <w:p w14:paraId="059119AA">
            <w:pPr>
              <w:shd w:val="clear" w:color="auto" w:fill="auto"/>
              <w:adjustRightInd w:val="0"/>
              <w:snapToGrid w:val="0"/>
              <w:rPr>
                <w:rFonts w:ascii="Times New Roman" w:hAnsi="Times New Roman" w:eastAsia="宋体" w:cs="Times New Roman"/>
                <w:bCs/>
                <w:color w:val="auto"/>
                <w:szCs w:val="21"/>
                <w:highlight w:val="none"/>
                <w:u w:val="none"/>
              </w:rPr>
            </w:pPr>
            <w:r>
              <w:rPr>
                <w:rFonts w:ascii="Times New Roman" w:hAnsi="Times New Roman" w:eastAsia="宋体" w:cs="Times New Roman"/>
                <w:bCs/>
                <w:color w:val="auto"/>
                <w:szCs w:val="21"/>
                <w:highlight w:val="none"/>
                <w:u w:val="none"/>
              </w:rPr>
              <w:t>6</w:t>
            </w:r>
            <w:r>
              <w:rPr>
                <w:rFonts w:ascii="Times New Roman" w:hAnsi="宋体" w:eastAsia="宋体" w:cs="Times New Roman"/>
                <w:bCs/>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采伐、采挖、移植红树林或者过度采摘红树林种子，</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投放、种植危害红树林生长的物种。因科研、医药或者红树林湿地保护等需要采伐、采挖、移植、采摘的，应当依照有关法律法规办理。</w:t>
            </w:r>
          </w:p>
          <w:p w14:paraId="0F2EF4AF">
            <w:pPr>
              <w:shd w:val="clear" w:color="auto" w:fill="auto"/>
              <w:adjustRightInd w:val="0"/>
              <w:snapToGrid w:val="0"/>
              <w:rPr>
                <w:rFonts w:hint="eastAsia" w:ascii="Times New Roman" w:hAnsi="Times New Roman" w:eastAsia="宋体" w:cs="Times New Roman"/>
                <w:color w:val="auto"/>
                <w:szCs w:val="21"/>
                <w:highlight w:val="none"/>
                <w:u w:val="none"/>
                <w:lang w:eastAsia="zh-CN"/>
              </w:rPr>
            </w:pPr>
            <w:r>
              <w:rPr>
                <w:rFonts w:ascii="Times New Roman" w:hAnsi="Times New Roman" w:eastAsia="宋体" w:cs="Times New Roman"/>
                <w:color w:val="auto"/>
                <w:szCs w:val="21"/>
                <w:highlight w:val="none"/>
                <w:u w:val="none"/>
              </w:rPr>
              <w:t>7</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占用红树林湿地。经省级以上人民政府有关部门评估，确因国家重大项目、防灾减灾等需要占用的，应当依照有关法律规定办理，并做好保护和修复工作。相关建设项目改变红树林所在河口水文情势、对红树林生长产生较大影响的，应当采取有效措施减轻不利影响</w:t>
            </w:r>
            <w:r>
              <w:rPr>
                <w:rFonts w:hint="eastAsia" w:ascii="Times New Roman" w:hAnsi="宋体" w:eastAsia="宋体" w:cs="Times New Roman"/>
                <w:color w:val="auto"/>
                <w:szCs w:val="21"/>
                <w:highlight w:val="none"/>
                <w:u w:val="none"/>
                <w:lang w:eastAsia="zh-CN"/>
              </w:rPr>
              <w:t>。</w:t>
            </w:r>
          </w:p>
        </w:tc>
      </w:tr>
    </w:tbl>
    <w:p w14:paraId="7FD05BBC">
      <w:pPr>
        <w:keepNext w:val="0"/>
        <w:keepLines w:val="0"/>
        <w:pageBreakBefore w:val="0"/>
        <w:widowControl w:val="0"/>
        <w:kinsoku/>
        <w:wordWrap/>
        <w:overflowPunct/>
        <w:topLinePunct w:val="0"/>
        <w:autoSpaceDE/>
        <w:autoSpaceDN/>
        <w:bidi w:val="0"/>
        <w:adjustRightInd w:val="0"/>
        <w:snapToGrid w:val="0"/>
        <w:jc w:val="center"/>
        <w:textAlignment w:val="auto"/>
        <w:outlineLvl w:val="0"/>
        <w:rPr>
          <w:rFonts w:ascii="黑体" w:hAnsi="Times New Roman" w:eastAsia="黑体" w:cs="Times New Roman"/>
          <w:color w:val="auto"/>
          <w:kern w:val="2"/>
          <w:sz w:val="24"/>
          <w:szCs w:val="24"/>
          <w:highlight w:val="none"/>
          <w:u w:val="none"/>
          <w:lang w:val="en-US" w:eastAsia="zh-CN" w:bidi="ar-SA"/>
        </w:rPr>
      </w:pPr>
      <w:r>
        <w:rPr>
          <w:rFonts w:ascii="黑体" w:hAnsi="Times New Roman" w:eastAsia="黑体" w:cs="Times New Roman"/>
          <w:color w:val="auto"/>
          <w:kern w:val="2"/>
          <w:sz w:val="24"/>
          <w:szCs w:val="24"/>
          <w:highlight w:val="none"/>
          <w:u w:val="none"/>
          <w:lang w:val="en-US" w:eastAsia="zh-CN" w:bidi="ar-SA"/>
        </w:rPr>
        <w:br w:type="page"/>
      </w:r>
      <w:bookmarkStart w:id="41" w:name="_Toc7076"/>
      <w:bookmarkStart w:id="42" w:name="_Toc24958"/>
      <w:bookmarkStart w:id="43" w:name="_Toc8647"/>
      <w:bookmarkStart w:id="44" w:name="_Toc23607"/>
      <w:bookmarkStart w:id="45" w:name="_Toc15554"/>
      <w:r>
        <w:rPr>
          <w:rFonts w:ascii="黑体" w:hAnsi="黑体" w:eastAsia="黑体" w:cs="Times New Roman"/>
          <w:color w:val="auto"/>
          <w:kern w:val="2"/>
          <w:sz w:val="24"/>
          <w:szCs w:val="24"/>
          <w:highlight w:val="none"/>
          <w:u w:val="none"/>
          <w:lang w:val="en-US" w:eastAsia="zh-CN" w:bidi="ar-SA"/>
        </w:rPr>
        <w:t>表</w:t>
      </w:r>
      <w:r>
        <w:rPr>
          <w:rFonts w:ascii="黑体" w:hAnsi="Times New Roman" w:eastAsia="黑体" w:cs="Times New Roman"/>
          <w:color w:val="auto"/>
          <w:kern w:val="2"/>
          <w:sz w:val="24"/>
          <w:szCs w:val="24"/>
          <w:highlight w:val="none"/>
          <w:u w:val="none"/>
          <w:lang w:val="en-US" w:eastAsia="zh-CN" w:bidi="ar-SA"/>
        </w:rPr>
        <w:t xml:space="preserve">1.1-7  </w:t>
      </w:r>
      <w:r>
        <w:rPr>
          <w:rFonts w:ascii="黑体" w:hAnsi="黑体" w:eastAsia="黑体" w:cs="Times New Roman"/>
          <w:color w:val="auto"/>
          <w:kern w:val="2"/>
          <w:sz w:val="24"/>
          <w:szCs w:val="24"/>
          <w:highlight w:val="none"/>
          <w:u w:val="none"/>
          <w:lang w:val="en-US" w:eastAsia="zh-CN" w:bidi="ar-SA"/>
        </w:rPr>
        <w:t>近岸海域重点管控区总体</w:t>
      </w:r>
      <w:r>
        <w:rPr>
          <w:rFonts w:hint="eastAsia" w:ascii="黑体" w:hAnsi="黑体" w:eastAsia="黑体" w:cs="Times New Roman"/>
          <w:color w:val="auto"/>
          <w:kern w:val="2"/>
          <w:sz w:val="24"/>
          <w:szCs w:val="24"/>
          <w:highlight w:val="none"/>
          <w:u w:val="none"/>
          <w:lang w:val="en-US" w:eastAsia="zh-CN" w:bidi="ar-SA"/>
        </w:rPr>
        <w:t>生态环境</w:t>
      </w:r>
      <w:r>
        <w:rPr>
          <w:rFonts w:ascii="黑体" w:hAnsi="黑体" w:eastAsia="黑体" w:cs="Times New Roman"/>
          <w:color w:val="auto"/>
          <w:kern w:val="2"/>
          <w:sz w:val="24"/>
          <w:szCs w:val="24"/>
          <w:highlight w:val="none"/>
          <w:u w:val="none"/>
          <w:lang w:val="en-US" w:eastAsia="zh-CN" w:bidi="ar-SA"/>
        </w:rPr>
        <w:t>准入</w:t>
      </w:r>
      <w:r>
        <w:rPr>
          <w:rFonts w:hint="eastAsia" w:ascii="黑体" w:hAnsi="黑体" w:eastAsia="黑体" w:cs="Times New Roman"/>
          <w:color w:val="auto"/>
          <w:kern w:val="2"/>
          <w:sz w:val="24"/>
          <w:szCs w:val="24"/>
          <w:highlight w:val="none"/>
          <w:u w:val="none"/>
          <w:lang w:val="en-US" w:eastAsia="zh-CN" w:bidi="ar-SA"/>
        </w:rPr>
        <w:t>及管控</w:t>
      </w:r>
      <w:r>
        <w:rPr>
          <w:rFonts w:ascii="黑体" w:hAnsi="黑体" w:eastAsia="黑体" w:cs="Times New Roman"/>
          <w:color w:val="auto"/>
          <w:kern w:val="2"/>
          <w:sz w:val="24"/>
          <w:szCs w:val="24"/>
          <w:highlight w:val="none"/>
          <w:u w:val="none"/>
          <w:lang w:val="en-US" w:eastAsia="zh-CN" w:bidi="ar-SA"/>
        </w:rPr>
        <w:t>要求</w:t>
      </w:r>
      <w:bookmarkEnd w:id="41"/>
      <w:bookmarkEnd w:id="42"/>
      <w:bookmarkEnd w:id="43"/>
      <w:bookmarkEnd w:id="44"/>
      <w:bookmarkEnd w:id="45"/>
    </w:p>
    <w:tbl>
      <w:tblPr>
        <w:tblStyle w:val="1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80"/>
        <w:gridCol w:w="1836"/>
        <w:gridCol w:w="2228"/>
        <w:gridCol w:w="15345"/>
      </w:tblGrid>
      <w:tr w14:paraId="260D8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398" w:type="pct"/>
            <w:noWrap w:val="0"/>
            <w:vAlign w:val="center"/>
          </w:tcPr>
          <w:p w14:paraId="37872E1C">
            <w:pPr>
              <w:pStyle w:val="20"/>
              <w:widowControl w:val="0"/>
              <w:rPr>
                <w:rFonts w:eastAsia="宋体" w:cs="Times New Roman"/>
                <w:color w:val="auto"/>
                <w:kern w:val="2"/>
                <w:szCs w:val="21"/>
                <w:highlight w:val="none"/>
                <w:u w:val="none"/>
                <w:lang w:bidi="ar-SA"/>
              </w:rPr>
            </w:pPr>
            <w:bookmarkStart w:id="46" w:name="_Toc9328"/>
            <w:bookmarkStart w:id="47" w:name="_Toc12267"/>
            <w:bookmarkStart w:id="48" w:name="_Toc28920"/>
            <w:bookmarkStart w:id="49" w:name="_Toc29854"/>
            <w:r>
              <w:rPr>
                <w:rFonts w:hAnsi="宋体" w:eastAsia="宋体" w:cs="Times New Roman"/>
                <w:color w:val="auto"/>
                <w:kern w:val="2"/>
                <w:szCs w:val="21"/>
                <w:highlight w:val="none"/>
                <w:u w:val="none"/>
                <w:lang w:bidi="ar-SA"/>
              </w:rPr>
              <w:t>适用分区</w:t>
            </w:r>
          </w:p>
        </w:tc>
        <w:tc>
          <w:tcPr>
            <w:tcW w:w="435" w:type="pct"/>
            <w:noWrap w:val="0"/>
            <w:vAlign w:val="center"/>
          </w:tcPr>
          <w:p w14:paraId="1B84FD59">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适用对象</w:t>
            </w:r>
          </w:p>
        </w:tc>
        <w:tc>
          <w:tcPr>
            <w:tcW w:w="528" w:type="pct"/>
            <w:noWrap w:val="0"/>
            <w:vAlign w:val="center"/>
          </w:tcPr>
          <w:p w14:paraId="7FFAFCBD">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管控要求类别</w:t>
            </w:r>
          </w:p>
        </w:tc>
        <w:tc>
          <w:tcPr>
            <w:tcW w:w="3636" w:type="pct"/>
            <w:noWrap w:val="0"/>
            <w:vAlign w:val="center"/>
          </w:tcPr>
          <w:p w14:paraId="7CC0121C">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生态环境准入及管控要求</w:t>
            </w:r>
          </w:p>
        </w:tc>
      </w:tr>
      <w:tr w14:paraId="573D4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2" w:hRule="atLeast"/>
          <w:tblHeader/>
          <w:jc w:val="center"/>
        </w:trPr>
        <w:tc>
          <w:tcPr>
            <w:tcW w:w="398" w:type="pct"/>
            <w:vMerge w:val="restart"/>
            <w:noWrap w:val="0"/>
            <w:vAlign w:val="center"/>
          </w:tcPr>
          <w:p w14:paraId="74E32791">
            <w:pPr>
              <w:shd w:val="clear" w:color="auto" w:fill="auto"/>
              <w:adjustRightInd w:val="0"/>
              <w:snapToGrid w:val="0"/>
              <w:jc w:val="center"/>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重点管控单元</w:t>
            </w:r>
          </w:p>
        </w:tc>
        <w:tc>
          <w:tcPr>
            <w:tcW w:w="435" w:type="pct"/>
            <w:noWrap w:val="0"/>
            <w:vAlign w:val="center"/>
          </w:tcPr>
          <w:p w14:paraId="0D998C22">
            <w:pPr>
              <w:shd w:val="clear" w:color="auto" w:fill="auto"/>
              <w:adjustRightInd w:val="0"/>
              <w:snapToGrid w:val="0"/>
              <w:jc w:val="center"/>
              <w:rPr>
                <w:rFonts w:ascii="Times New Roman" w:hAnsi="Times New Roman" w:eastAsia="宋体" w:cs="Times New Roman"/>
                <w:snapToGrid w:val="0"/>
                <w:color w:val="auto"/>
                <w:kern w:val="0"/>
                <w:szCs w:val="21"/>
                <w:highlight w:val="none"/>
                <w:u w:val="none"/>
              </w:rPr>
            </w:pPr>
            <w:r>
              <w:rPr>
                <w:rFonts w:ascii="Times New Roman" w:hAnsi="宋体" w:eastAsia="宋体" w:cs="Times New Roman"/>
                <w:snapToGrid w:val="0"/>
                <w:color w:val="auto"/>
                <w:kern w:val="0"/>
                <w:szCs w:val="21"/>
                <w:highlight w:val="none"/>
                <w:u w:val="none"/>
              </w:rPr>
              <w:t>海洋优化开发</w:t>
            </w:r>
          </w:p>
          <w:p w14:paraId="1D7AF46B">
            <w:pPr>
              <w:shd w:val="clear" w:color="auto" w:fill="auto"/>
              <w:adjustRightInd w:val="0"/>
              <w:snapToGrid w:val="0"/>
              <w:jc w:val="center"/>
              <w:rPr>
                <w:rFonts w:ascii="Times New Roman" w:hAnsi="Times New Roman" w:eastAsia="宋体" w:cs="Times New Roman"/>
                <w:snapToGrid w:val="0"/>
                <w:color w:val="auto"/>
                <w:kern w:val="0"/>
                <w:szCs w:val="21"/>
                <w:highlight w:val="none"/>
                <w:u w:val="none"/>
              </w:rPr>
            </w:pPr>
            <w:r>
              <w:rPr>
                <w:rFonts w:ascii="Times New Roman" w:hAnsi="宋体" w:eastAsia="宋体" w:cs="Times New Roman"/>
                <w:snapToGrid w:val="0"/>
                <w:color w:val="auto"/>
                <w:kern w:val="0"/>
                <w:szCs w:val="21"/>
                <w:highlight w:val="none"/>
                <w:u w:val="none"/>
              </w:rPr>
              <w:t>区域</w:t>
            </w:r>
          </w:p>
        </w:tc>
        <w:tc>
          <w:tcPr>
            <w:tcW w:w="528" w:type="pct"/>
            <w:noWrap w:val="0"/>
            <w:vAlign w:val="center"/>
          </w:tcPr>
          <w:p w14:paraId="1158AA24">
            <w:pPr>
              <w:shd w:val="clear" w:color="auto" w:fill="auto"/>
              <w:adjustRightInd w:val="0"/>
              <w:snapToGrid w:val="0"/>
              <w:jc w:val="center"/>
              <w:rPr>
                <w:rFonts w:ascii="Times New Roman" w:hAnsi="Times New Roman" w:eastAsia="宋体" w:cs="Times New Roman"/>
                <w:snapToGrid w:val="0"/>
                <w:color w:val="auto"/>
                <w:kern w:val="0"/>
                <w:szCs w:val="21"/>
                <w:highlight w:val="none"/>
                <w:u w:val="none"/>
              </w:rPr>
            </w:pPr>
            <w:r>
              <w:rPr>
                <w:rFonts w:ascii="Times New Roman" w:hAnsi="宋体" w:eastAsia="宋体" w:cs="Times New Roman"/>
                <w:snapToGrid w:val="0"/>
                <w:color w:val="auto"/>
                <w:kern w:val="0"/>
                <w:szCs w:val="21"/>
                <w:highlight w:val="none"/>
                <w:u w:val="none"/>
              </w:rPr>
              <w:t>空间布局约束</w:t>
            </w:r>
          </w:p>
        </w:tc>
        <w:tc>
          <w:tcPr>
            <w:tcW w:w="3636" w:type="pct"/>
            <w:noWrap w:val="0"/>
            <w:vAlign w:val="center"/>
          </w:tcPr>
          <w:p w14:paraId="0CA1B3D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．该区域作为全区海洋经济活动主要承载区域，是沿海地区工业化与城镇化发展区域，主要进行用海存量消减，调整产业结构和用海结构。</w:t>
            </w:r>
          </w:p>
          <w:p w14:paraId="1B937E14">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．优化近岸海域空间布局，合理调整海域开发规模和时序，控制开发强度，严格实施围填海总量控制制度。</w:t>
            </w:r>
          </w:p>
          <w:p w14:paraId="3BB6ACA8">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．提高产业准入门槛，推动海洋传统产业技术改造和优化升级，大力发展海洋高技术产业，积极发展现代海洋服务业，推动海洋产业结构向高端、高效、高附加值转变。</w:t>
            </w:r>
          </w:p>
          <w:p w14:paraId="100FFCC5">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．推进海洋经济绿色发展，积极开发利用海水资源、海洋可再生能源。</w:t>
            </w:r>
          </w:p>
          <w:p w14:paraId="0A37232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．严格控制陆源污染物排放，加强重要河口海湾污染整治和生态修复，规范入海排污口设置。</w:t>
            </w:r>
          </w:p>
          <w:p w14:paraId="1B704AE7">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6</w:t>
            </w:r>
            <w:r>
              <w:rPr>
                <w:rFonts w:ascii="Times New Roman" w:hAnsi="宋体" w:eastAsia="宋体" w:cs="Times New Roman"/>
                <w:color w:val="auto"/>
                <w:szCs w:val="21"/>
                <w:highlight w:val="none"/>
                <w:u w:val="none"/>
              </w:rPr>
              <w:t>．有效保护自然岸线和典型海洋生态系统，提高海洋生态服务功能，增强海洋碳汇功能。</w:t>
            </w:r>
          </w:p>
          <w:p w14:paraId="4A6B20C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7</w:t>
            </w:r>
            <w:r>
              <w:rPr>
                <w:rFonts w:ascii="Times New Roman" w:hAnsi="宋体" w:eastAsia="宋体" w:cs="Times New Roman"/>
                <w:color w:val="auto"/>
                <w:szCs w:val="21"/>
                <w:highlight w:val="none"/>
                <w:u w:val="none"/>
              </w:rPr>
              <w:t>．原则上限制开发利用区域内无居民海岛，国家战略需要、允许开发利用无居民海岛的开发利用，须按照相关法律规定进行，集约、节约、生态化利用，切实做好海岛资源的保护。</w:t>
            </w:r>
          </w:p>
        </w:tc>
      </w:tr>
      <w:tr w14:paraId="2CCDB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5" w:hRule="atLeast"/>
          <w:tblHeader/>
          <w:jc w:val="center"/>
        </w:trPr>
        <w:tc>
          <w:tcPr>
            <w:tcW w:w="398" w:type="pct"/>
            <w:vMerge w:val="continue"/>
            <w:noWrap w:val="0"/>
            <w:vAlign w:val="center"/>
          </w:tcPr>
          <w:p w14:paraId="097EF0AF">
            <w:pPr>
              <w:shd w:val="clear" w:color="auto" w:fill="auto"/>
              <w:adjustRightInd w:val="0"/>
              <w:snapToGrid w:val="0"/>
              <w:jc w:val="center"/>
              <w:rPr>
                <w:rFonts w:ascii="Times New Roman" w:hAnsi="Times New Roman" w:eastAsia="宋体" w:cs="Times New Roman"/>
                <w:color w:val="auto"/>
                <w:szCs w:val="21"/>
                <w:highlight w:val="none"/>
                <w:u w:val="none"/>
              </w:rPr>
            </w:pPr>
          </w:p>
        </w:tc>
        <w:tc>
          <w:tcPr>
            <w:tcW w:w="435" w:type="pct"/>
            <w:noWrap w:val="0"/>
            <w:vAlign w:val="center"/>
          </w:tcPr>
          <w:p w14:paraId="2FE32D7B">
            <w:pPr>
              <w:shd w:val="clear" w:color="auto" w:fill="auto"/>
              <w:adjustRightInd w:val="0"/>
              <w:snapToGrid w:val="0"/>
              <w:jc w:val="center"/>
              <w:rPr>
                <w:rFonts w:ascii="Times New Roman" w:hAnsi="Times New Roman" w:eastAsia="宋体" w:cs="Times New Roman"/>
                <w:snapToGrid w:val="0"/>
                <w:color w:val="auto"/>
                <w:kern w:val="0"/>
                <w:szCs w:val="21"/>
                <w:highlight w:val="none"/>
                <w:u w:val="none"/>
              </w:rPr>
            </w:pPr>
            <w:r>
              <w:rPr>
                <w:rFonts w:ascii="Times New Roman" w:hAnsi="宋体" w:eastAsia="宋体" w:cs="Times New Roman"/>
                <w:snapToGrid w:val="0"/>
                <w:color w:val="auto"/>
                <w:kern w:val="0"/>
                <w:szCs w:val="21"/>
                <w:highlight w:val="none"/>
                <w:u w:val="none"/>
              </w:rPr>
              <w:t>海洋重点开发</w:t>
            </w:r>
          </w:p>
          <w:p w14:paraId="1EF5375C">
            <w:pPr>
              <w:shd w:val="clear" w:color="auto" w:fill="auto"/>
              <w:adjustRightInd w:val="0"/>
              <w:snapToGrid w:val="0"/>
              <w:jc w:val="center"/>
              <w:rPr>
                <w:rFonts w:ascii="Times New Roman" w:hAnsi="Times New Roman" w:eastAsia="宋体" w:cs="Times New Roman"/>
                <w:snapToGrid w:val="0"/>
                <w:color w:val="auto"/>
                <w:kern w:val="0"/>
                <w:szCs w:val="21"/>
                <w:highlight w:val="none"/>
                <w:u w:val="none"/>
              </w:rPr>
            </w:pPr>
            <w:r>
              <w:rPr>
                <w:rFonts w:ascii="Times New Roman" w:hAnsi="宋体" w:eastAsia="宋体" w:cs="Times New Roman"/>
                <w:snapToGrid w:val="0"/>
                <w:color w:val="auto"/>
                <w:kern w:val="0"/>
                <w:szCs w:val="21"/>
                <w:highlight w:val="none"/>
                <w:u w:val="none"/>
              </w:rPr>
              <w:t>区域</w:t>
            </w:r>
          </w:p>
        </w:tc>
        <w:tc>
          <w:tcPr>
            <w:tcW w:w="528" w:type="pct"/>
            <w:noWrap w:val="0"/>
            <w:vAlign w:val="center"/>
          </w:tcPr>
          <w:p w14:paraId="025E818E">
            <w:pPr>
              <w:shd w:val="clear" w:color="auto" w:fill="auto"/>
              <w:adjustRightInd w:val="0"/>
              <w:snapToGrid w:val="0"/>
              <w:jc w:val="center"/>
              <w:rPr>
                <w:rFonts w:ascii="Times New Roman" w:hAnsi="Times New Roman" w:eastAsia="宋体" w:cs="Times New Roman"/>
                <w:snapToGrid w:val="0"/>
                <w:color w:val="auto"/>
                <w:kern w:val="0"/>
                <w:szCs w:val="21"/>
                <w:highlight w:val="none"/>
                <w:u w:val="none"/>
              </w:rPr>
            </w:pPr>
            <w:r>
              <w:rPr>
                <w:rFonts w:ascii="Times New Roman" w:hAnsi="宋体" w:eastAsia="宋体" w:cs="Times New Roman"/>
                <w:snapToGrid w:val="0"/>
                <w:color w:val="auto"/>
                <w:kern w:val="0"/>
                <w:szCs w:val="21"/>
                <w:highlight w:val="none"/>
                <w:u w:val="none"/>
              </w:rPr>
              <w:t>空间布局约束</w:t>
            </w:r>
          </w:p>
        </w:tc>
        <w:tc>
          <w:tcPr>
            <w:tcW w:w="3636" w:type="pct"/>
            <w:noWrap w:val="0"/>
            <w:vAlign w:val="center"/>
          </w:tcPr>
          <w:p w14:paraId="39250F9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．严控新增围填海造地。除国家重大战略项目外，全面停止新增围填海项目审批。新增围填海项目要同步强化生态保护修复，边施工边修复，最大程度避免降低生态系统服务功能。</w:t>
            </w:r>
          </w:p>
          <w:p w14:paraId="5C93AC63">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．全区海洋经济活动主要承载区域，沿海地区工业化与城镇化发展空间拓展区域。</w:t>
            </w:r>
          </w:p>
          <w:p w14:paraId="1983CE7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．实施据点式集约开发，严格控制开发活动规模和范围，形成现代海洋产业集群。</w:t>
            </w:r>
          </w:p>
          <w:p w14:paraId="352789C8">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．统筹规划港口、桥梁、隧道及其配套设施等海洋工程建设，形成陆海协调、安全高效的基础设施网络。</w:t>
            </w:r>
          </w:p>
          <w:p w14:paraId="3368604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．加强对重大海洋工程特别是围填海项目的环境影响评价，严格监控临港工业集中区和重大海洋工程施工，防止破坏和污染近岸海洋生态环境。</w:t>
            </w:r>
          </w:p>
          <w:p w14:paraId="70D8F516">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6</w:t>
            </w:r>
            <w:r>
              <w:rPr>
                <w:rFonts w:ascii="Times New Roman" w:hAnsi="宋体" w:eastAsia="宋体" w:cs="Times New Roman"/>
                <w:color w:val="auto"/>
                <w:szCs w:val="21"/>
                <w:highlight w:val="none"/>
                <w:u w:val="none"/>
              </w:rPr>
              <w:t>．加强海洋防灾减灾能力建设。</w:t>
            </w:r>
          </w:p>
          <w:p w14:paraId="19C9315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7</w:t>
            </w:r>
            <w:r>
              <w:rPr>
                <w:rFonts w:ascii="Times New Roman" w:hAnsi="宋体" w:eastAsia="宋体" w:cs="Times New Roman"/>
                <w:color w:val="auto"/>
                <w:szCs w:val="21"/>
                <w:highlight w:val="none"/>
                <w:u w:val="none"/>
              </w:rPr>
              <w:t>．原则上限制开发利用区域内无居民海岛，国家战略需要、允许开发利用无居民海岛的开发利用，须按照相关法律规定进行。</w:t>
            </w:r>
          </w:p>
          <w:p w14:paraId="0F17BD7F">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8</w:t>
            </w:r>
            <w:r>
              <w:rPr>
                <w:rFonts w:ascii="Times New Roman" w:hAnsi="宋体" w:eastAsia="宋体" w:cs="Times New Roman"/>
                <w:color w:val="auto"/>
                <w:szCs w:val="21"/>
                <w:highlight w:val="none"/>
                <w:u w:val="none"/>
              </w:rPr>
              <w:t>．港口航运区域应符合以下管控要求：</w:t>
            </w:r>
          </w:p>
          <w:p w14:paraId="247B541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1</w:t>
            </w:r>
            <w:r>
              <w:rPr>
                <w:rFonts w:ascii="Times New Roman" w:hAnsi="宋体" w:eastAsia="宋体" w:cs="Times New Roman"/>
                <w:color w:val="auto"/>
                <w:szCs w:val="21"/>
                <w:highlight w:val="none"/>
                <w:u w:val="none"/>
              </w:rPr>
              <w:t>）严格按照港口总体规划准入项目。</w:t>
            </w:r>
          </w:p>
          <w:p w14:paraId="5F445B1C">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2</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在港区、锚地、航道、通航密集区、航道与码头前沿线之间的海域以及规定的航路内准入与航运无关</w:t>
            </w:r>
            <w:r>
              <w:rPr>
                <w:rFonts w:hint="eastAsia" w:ascii="Times New Roman" w:hAnsi="宋体" w:cs="Times New Roman"/>
                <w:color w:val="auto"/>
                <w:szCs w:val="21"/>
                <w:highlight w:val="none"/>
                <w:u w:val="none"/>
                <w:lang w:eastAsia="zh-CN"/>
              </w:rPr>
              <w:t>或</w:t>
            </w:r>
            <w:r>
              <w:rPr>
                <w:rFonts w:ascii="Times New Roman" w:hAnsi="宋体" w:eastAsia="宋体" w:cs="Times New Roman"/>
                <w:color w:val="auto"/>
                <w:szCs w:val="21"/>
                <w:highlight w:val="none"/>
                <w:u w:val="none"/>
              </w:rPr>
              <w:t>有碍航行安全的项目。</w:t>
            </w:r>
          </w:p>
          <w:p w14:paraId="217327DE">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w:t>
            </w:r>
            <w:r>
              <w:rPr>
                <w:rFonts w:ascii="Times New Roman" w:hAnsi="宋体" w:eastAsia="宋体" w:cs="Times New Roman"/>
                <w:b/>
                <w:bCs/>
                <w:color w:val="auto"/>
                <w:szCs w:val="21"/>
                <w:highlight w:val="none"/>
                <w:u w:val="none"/>
              </w:rPr>
              <w:t>禁止</w:t>
            </w:r>
            <w:r>
              <w:rPr>
                <w:rFonts w:ascii="Times New Roman" w:hAnsi="宋体" w:eastAsia="宋体" w:cs="Times New Roman"/>
                <w:color w:val="auto"/>
                <w:szCs w:val="21"/>
                <w:highlight w:val="none"/>
                <w:u w:val="none"/>
              </w:rPr>
              <w:t>准入渔业增养殖、捕捞等项目。</w:t>
            </w:r>
          </w:p>
          <w:p w14:paraId="47B73161">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）严格控制准入排放含油废水项目。</w:t>
            </w:r>
          </w:p>
          <w:p w14:paraId="564CCD0A">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宋体" w:eastAsia="宋体" w:cs="Times New Roman"/>
                <w:color w:val="auto"/>
                <w:szCs w:val="21"/>
                <w:highlight w:val="none"/>
                <w:u w:val="none"/>
              </w:rPr>
              <w:t>（</w:t>
            </w: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）港口航道区建设要注意保护临近生态环境。</w:t>
            </w:r>
          </w:p>
        </w:tc>
      </w:tr>
    </w:tbl>
    <w:p w14:paraId="751701FE">
      <w:pPr>
        <w:shd w:val="clear" w:color="auto" w:fill="auto"/>
        <w:rPr>
          <w:rFonts w:ascii="Times New Roman" w:hAnsi="Times New Roman" w:eastAsia="宋体" w:cs="Times New Roman"/>
          <w:color w:val="auto"/>
          <w:szCs w:val="21"/>
          <w:highlight w:val="none"/>
          <w:u w:val="none"/>
        </w:rPr>
      </w:pPr>
    </w:p>
    <w:p w14:paraId="581D2718">
      <w:pPr>
        <w:shd w:val="clear" w:color="auto" w:fill="auto"/>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br w:type="page"/>
      </w:r>
      <w:bookmarkEnd w:id="46"/>
      <w:bookmarkEnd w:id="47"/>
      <w:bookmarkEnd w:id="48"/>
      <w:bookmarkEnd w:id="49"/>
    </w:p>
    <w:bookmarkEnd w:id="10"/>
    <w:p w14:paraId="0D3A6B46">
      <w:pPr>
        <w:pStyle w:val="5"/>
        <w:keepNext/>
        <w:keepLines/>
        <w:pageBreakBefore w:val="0"/>
        <w:widowControl w:val="0"/>
        <w:kinsoku/>
        <w:wordWrap/>
        <w:overflowPunct/>
        <w:topLinePunct w:val="0"/>
        <w:autoSpaceDE/>
        <w:autoSpaceDN/>
        <w:bidi w:val="0"/>
        <w:adjustRightInd w:val="0"/>
        <w:snapToGrid w:val="0"/>
        <w:spacing w:before="156" w:after="156"/>
        <w:jc w:val="both"/>
        <w:textAlignment w:val="auto"/>
        <w:rPr>
          <w:rFonts w:hint="eastAsia" w:ascii="黑体" w:hAnsi="黑体" w:eastAsia="黑体" w:cs="Times New Roman"/>
          <w:color w:val="auto"/>
          <w:szCs w:val="32"/>
          <w:highlight w:val="none"/>
          <w:u w:val="none"/>
          <w:lang w:val="en-US" w:eastAsia="zh-CN" w:bidi="ar-SA"/>
        </w:rPr>
      </w:pPr>
      <w:bookmarkStart w:id="50" w:name="_Toc12647"/>
      <w:bookmarkStart w:id="51" w:name="_Toc32305"/>
      <w:bookmarkStart w:id="52" w:name="_Toc27931"/>
      <w:bookmarkStart w:id="53" w:name="_Toc5924"/>
      <w:bookmarkStart w:id="54" w:name="_Toc30058"/>
      <w:bookmarkStart w:id="55" w:name="_Toc8123"/>
      <w:bookmarkStart w:id="56" w:name="_Toc11329"/>
      <w:bookmarkStart w:id="57" w:name="_Toc17230"/>
      <w:r>
        <w:rPr>
          <w:rFonts w:hint="eastAsia" w:ascii="黑体" w:hAnsi="黑体" w:eastAsia="黑体" w:cs="Times New Roman"/>
          <w:color w:val="auto"/>
          <w:szCs w:val="32"/>
          <w:highlight w:val="none"/>
          <w:u w:val="none"/>
          <w:lang w:val="en-US" w:eastAsia="zh-CN" w:bidi="ar-SA"/>
        </w:rPr>
        <w:t>2四大板块生态环境准入及管控要求</w:t>
      </w:r>
      <w:bookmarkEnd w:id="50"/>
      <w:bookmarkEnd w:id="51"/>
      <w:bookmarkEnd w:id="52"/>
      <w:bookmarkEnd w:id="53"/>
      <w:bookmarkEnd w:id="54"/>
    </w:p>
    <w:p w14:paraId="14810DEA">
      <w:pPr>
        <w:pStyle w:val="6"/>
        <w:keepNext/>
        <w:keepLines/>
        <w:pageBreakBefore w:val="0"/>
        <w:widowControl w:val="0"/>
        <w:kinsoku/>
        <w:wordWrap/>
        <w:overflowPunct/>
        <w:topLinePunct w:val="0"/>
        <w:autoSpaceDE/>
        <w:autoSpaceDN/>
        <w:bidi w:val="0"/>
        <w:adjustRightInd w:val="0"/>
        <w:snapToGrid w:val="0"/>
        <w:spacing w:before="156" w:after="156"/>
        <w:jc w:val="both"/>
        <w:textAlignment w:val="auto"/>
        <w:outlineLvl w:val="0"/>
        <w:rPr>
          <w:rFonts w:ascii="黑体" w:hAnsi="黑体" w:eastAsia="黑体"/>
          <w:color w:val="auto"/>
          <w:kern w:val="2"/>
          <w:szCs w:val="30"/>
          <w:highlight w:val="none"/>
          <w:u w:val="none"/>
          <w:lang w:bidi="ar-SA"/>
        </w:rPr>
      </w:pPr>
      <w:bookmarkStart w:id="58" w:name="_Toc26190"/>
      <w:bookmarkStart w:id="59" w:name="_Toc27325"/>
      <w:bookmarkStart w:id="60" w:name="_Toc11912"/>
      <w:bookmarkStart w:id="61" w:name="_Toc7499"/>
      <w:bookmarkStart w:id="62" w:name="_Toc16456"/>
      <w:r>
        <w:rPr>
          <w:rFonts w:ascii="黑体" w:hAnsi="黑体" w:eastAsia="黑体"/>
          <w:color w:val="auto"/>
          <w:kern w:val="2"/>
          <w:szCs w:val="30"/>
          <w:highlight w:val="none"/>
          <w:u w:val="none"/>
          <w:lang w:bidi="ar-SA"/>
        </w:rPr>
        <w:t>2.1北部湾经济区</w:t>
      </w:r>
      <w:bookmarkEnd w:id="58"/>
      <w:bookmarkEnd w:id="59"/>
      <w:bookmarkEnd w:id="60"/>
      <w:bookmarkEnd w:id="61"/>
      <w:bookmarkEnd w:id="62"/>
    </w:p>
    <w:bookmarkEnd w:id="55"/>
    <w:bookmarkEnd w:id="56"/>
    <w:bookmarkEnd w:id="57"/>
    <w:p w14:paraId="4D100662">
      <w:pPr>
        <w:keepNext w:val="0"/>
        <w:keepLines w:val="0"/>
        <w:pageBreakBefore w:val="0"/>
        <w:widowControl w:val="0"/>
        <w:kinsoku/>
        <w:wordWrap/>
        <w:overflowPunct/>
        <w:topLinePunct w:val="0"/>
        <w:autoSpaceDE/>
        <w:autoSpaceDN/>
        <w:bidi w:val="0"/>
        <w:adjustRightInd w:val="0"/>
        <w:snapToGrid w:val="0"/>
        <w:jc w:val="center"/>
        <w:textAlignment w:val="auto"/>
        <w:outlineLvl w:val="0"/>
        <w:rPr>
          <w:rFonts w:ascii="黑体" w:hAnsi="Times New Roman" w:eastAsia="黑体" w:cs="Times New Roman"/>
          <w:color w:val="auto"/>
          <w:kern w:val="2"/>
          <w:sz w:val="24"/>
          <w:szCs w:val="24"/>
          <w:highlight w:val="none"/>
          <w:u w:val="none"/>
          <w:lang w:val="en-US" w:eastAsia="zh-CN" w:bidi="ar-SA"/>
        </w:rPr>
      </w:pPr>
      <w:bookmarkStart w:id="63" w:name="_Toc23450"/>
      <w:bookmarkStart w:id="64" w:name="_Toc15767"/>
      <w:bookmarkStart w:id="65" w:name="_Toc21519"/>
      <w:bookmarkStart w:id="66" w:name="_Toc25325"/>
      <w:r>
        <w:rPr>
          <w:rFonts w:ascii="黑体" w:hAnsi="黑体" w:eastAsia="黑体" w:cs="Times New Roman"/>
          <w:color w:val="auto"/>
          <w:kern w:val="2"/>
          <w:sz w:val="24"/>
          <w:szCs w:val="24"/>
          <w:highlight w:val="none"/>
          <w:u w:val="none"/>
          <w:lang w:val="en-US" w:eastAsia="zh-CN" w:bidi="ar-SA"/>
        </w:rPr>
        <w:t>表</w:t>
      </w:r>
      <w:r>
        <w:rPr>
          <w:rFonts w:ascii="黑体" w:hAnsi="Times New Roman" w:eastAsia="黑体" w:cs="Times New Roman"/>
          <w:color w:val="auto"/>
          <w:kern w:val="2"/>
          <w:sz w:val="24"/>
          <w:szCs w:val="24"/>
          <w:highlight w:val="none"/>
          <w:u w:val="none"/>
          <w:lang w:val="en-US" w:eastAsia="zh-CN" w:bidi="ar-SA"/>
        </w:rPr>
        <w:t xml:space="preserve">2.1-1  </w:t>
      </w:r>
      <w:r>
        <w:rPr>
          <w:rFonts w:ascii="黑体" w:hAnsi="黑体" w:eastAsia="黑体" w:cs="Times New Roman"/>
          <w:color w:val="auto"/>
          <w:kern w:val="2"/>
          <w:sz w:val="24"/>
          <w:szCs w:val="24"/>
          <w:highlight w:val="none"/>
          <w:u w:val="none"/>
          <w:lang w:val="en-US" w:eastAsia="zh-CN" w:bidi="ar-SA"/>
        </w:rPr>
        <w:t>北部湾经济区生态环境准入及管控要求</w:t>
      </w:r>
      <w:bookmarkEnd w:id="63"/>
      <w:bookmarkEnd w:id="64"/>
      <w:bookmarkEnd w:id="65"/>
      <w:bookmarkEnd w:id="66"/>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8"/>
        <w:gridCol w:w="1589"/>
        <w:gridCol w:w="2389"/>
        <w:gridCol w:w="14759"/>
      </w:tblGrid>
      <w:tr w14:paraId="46EC7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blHeader/>
          <w:jc w:val="center"/>
        </w:trPr>
        <w:tc>
          <w:tcPr>
            <w:tcW w:w="1928" w:type="dxa"/>
            <w:noWrap w:val="0"/>
            <w:vAlign w:val="center"/>
          </w:tcPr>
          <w:p w14:paraId="3D61540E">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适用分区</w:t>
            </w:r>
          </w:p>
        </w:tc>
        <w:tc>
          <w:tcPr>
            <w:tcW w:w="1589" w:type="dxa"/>
            <w:noWrap w:val="0"/>
            <w:vAlign w:val="center"/>
          </w:tcPr>
          <w:p w14:paraId="37FD7F75">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适用对象</w:t>
            </w:r>
          </w:p>
        </w:tc>
        <w:tc>
          <w:tcPr>
            <w:tcW w:w="2389" w:type="dxa"/>
            <w:noWrap w:val="0"/>
            <w:vAlign w:val="center"/>
          </w:tcPr>
          <w:p w14:paraId="4889CBDB">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管控要求类别</w:t>
            </w:r>
          </w:p>
        </w:tc>
        <w:tc>
          <w:tcPr>
            <w:tcW w:w="14759" w:type="dxa"/>
            <w:noWrap w:val="0"/>
            <w:vAlign w:val="center"/>
          </w:tcPr>
          <w:p w14:paraId="455F85D6">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生态环境准入及管控要求</w:t>
            </w:r>
          </w:p>
        </w:tc>
      </w:tr>
      <w:tr w14:paraId="3D27A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3" w:hRule="atLeast"/>
          <w:jc w:val="center"/>
        </w:trPr>
        <w:tc>
          <w:tcPr>
            <w:tcW w:w="1928" w:type="dxa"/>
            <w:vMerge w:val="restart"/>
            <w:noWrap w:val="0"/>
            <w:vAlign w:val="center"/>
          </w:tcPr>
          <w:p w14:paraId="6FA2EC8A">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北部湾经济区</w:t>
            </w:r>
          </w:p>
          <w:p w14:paraId="492A78A6">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全部分区</w:t>
            </w:r>
          </w:p>
        </w:tc>
        <w:tc>
          <w:tcPr>
            <w:tcW w:w="1589" w:type="dxa"/>
            <w:vMerge w:val="restart"/>
            <w:noWrap w:val="0"/>
            <w:vAlign w:val="center"/>
          </w:tcPr>
          <w:p w14:paraId="5CBD3D4D">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北部湾经济区（本清单适用于南宁市、北海市、钦州市、防城港市、玉林市、崇左市）</w:t>
            </w:r>
          </w:p>
        </w:tc>
        <w:tc>
          <w:tcPr>
            <w:tcW w:w="2389" w:type="dxa"/>
            <w:noWrap w:val="0"/>
            <w:vAlign w:val="center"/>
          </w:tcPr>
          <w:p w14:paraId="3E9D4538">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空间布局约束</w:t>
            </w:r>
          </w:p>
        </w:tc>
        <w:tc>
          <w:tcPr>
            <w:tcW w:w="14759" w:type="dxa"/>
            <w:noWrap w:val="0"/>
            <w:vAlign w:val="center"/>
          </w:tcPr>
          <w:p w14:paraId="27476430">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．坚持高质量发展和高水平保护并重，引领广西高质量发展的重要增长极和成为具有区域影响力和带动力的重要增长极，建设宜居宜业宜游蓝色生态湾区。</w:t>
            </w:r>
          </w:p>
          <w:p w14:paraId="4E134586">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．实行严格的资源环境生态红线管控，合理开发和节约资源，加强对水源林、防护林、湿地等生态系统的保护与修复。</w:t>
            </w:r>
          </w:p>
          <w:p w14:paraId="369A4725">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3</w:t>
            </w:r>
            <w:r>
              <w:rPr>
                <w:rFonts w:hAnsi="宋体" w:eastAsia="宋体"/>
                <w:color w:val="auto"/>
                <w:kern w:val="2"/>
                <w:sz w:val="21"/>
                <w:highlight w:val="none"/>
                <w:u w:val="none"/>
                <w:lang w:bidi="ar-SA"/>
              </w:rPr>
              <w:t>．加大滨海湿地保护和修复力度，对红树林、珊瑚礁、海草床等重要海洋生态系统实行最严格的保护措施，加强珍稀濒危物种及重要海洋生态系统的生境保护。加强沿海防护林体系建设，加强对防城江、北仑河、钦江等重要江河源头区、湖库型饮用水源地等区域水土流失预防。推进互花米草防治。</w:t>
            </w:r>
          </w:p>
          <w:p w14:paraId="6BC8973F">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4</w:t>
            </w:r>
            <w:r>
              <w:rPr>
                <w:rFonts w:hAnsi="宋体" w:eastAsia="宋体"/>
                <w:color w:val="auto"/>
                <w:kern w:val="2"/>
                <w:sz w:val="21"/>
                <w:highlight w:val="none"/>
                <w:u w:val="none"/>
                <w:lang w:bidi="ar-SA"/>
              </w:rPr>
              <w:t>．严格围填海管控，</w:t>
            </w:r>
            <w:r>
              <w:rPr>
                <w:rFonts w:hAnsi="宋体" w:eastAsia="宋体"/>
                <w:b/>
                <w:bCs/>
                <w:color w:val="auto"/>
                <w:kern w:val="2"/>
                <w:sz w:val="21"/>
                <w:highlight w:val="none"/>
                <w:u w:val="none"/>
                <w:lang w:bidi="ar-SA"/>
              </w:rPr>
              <w:t>禁止</w:t>
            </w:r>
            <w:r>
              <w:rPr>
                <w:rFonts w:hAnsi="宋体" w:eastAsia="宋体"/>
                <w:color w:val="auto"/>
                <w:kern w:val="2"/>
                <w:sz w:val="21"/>
                <w:highlight w:val="none"/>
                <w:u w:val="none"/>
                <w:lang w:bidi="ar-SA"/>
              </w:rPr>
              <w:t>在海域内实施连岛行动。保护北部湾自然岸线，严格控制岸线利用项目准入门槛。合理有序开发利用滩涂资源。</w:t>
            </w:r>
          </w:p>
          <w:p w14:paraId="3E9232F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5</w:t>
            </w:r>
            <w:r>
              <w:rPr>
                <w:rFonts w:ascii="Times New Roman" w:hAnsi="宋体" w:eastAsia="宋体" w:cs="Times New Roman"/>
                <w:color w:val="auto"/>
                <w:szCs w:val="21"/>
                <w:highlight w:val="none"/>
                <w:u w:val="none"/>
              </w:rPr>
              <w:t>．南流江流域、廉州湾海域超过环境承载力的县市区严格区域主要污染物管控要求，新改扩</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两高</w:t>
            </w:r>
            <w:r>
              <w:rPr>
                <w:rFonts w:hint="eastAsia" w:ascii="Times New Roman" w:hAnsi="Times New Roman" w:cs="Times New Roman"/>
                <w:color w:val="auto"/>
                <w:szCs w:val="21"/>
                <w:highlight w:val="none"/>
                <w:u w:val="none"/>
                <w:lang w:eastAsia="zh-CN"/>
              </w:rPr>
              <w:t>”</w:t>
            </w:r>
            <w:r>
              <w:rPr>
                <w:rFonts w:ascii="Times New Roman" w:hAnsi="宋体" w:eastAsia="宋体" w:cs="Times New Roman"/>
                <w:color w:val="auto"/>
                <w:szCs w:val="21"/>
                <w:highlight w:val="none"/>
                <w:u w:val="none"/>
              </w:rPr>
              <w:t>、重点行业建设项目实行主要污染物区域削减方案。廉州湾沿岸新设排污口选址必须符合《中华人民共和国海洋环境保护法》《防治陆源污染物污染损害海洋环境管理条例》等有关规定。</w:t>
            </w:r>
          </w:p>
          <w:p w14:paraId="7ADF7995">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6</w:t>
            </w:r>
            <w:r>
              <w:rPr>
                <w:rFonts w:hAnsi="宋体" w:eastAsia="宋体"/>
                <w:color w:val="auto"/>
                <w:kern w:val="2"/>
                <w:sz w:val="21"/>
                <w:highlight w:val="none"/>
                <w:u w:val="none"/>
                <w:lang w:bidi="ar-SA"/>
              </w:rPr>
              <w:t>．依法依规推动落后产能有序退出。</w:t>
            </w:r>
          </w:p>
          <w:p w14:paraId="148F2C20">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7</w:t>
            </w:r>
            <w:r>
              <w:rPr>
                <w:rFonts w:hAnsi="宋体" w:eastAsia="宋体"/>
                <w:color w:val="auto"/>
                <w:kern w:val="2"/>
                <w:sz w:val="21"/>
                <w:highlight w:val="none"/>
                <w:u w:val="none"/>
                <w:lang w:bidi="ar-SA"/>
              </w:rPr>
              <w:t>．</w:t>
            </w:r>
            <w:r>
              <w:rPr>
                <w:rFonts w:hAnsi="宋体" w:eastAsia="宋体"/>
                <w:b/>
                <w:bCs/>
                <w:color w:val="auto"/>
                <w:kern w:val="2"/>
                <w:sz w:val="21"/>
                <w:highlight w:val="none"/>
                <w:u w:val="none"/>
                <w:lang w:bidi="ar-SA"/>
              </w:rPr>
              <w:t>严禁</w:t>
            </w:r>
            <w:r>
              <w:rPr>
                <w:rFonts w:hAnsi="宋体" w:eastAsia="宋体"/>
                <w:color w:val="auto"/>
                <w:kern w:val="2"/>
                <w:sz w:val="21"/>
                <w:highlight w:val="none"/>
                <w:u w:val="none"/>
                <w:lang w:bidi="ar-SA"/>
              </w:rPr>
              <w:t>占用运河沿线两岸</w:t>
            </w:r>
            <w:r>
              <w:rPr>
                <w:rFonts w:eastAsia="宋体"/>
                <w:color w:val="auto"/>
                <w:kern w:val="2"/>
                <w:sz w:val="21"/>
                <w:highlight w:val="none"/>
                <w:u w:val="none"/>
                <w:lang w:bidi="ar-SA"/>
              </w:rPr>
              <w:t>1</w:t>
            </w:r>
            <w:r>
              <w:rPr>
                <w:rFonts w:hAnsi="宋体" w:eastAsia="宋体"/>
                <w:color w:val="auto"/>
                <w:kern w:val="2"/>
                <w:sz w:val="21"/>
                <w:highlight w:val="none"/>
                <w:u w:val="none"/>
                <w:lang w:bidi="ar-SA"/>
              </w:rPr>
              <w:t>公里范围内预留作为生态廊道的用地，科学规划平陆运河沿岸生态廊道空间和开发保护核心管制区。</w:t>
            </w:r>
          </w:p>
          <w:p w14:paraId="498C6C0E">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8</w:t>
            </w:r>
            <w:r>
              <w:rPr>
                <w:rFonts w:hAnsi="宋体" w:eastAsia="宋体"/>
                <w:color w:val="auto"/>
                <w:kern w:val="2"/>
                <w:sz w:val="21"/>
                <w:highlight w:val="none"/>
                <w:u w:val="none"/>
                <w:lang w:bidi="ar-SA"/>
              </w:rPr>
              <w:t>．</w:t>
            </w:r>
            <w:r>
              <w:rPr>
                <w:rFonts w:hint="eastAsia" w:hAnsi="宋体"/>
                <w:color w:val="auto"/>
                <w:kern w:val="2"/>
                <w:sz w:val="21"/>
                <w:highlight w:val="none"/>
                <w:u w:val="none"/>
                <w:lang w:eastAsia="zh-CN" w:bidi="ar-SA"/>
              </w:rPr>
              <w:t>执行</w:t>
            </w:r>
            <w:r>
              <w:rPr>
                <w:rFonts w:hAnsi="宋体" w:eastAsia="宋体"/>
                <w:color w:val="auto"/>
                <w:kern w:val="2"/>
                <w:sz w:val="21"/>
                <w:highlight w:val="none"/>
                <w:u w:val="none"/>
                <w:lang w:bidi="ar-SA"/>
              </w:rPr>
              <w:t>平陆运河绿色工程防范管控重点清单、打造特色亮点清单，平陆运河绿色工程评估指标体系。</w:t>
            </w:r>
          </w:p>
        </w:tc>
      </w:tr>
      <w:tr w14:paraId="5BDF1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3" w:hRule="atLeast"/>
          <w:jc w:val="center"/>
        </w:trPr>
        <w:tc>
          <w:tcPr>
            <w:tcW w:w="1928" w:type="dxa"/>
            <w:vMerge w:val="continue"/>
            <w:noWrap w:val="0"/>
            <w:vAlign w:val="center"/>
          </w:tcPr>
          <w:p w14:paraId="5953EAC6">
            <w:pPr>
              <w:pStyle w:val="18"/>
              <w:widowControl w:val="0"/>
              <w:jc w:val="both"/>
              <w:rPr>
                <w:rFonts w:eastAsia="宋体"/>
                <w:color w:val="auto"/>
                <w:kern w:val="2"/>
                <w:sz w:val="21"/>
                <w:highlight w:val="none"/>
                <w:u w:val="none"/>
                <w:lang w:bidi="ar-SA"/>
              </w:rPr>
            </w:pPr>
          </w:p>
        </w:tc>
        <w:tc>
          <w:tcPr>
            <w:tcW w:w="1589" w:type="dxa"/>
            <w:vMerge w:val="continue"/>
            <w:noWrap w:val="0"/>
            <w:vAlign w:val="center"/>
          </w:tcPr>
          <w:p w14:paraId="098CD801">
            <w:pPr>
              <w:pStyle w:val="18"/>
              <w:widowControl w:val="0"/>
              <w:jc w:val="center"/>
              <w:rPr>
                <w:rFonts w:eastAsia="宋体"/>
                <w:color w:val="auto"/>
                <w:kern w:val="2"/>
                <w:sz w:val="21"/>
                <w:highlight w:val="none"/>
                <w:u w:val="none"/>
                <w:lang w:bidi="ar-SA"/>
              </w:rPr>
            </w:pPr>
          </w:p>
        </w:tc>
        <w:tc>
          <w:tcPr>
            <w:tcW w:w="2389" w:type="dxa"/>
            <w:noWrap w:val="0"/>
            <w:vAlign w:val="center"/>
          </w:tcPr>
          <w:p w14:paraId="6BFBD110">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污染物排放管控</w:t>
            </w:r>
          </w:p>
        </w:tc>
        <w:tc>
          <w:tcPr>
            <w:tcW w:w="14759" w:type="dxa"/>
            <w:noWrap w:val="0"/>
            <w:vAlign w:val="center"/>
          </w:tcPr>
          <w:p w14:paraId="6D2A3E97">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坚持陆海统筹，强化重大海域、入海河流、海岸带的生态环境统筹协同管控，开展北部湾沿海城市生态环境综合治理。推行河长制、湖长制，持续推进钦江、南流江、九洲江等流域综合治理，鼓励施行生态养殖和清洁生产，从源头控制生产、生活污水排放。推行湾长制，协同推进近岸海域污染治理，实施蓝色海湾整治行动和北部湾入海河流综合治理工程，严格控制水产养殖污染、港口码头船舶污染、采沙污染。</w:t>
            </w:r>
          </w:p>
          <w:p w14:paraId="601FCA88">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围绕建设蓝色海湾城市群，深入推进北钦防生态环境基础设施一体化，统筹推进北钦防三市生态环境齐保共治。加强港口码头环境保护基础设施建设，重点加强有色矿产、硫磺、煤等堆场配套环保设施建设。建立生态环境联防联治平台和机制，推动建立北部湾城市群跨行政区生态环境保护和生态补偿机制。</w:t>
            </w:r>
          </w:p>
          <w:p w14:paraId="3FBE0C92">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3</w:t>
            </w:r>
            <w:r>
              <w:rPr>
                <w:rFonts w:hAnsi="宋体" w:eastAsia="宋体"/>
                <w:color w:val="auto"/>
                <w:kern w:val="2"/>
                <w:sz w:val="21"/>
                <w:highlight w:val="none"/>
                <w:u w:val="none"/>
                <w:lang w:bidi="ar-SA"/>
              </w:rPr>
              <w:t>．推进区域大气污染联防联控。共同开展重点行业污染整治和重污染天气联合应对，加强挥发性有机化合物（</w:t>
            </w:r>
            <w:r>
              <w:rPr>
                <w:rFonts w:eastAsia="宋体"/>
                <w:color w:val="auto"/>
                <w:kern w:val="2"/>
                <w:sz w:val="21"/>
                <w:highlight w:val="none"/>
                <w:u w:val="none"/>
                <w:lang w:bidi="ar-SA"/>
              </w:rPr>
              <w:t>VOCs</w:t>
            </w:r>
            <w:r>
              <w:rPr>
                <w:rFonts w:hAnsi="宋体" w:eastAsia="宋体"/>
                <w:color w:val="auto"/>
                <w:kern w:val="2"/>
                <w:sz w:val="21"/>
                <w:highlight w:val="none"/>
                <w:u w:val="none"/>
                <w:lang w:bidi="ar-SA"/>
              </w:rPr>
              <w:t>）和氮氧化物（</w:t>
            </w:r>
            <w:r>
              <w:rPr>
                <w:rFonts w:eastAsia="宋体"/>
                <w:color w:val="auto"/>
                <w:kern w:val="2"/>
                <w:sz w:val="21"/>
                <w:highlight w:val="none"/>
                <w:u w:val="none"/>
                <w:lang w:bidi="ar-SA"/>
              </w:rPr>
              <w:t>NOx</w:t>
            </w:r>
            <w:r>
              <w:rPr>
                <w:rFonts w:hAnsi="宋体" w:eastAsia="宋体"/>
                <w:color w:val="auto"/>
                <w:kern w:val="2"/>
                <w:sz w:val="21"/>
                <w:highlight w:val="none"/>
                <w:u w:val="none"/>
                <w:lang w:bidi="ar-SA"/>
              </w:rPr>
              <w:t>）协同控制，协同应对区域多污染物，联合开展空气污染综合治理，改善空气质量。严格城市空气质量达标管理，改善城市环境空气质量，对大气质量改善进度进行监督和考核。</w:t>
            </w:r>
          </w:p>
          <w:p w14:paraId="50DBB094">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4</w:t>
            </w:r>
            <w:r>
              <w:rPr>
                <w:rFonts w:hAnsi="宋体" w:eastAsia="宋体"/>
                <w:color w:val="auto"/>
                <w:kern w:val="2"/>
                <w:sz w:val="21"/>
                <w:highlight w:val="none"/>
                <w:u w:val="none"/>
                <w:lang w:bidi="ar-SA"/>
              </w:rPr>
              <w:t>．严格控制</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两高</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行业项目布局和建设</w:t>
            </w:r>
            <w:r>
              <w:rPr>
                <w:rFonts w:hint="eastAsia" w:hAnsi="宋体"/>
                <w:color w:val="auto"/>
                <w:kern w:val="2"/>
                <w:sz w:val="21"/>
                <w:highlight w:val="none"/>
                <w:u w:val="none"/>
                <w:lang w:eastAsia="zh-CN" w:bidi="ar-SA"/>
              </w:rPr>
              <w:t>，</w:t>
            </w:r>
            <w:r>
              <w:rPr>
                <w:rFonts w:hAnsi="宋体" w:eastAsia="宋体"/>
                <w:color w:val="auto"/>
                <w:kern w:val="2"/>
                <w:sz w:val="21"/>
                <w:highlight w:val="none"/>
                <w:u w:val="none"/>
                <w:lang w:bidi="ar-SA"/>
              </w:rPr>
              <w:t>提升</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两高</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行业清洁生产和减污降碳水平。以碳达峰、碳中和愿景为导向，推动产业转型升级、能源结构优化。开展碳排放权、排污权交易试点。重点管控行业建设项目无主要污染物排放指标来源的，应提出有效的区域削减方案，确保项目投产后区域环境质量不恶化。</w:t>
            </w:r>
          </w:p>
          <w:p w14:paraId="604AA442">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5</w:t>
            </w:r>
            <w:r>
              <w:rPr>
                <w:rFonts w:hAnsi="宋体" w:eastAsia="宋体"/>
                <w:color w:val="auto"/>
                <w:kern w:val="2"/>
                <w:sz w:val="21"/>
                <w:highlight w:val="none"/>
                <w:u w:val="none"/>
                <w:lang w:bidi="ar-SA"/>
              </w:rPr>
              <w:t>．</w:t>
            </w:r>
            <w:r>
              <w:rPr>
                <w:rFonts w:hint="eastAsia" w:hAnsi="宋体"/>
                <w:color w:val="auto"/>
                <w:kern w:val="2"/>
                <w:sz w:val="21"/>
                <w:highlight w:val="none"/>
                <w:u w:val="none"/>
                <w:lang w:eastAsia="zh-CN" w:bidi="ar-SA"/>
              </w:rPr>
              <w:t>以</w:t>
            </w:r>
            <w:r>
              <w:rPr>
                <w:rFonts w:hAnsi="宋体" w:eastAsia="宋体"/>
                <w:color w:val="auto"/>
                <w:kern w:val="2"/>
                <w:sz w:val="21"/>
                <w:highlight w:val="none"/>
                <w:u w:val="none"/>
                <w:lang w:bidi="ar-SA"/>
              </w:rPr>
              <w:t>平陆运河、北部湾港</w:t>
            </w:r>
            <w:r>
              <w:rPr>
                <w:rFonts w:hint="eastAsia" w:hAnsi="宋体"/>
                <w:color w:val="auto"/>
                <w:kern w:val="2"/>
                <w:sz w:val="21"/>
                <w:highlight w:val="none"/>
                <w:u w:val="none"/>
                <w:lang w:eastAsia="zh-CN" w:bidi="ar-SA"/>
              </w:rPr>
              <w:t>为重点，</w:t>
            </w:r>
            <w:r>
              <w:rPr>
                <w:rFonts w:hAnsi="宋体" w:eastAsia="宋体"/>
                <w:color w:val="auto"/>
                <w:kern w:val="2"/>
                <w:sz w:val="21"/>
                <w:highlight w:val="none"/>
                <w:u w:val="none"/>
                <w:lang w:bidi="ar-SA"/>
              </w:rPr>
              <w:t>加强船舶和港口污染防治，加快淘汰老旧船舶，鼓励引导高能耗船舶技术改造升级和提前退出。推动新能源、清洁能源动力船舶应用，加快港口供电设施建设，提高船舶岸电设施使用率。</w:t>
            </w:r>
          </w:p>
          <w:p w14:paraId="69595F61">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6</w:t>
            </w:r>
            <w:r>
              <w:rPr>
                <w:rFonts w:hAnsi="宋体" w:eastAsia="宋体"/>
                <w:color w:val="auto"/>
                <w:kern w:val="2"/>
                <w:sz w:val="21"/>
                <w:highlight w:val="none"/>
                <w:u w:val="none"/>
                <w:lang w:bidi="ar-SA"/>
              </w:rPr>
              <w:t>．平陆运河沿线城市实施生活污水集中处理设施能力提升全覆盖工程，开展城市污水处理设施差别化精准提标改造。</w:t>
            </w:r>
          </w:p>
        </w:tc>
      </w:tr>
      <w:tr w14:paraId="3E151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4" w:hRule="atLeast"/>
          <w:jc w:val="center"/>
        </w:trPr>
        <w:tc>
          <w:tcPr>
            <w:tcW w:w="1928" w:type="dxa"/>
            <w:vMerge w:val="continue"/>
            <w:noWrap w:val="0"/>
            <w:vAlign w:val="center"/>
          </w:tcPr>
          <w:p w14:paraId="62FEE358">
            <w:pPr>
              <w:pStyle w:val="18"/>
              <w:widowControl w:val="0"/>
              <w:jc w:val="both"/>
              <w:rPr>
                <w:rFonts w:eastAsia="宋体"/>
                <w:color w:val="auto"/>
                <w:kern w:val="2"/>
                <w:sz w:val="21"/>
                <w:highlight w:val="none"/>
                <w:u w:val="none"/>
                <w:lang w:bidi="ar-SA"/>
              </w:rPr>
            </w:pPr>
          </w:p>
        </w:tc>
        <w:tc>
          <w:tcPr>
            <w:tcW w:w="1589" w:type="dxa"/>
            <w:vMerge w:val="continue"/>
            <w:noWrap w:val="0"/>
            <w:vAlign w:val="center"/>
          </w:tcPr>
          <w:p w14:paraId="29E31B6F">
            <w:pPr>
              <w:pStyle w:val="18"/>
              <w:widowControl w:val="0"/>
              <w:jc w:val="both"/>
              <w:rPr>
                <w:rFonts w:eastAsia="宋体"/>
                <w:color w:val="auto"/>
                <w:kern w:val="2"/>
                <w:sz w:val="21"/>
                <w:highlight w:val="none"/>
                <w:u w:val="none"/>
                <w:lang w:bidi="ar-SA"/>
              </w:rPr>
            </w:pPr>
          </w:p>
        </w:tc>
        <w:tc>
          <w:tcPr>
            <w:tcW w:w="2389" w:type="dxa"/>
            <w:noWrap w:val="0"/>
            <w:vAlign w:val="center"/>
          </w:tcPr>
          <w:p w14:paraId="1AD27835">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环境风险防控</w:t>
            </w:r>
          </w:p>
        </w:tc>
        <w:tc>
          <w:tcPr>
            <w:tcW w:w="14759" w:type="dxa"/>
            <w:noWrap w:val="0"/>
            <w:vAlign w:val="center"/>
          </w:tcPr>
          <w:p w14:paraId="0945E14D">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．强化沿海工业园区和沿海石油、石化、化工、冶炼及危化品储运等企业的环境风险防控。</w:t>
            </w:r>
          </w:p>
          <w:p w14:paraId="76F6B905">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．建立和完善海上溢油、危险化学品泄漏、赤潮应急反应预案，提升应对海洋突发环境事件能力，防范海上溢油、危险化学品泄漏等重大环境风险。加强海洋环境监测，实施海洋环境预警预报工程。</w:t>
            </w:r>
          </w:p>
          <w:p w14:paraId="04B69D6A">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3</w:t>
            </w:r>
            <w:r>
              <w:rPr>
                <w:rFonts w:hAnsi="宋体" w:eastAsia="宋体"/>
                <w:color w:val="auto"/>
                <w:kern w:val="2"/>
                <w:sz w:val="21"/>
                <w:highlight w:val="none"/>
                <w:u w:val="none"/>
                <w:lang w:bidi="ar-SA"/>
              </w:rPr>
              <w:t>．实行严格的核污染监控管理，提升核安全治理能力，提高核设施安全水平，降低核安全风险，推进放射性污染防治，确保辐射环境质量保持良好，强化核辐射安全监管体系，消除核安全隐患。</w:t>
            </w:r>
          </w:p>
        </w:tc>
      </w:tr>
      <w:tr w14:paraId="54F92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1928" w:type="dxa"/>
            <w:vMerge w:val="continue"/>
            <w:noWrap w:val="0"/>
            <w:vAlign w:val="center"/>
          </w:tcPr>
          <w:p w14:paraId="1793C0E1">
            <w:pPr>
              <w:pStyle w:val="18"/>
              <w:widowControl w:val="0"/>
              <w:jc w:val="both"/>
              <w:rPr>
                <w:rFonts w:eastAsia="宋体"/>
                <w:color w:val="auto"/>
                <w:kern w:val="2"/>
                <w:sz w:val="21"/>
                <w:highlight w:val="none"/>
                <w:u w:val="none"/>
                <w:lang w:bidi="ar-SA"/>
              </w:rPr>
            </w:pPr>
          </w:p>
        </w:tc>
        <w:tc>
          <w:tcPr>
            <w:tcW w:w="1589" w:type="dxa"/>
            <w:vMerge w:val="continue"/>
            <w:noWrap w:val="0"/>
            <w:vAlign w:val="center"/>
          </w:tcPr>
          <w:p w14:paraId="5009E35C">
            <w:pPr>
              <w:pStyle w:val="18"/>
              <w:widowControl w:val="0"/>
              <w:jc w:val="both"/>
              <w:rPr>
                <w:rFonts w:eastAsia="宋体"/>
                <w:color w:val="auto"/>
                <w:kern w:val="2"/>
                <w:sz w:val="21"/>
                <w:highlight w:val="none"/>
                <w:u w:val="none"/>
                <w:lang w:bidi="ar-SA"/>
              </w:rPr>
            </w:pPr>
          </w:p>
        </w:tc>
        <w:tc>
          <w:tcPr>
            <w:tcW w:w="2389" w:type="dxa"/>
            <w:noWrap w:val="0"/>
            <w:vAlign w:val="center"/>
          </w:tcPr>
          <w:p w14:paraId="2DA2882F">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资源开发利用效率要求</w:t>
            </w:r>
          </w:p>
        </w:tc>
        <w:tc>
          <w:tcPr>
            <w:tcW w:w="14759" w:type="dxa"/>
            <w:noWrap w:val="0"/>
            <w:vAlign w:val="center"/>
          </w:tcPr>
          <w:p w14:paraId="60F72BE5">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．严格执行能耗</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双控</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，新建项目能源利用效率应达到国内先进水平。</w:t>
            </w:r>
          </w:p>
          <w:p w14:paraId="25C539A6">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．实施水资源消耗总量和强度</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双控</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w:t>
            </w:r>
          </w:p>
        </w:tc>
      </w:tr>
    </w:tbl>
    <w:p w14:paraId="2C6E0617">
      <w:pPr>
        <w:widowControl/>
        <w:shd w:val="clear" w:color="auto" w:fill="auto"/>
        <w:jc w:val="left"/>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br w:type="page"/>
      </w:r>
    </w:p>
    <w:p w14:paraId="02EBC892">
      <w:pPr>
        <w:pStyle w:val="6"/>
        <w:keepNext/>
        <w:keepLines/>
        <w:pageBreakBefore w:val="0"/>
        <w:widowControl w:val="0"/>
        <w:kinsoku/>
        <w:wordWrap/>
        <w:overflowPunct/>
        <w:topLinePunct w:val="0"/>
        <w:autoSpaceDE/>
        <w:autoSpaceDN/>
        <w:bidi w:val="0"/>
        <w:adjustRightInd w:val="0"/>
        <w:snapToGrid w:val="0"/>
        <w:spacing w:before="156" w:after="156"/>
        <w:jc w:val="both"/>
        <w:textAlignment w:val="auto"/>
        <w:outlineLvl w:val="0"/>
        <w:rPr>
          <w:rFonts w:ascii="黑体" w:hAnsi="黑体" w:eastAsia="黑体"/>
          <w:color w:val="auto"/>
          <w:kern w:val="2"/>
          <w:szCs w:val="30"/>
          <w:highlight w:val="none"/>
          <w:u w:val="none"/>
          <w:lang w:bidi="ar-SA"/>
        </w:rPr>
      </w:pPr>
      <w:bookmarkStart w:id="67" w:name="_Toc10788"/>
      <w:bookmarkStart w:id="68" w:name="_Toc31722"/>
      <w:bookmarkStart w:id="69" w:name="_Toc7622"/>
      <w:bookmarkStart w:id="70" w:name="_Toc30908"/>
      <w:bookmarkStart w:id="71" w:name="_Toc12528"/>
      <w:bookmarkStart w:id="72" w:name="_Toc17997"/>
      <w:bookmarkStart w:id="73" w:name="_Toc22468"/>
      <w:bookmarkStart w:id="74" w:name="_Toc10814"/>
      <w:r>
        <w:rPr>
          <w:rFonts w:ascii="黑体" w:hAnsi="黑体" w:eastAsia="黑体"/>
          <w:color w:val="auto"/>
          <w:kern w:val="2"/>
          <w:szCs w:val="30"/>
          <w:highlight w:val="none"/>
          <w:u w:val="none"/>
          <w:lang w:bidi="ar-SA"/>
        </w:rPr>
        <w:t>2.2左右江革命老区</w:t>
      </w:r>
      <w:bookmarkEnd w:id="67"/>
      <w:bookmarkEnd w:id="68"/>
      <w:bookmarkEnd w:id="69"/>
      <w:bookmarkEnd w:id="70"/>
      <w:bookmarkEnd w:id="71"/>
      <w:bookmarkEnd w:id="72"/>
      <w:bookmarkEnd w:id="73"/>
      <w:bookmarkEnd w:id="74"/>
    </w:p>
    <w:p w14:paraId="0B1F4C53">
      <w:pPr>
        <w:keepNext w:val="0"/>
        <w:keepLines w:val="0"/>
        <w:pageBreakBefore w:val="0"/>
        <w:widowControl w:val="0"/>
        <w:kinsoku/>
        <w:wordWrap/>
        <w:overflowPunct/>
        <w:topLinePunct w:val="0"/>
        <w:autoSpaceDE/>
        <w:autoSpaceDN/>
        <w:bidi w:val="0"/>
        <w:adjustRightInd w:val="0"/>
        <w:snapToGrid w:val="0"/>
        <w:jc w:val="center"/>
        <w:textAlignment w:val="auto"/>
        <w:outlineLvl w:val="0"/>
        <w:rPr>
          <w:rFonts w:ascii="黑体" w:hAnsi="Times New Roman" w:eastAsia="黑体" w:cs="Times New Roman"/>
          <w:color w:val="auto"/>
          <w:kern w:val="2"/>
          <w:sz w:val="24"/>
          <w:szCs w:val="24"/>
          <w:highlight w:val="none"/>
          <w:u w:val="none"/>
          <w:lang w:val="en-US" w:eastAsia="zh-CN" w:bidi="ar-SA"/>
        </w:rPr>
      </w:pPr>
      <w:bookmarkStart w:id="75" w:name="_Toc13496"/>
      <w:bookmarkStart w:id="76" w:name="_Toc29495"/>
      <w:bookmarkStart w:id="77" w:name="_Toc13069"/>
      <w:bookmarkStart w:id="78" w:name="_Toc32722"/>
      <w:r>
        <w:rPr>
          <w:rFonts w:ascii="黑体" w:hAnsi="黑体" w:eastAsia="黑体" w:cs="Times New Roman"/>
          <w:color w:val="auto"/>
          <w:kern w:val="2"/>
          <w:sz w:val="24"/>
          <w:szCs w:val="24"/>
          <w:highlight w:val="none"/>
          <w:u w:val="none"/>
          <w:lang w:val="en-US" w:eastAsia="zh-CN" w:bidi="ar-SA"/>
        </w:rPr>
        <w:t>表</w:t>
      </w:r>
      <w:r>
        <w:rPr>
          <w:rFonts w:ascii="黑体" w:hAnsi="Times New Roman" w:eastAsia="黑体" w:cs="Times New Roman"/>
          <w:color w:val="auto"/>
          <w:kern w:val="2"/>
          <w:sz w:val="24"/>
          <w:szCs w:val="24"/>
          <w:highlight w:val="none"/>
          <w:u w:val="none"/>
          <w:lang w:val="en-US" w:eastAsia="zh-CN" w:bidi="ar-SA"/>
        </w:rPr>
        <w:t xml:space="preserve">2.2-1  </w:t>
      </w:r>
      <w:r>
        <w:rPr>
          <w:rFonts w:ascii="黑体" w:hAnsi="黑体" w:eastAsia="黑体" w:cs="Times New Roman"/>
          <w:color w:val="auto"/>
          <w:kern w:val="2"/>
          <w:sz w:val="24"/>
          <w:szCs w:val="24"/>
          <w:highlight w:val="none"/>
          <w:u w:val="none"/>
          <w:lang w:val="en-US" w:eastAsia="zh-CN" w:bidi="ar-SA"/>
        </w:rPr>
        <w:t>左右江革命老区生态环境准入及管控要求</w:t>
      </w:r>
      <w:bookmarkEnd w:id="75"/>
      <w:bookmarkEnd w:id="76"/>
      <w:bookmarkEnd w:id="77"/>
      <w:bookmarkEnd w:id="78"/>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7"/>
        <w:gridCol w:w="1540"/>
        <w:gridCol w:w="2211"/>
        <w:gridCol w:w="15102"/>
      </w:tblGrid>
      <w:tr w14:paraId="3955E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blHeader/>
          <w:jc w:val="center"/>
        </w:trPr>
        <w:tc>
          <w:tcPr>
            <w:tcW w:w="1977" w:type="dxa"/>
            <w:noWrap w:val="0"/>
            <w:vAlign w:val="center"/>
          </w:tcPr>
          <w:p w14:paraId="170DA822">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适用分区</w:t>
            </w:r>
          </w:p>
        </w:tc>
        <w:tc>
          <w:tcPr>
            <w:tcW w:w="1540" w:type="dxa"/>
            <w:noWrap w:val="0"/>
            <w:vAlign w:val="center"/>
          </w:tcPr>
          <w:p w14:paraId="7A2CB195">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适用对象</w:t>
            </w:r>
          </w:p>
        </w:tc>
        <w:tc>
          <w:tcPr>
            <w:tcW w:w="2211" w:type="dxa"/>
            <w:noWrap w:val="0"/>
            <w:vAlign w:val="center"/>
          </w:tcPr>
          <w:p w14:paraId="5A3CC544">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管控要求类别</w:t>
            </w:r>
          </w:p>
        </w:tc>
        <w:tc>
          <w:tcPr>
            <w:tcW w:w="15102" w:type="dxa"/>
            <w:noWrap w:val="0"/>
            <w:vAlign w:val="center"/>
          </w:tcPr>
          <w:p w14:paraId="41DD5695">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生态环境准入及管控要求</w:t>
            </w:r>
          </w:p>
        </w:tc>
      </w:tr>
      <w:tr w14:paraId="5E655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9" w:hRule="atLeast"/>
          <w:jc w:val="center"/>
        </w:trPr>
        <w:tc>
          <w:tcPr>
            <w:tcW w:w="1977" w:type="dxa"/>
            <w:vMerge w:val="restart"/>
            <w:noWrap w:val="0"/>
            <w:vAlign w:val="center"/>
          </w:tcPr>
          <w:p w14:paraId="3B9AA349">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左右江革命老区</w:t>
            </w:r>
          </w:p>
          <w:p w14:paraId="09C75B5B">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全部分区</w:t>
            </w:r>
          </w:p>
        </w:tc>
        <w:tc>
          <w:tcPr>
            <w:tcW w:w="1540" w:type="dxa"/>
            <w:vMerge w:val="restart"/>
            <w:noWrap w:val="0"/>
            <w:vAlign w:val="center"/>
          </w:tcPr>
          <w:p w14:paraId="50A48C76">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左右江革命老区（本清单适用于百色市、河池市）</w:t>
            </w:r>
          </w:p>
        </w:tc>
        <w:tc>
          <w:tcPr>
            <w:tcW w:w="2211" w:type="dxa"/>
            <w:noWrap w:val="0"/>
            <w:vAlign w:val="center"/>
          </w:tcPr>
          <w:p w14:paraId="748C41B5">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空间布局约束</w:t>
            </w:r>
          </w:p>
        </w:tc>
        <w:tc>
          <w:tcPr>
            <w:tcW w:w="15102" w:type="dxa"/>
            <w:noWrap w:val="0"/>
            <w:vAlign w:val="center"/>
          </w:tcPr>
          <w:p w14:paraId="61170BE7">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．坚持在高水平保护中高质量发展，将生态优势转化为发展优势，实现产业生态化和生态产业化协同发展。</w:t>
            </w:r>
          </w:p>
          <w:p w14:paraId="3E079AA1">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．有序承接产业转移，推进产业集群发展和人口集聚，引导企业入园集聚发展。加快推进新型工业化、城镇化、信息化进程，提高综合承载能力。</w:t>
            </w:r>
          </w:p>
          <w:p w14:paraId="64C0F6AF">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3</w:t>
            </w:r>
            <w:r>
              <w:rPr>
                <w:rFonts w:hAnsi="宋体" w:eastAsia="宋体"/>
                <w:color w:val="auto"/>
                <w:kern w:val="2"/>
                <w:sz w:val="21"/>
                <w:highlight w:val="none"/>
                <w:u w:val="none"/>
                <w:lang w:bidi="ar-SA"/>
              </w:rPr>
              <w:t>．强化矿产资源开发管理和生态修复，大力实施石漠化治理，水土流失综合治理、矿山环境治理等重点生态修复工程，因地制宜开展生态移民。</w:t>
            </w:r>
          </w:p>
          <w:p w14:paraId="5041DC95">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4</w:t>
            </w:r>
            <w:r>
              <w:rPr>
                <w:rFonts w:hAnsi="宋体" w:eastAsia="宋体"/>
                <w:color w:val="auto"/>
                <w:kern w:val="2"/>
                <w:sz w:val="21"/>
                <w:highlight w:val="none"/>
                <w:u w:val="none"/>
                <w:lang w:bidi="ar-SA"/>
              </w:rPr>
              <w:t>．统筹推进左右江流域革命老区山水林田湖生态保护修复工程。加快百色、河池等西江上游地区生态公益林建设，建设生态屏障，提升水源涵养和水土保持功能。探索跨流域、区域横向生态补偿机制，严格控制人为因素对自然生态环境的干扰，维护国家生态安全。</w:t>
            </w:r>
          </w:p>
          <w:p w14:paraId="2E6ED480">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5</w:t>
            </w:r>
            <w:r>
              <w:rPr>
                <w:rFonts w:hAnsi="宋体" w:eastAsia="宋体"/>
                <w:color w:val="auto"/>
                <w:kern w:val="2"/>
                <w:sz w:val="21"/>
                <w:highlight w:val="none"/>
                <w:u w:val="none"/>
                <w:lang w:bidi="ar-SA"/>
              </w:rPr>
              <w:t>．防控农业面源污染，控制化肥、农药使用量。调整种植业结构与布局，在百色、河池等缺水地区鼓励发展节水栽培技术，依据当地气候特点，选用耐旱、耐瘠、抗病的旱地作物新品种；在桂西、桂中南、桂北工矿企业区及喀斯特地貌岩溶地区地下水易受污染地区，优先种植需肥需药量低、环境效益突出的农作物。</w:t>
            </w:r>
          </w:p>
          <w:p w14:paraId="048E13B1">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6</w:t>
            </w:r>
            <w:r>
              <w:rPr>
                <w:rFonts w:hAnsi="宋体" w:eastAsia="宋体"/>
                <w:color w:val="auto"/>
                <w:kern w:val="2"/>
                <w:sz w:val="21"/>
                <w:highlight w:val="none"/>
                <w:u w:val="none"/>
                <w:lang w:bidi="ar-SA"/>
              </w:rPr>
              <w:t>．区直各部门、相关地市人民政府在符合国家法律规范和部门规章要求的前提下，允许在职能范围内对涉边境地区建立相对宽松的约束条件或采用特定快速工作机制开展项目管理，涉及保密的制度和政策按相应管理规定进行。</w:t>
            </w:r>
          </w:p>
        </w:tc>
      </w:tr>
      <w:tr w14:paraId="1C322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57" w:hRule="atLeast"/>
          <w:jc w:val="center"/>
        </w:trPr>
        <w:tc>
          <w:tcPr>
            <w:tcW w:w="1977" w:type="dxa"/>
            <w:vMerge w:val="continue"/>
            <w:noWrap w:val="0"/>
            <w:vAlign w:val="center"/>
          </w:tcPr>
          <w:p w14:paraId="73A98196">
            <w:pPr>
              <w:pStyle w:val="18"/>
              <w:widowControl w:val="0"/>
              <w:jc w:val="center"/>
              <w:rPr>
                <w:rFonts w:eastAsia="宋体"/>
                <w:color w:val="auto"/>
                <w:kern w:val="2"/>
                <w:sz w:val="21"/>
                <w:highlight w:val="none"/>
                <w:u w:val="none"/>
                <w:lang w:bidi="ar-SA"/>
              </w:rPr>
            </w:pPr>
          </w:p>
        </w:tc>
        <w:tc>
          <w:tcPr>
            <w:tcW w:w="1540" w:type="dxa"/>
            <w:vMerge w:val="continue"/>
            <w:noWrap w:val="0"/>
            <w:vAlign w:val="center"/>
          </w:tcPr>
          <w:p w14:paraId="7E3089ED">
            <w:pPr>
              <w:pStyle w:val="18"/>
              <w:widowControl w:val="0"/>
              <w:jc w:val="center"/>
              <w:rPr>
                <w:rFonts w:eastAsia="宋体"/>
                <w:color w:val="auto"/>
                <w:kern w:val="2"/>
                <w:sz w:val="21"/>
                <w:highlight w:val="none"/>
                <w:u w:val="none"/>
                <w:lang w:bidi="ar-SA"/>
              </w:rPr>
            </w:pPr>
          </w:p>
        </w:tc>
        <w:tc>
          <w:tcPr>
            <w:tcW w:w="2211" w:type="dxa"/>
            <w:noWrap w:val="0"/>
            <w:vAlign w:val="center"/>
          </w:tcPr>
          <w:p w14:paraId="0F4FCCF9">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污染物排放管控</w:t>
            </w:r>
          </w:p>
        </w:tc>
        <w:tc>
          <w:tcPr>
            <w:tcW w:w="15102" w:type="dxa"/>
            <w:noWrap w:val="0"/>
            <w:vAlign w:val="center"/>
          </w:tcPr>
          <w:p w14:paraId="247FCAB4">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加强百都河、那布河、平孟河、水口河、难滩河、归春河、平而河等跨国界河流水体的污染防治，提高跨国界水体的环境监测与预警能力，完善区域环保基础设施，探索和建立跨境水体水环境保护长效机制和跨国联动机制。</w:t>
            </w:r>
          </w:p>
          <w:p w14:paraId="5B0493DA">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．涉重金属建设项目实行污染物排放总量控制，加大历史遗留污染场地治理力度，积极开展重金属污染土壤调查与修复试点工作，防范涉重金属环境风险。</w:t>
            </w:r>
          </w:p>
        </w:tc>
      </w:tr>
    </w:tbl>
    <w:p w14:paraId="134820EA">
      <w:pPr>
        <w:widowControl/>
        <w:shd w:val="clear" w:color="auto" w:fill="auto"/>
        <w:jc w:val="left"/>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br w:type="page"/>
      </w:r>
    </w:p>
    <w:p w14:paraId="1F1337E1">
      <w:pPr>
        <w:pStyle w:val="6"/>
        <w:keepNext/>
        <w:keepLines/>
        <w:pageBreakBefore w:val="0"/>
        <w:widowControl w:val="0"/>
        <w:kinsoku/>
        <w:wordWrap/>
        <w:overflowPunct/>
        <w:topLinePunct w:val="0"/>
        <w:autoSpaceDE/>
        <w:autoSpaceDN/>
        <w:bidi w:val="0"/>
        <w:adjustRightInd w:val="0"/>
        <w:snapToGrid w:val="0"/>
        <w:spacing w:before="156" w:after="156"/>
        <w:jc w:val="both"/>
        <w:textAlignment w:val="auto"/>
        <w:outlineLvl w:val="0"/>
        <w:rPr>
          <w:rFonts w:ascii="黑体" w:hAnsi="黑体" w:eastAsia="黑体"/>
          <w:color w:val="auto"/>
          <w:kern w:val="2"/>
          <w:szCs w:val="30"/>
          <w:highlight w:val="none"/>
          <w:u w:val="none"/>
          <w:lang w:bidi="ar-SA"/>
        </w:rPr>
      </w:pPr>
      <w:bookmarkStart w:id="79" w:name="_Toc16370"/>
      <w:bookmarkStart w:id="80" w:name="_Toc6210"/>
      <w:bookmarkStart w:id="81" w:name="_Toc3286"/>
      <w:bookmarkStart w:id="82" w:name="_Toc21340"/>
      <w:bookmarkStart w:id="83" w:name="_Toc11255"/>
      <w:bookmarkStart w:id="84" w:name="_Toc29596"/>
      <w:bookmarkStart w:id="85" w:name="_Toc30701"/>
      <w:bookmarkStart w:id="86" w:name="_Toc451"/>
      <w:r>
        <w:rPr>
          <w:rFonts w:ascii="黑体" w:hAnsi="黑体" w:eastAsia="黑体"/>
          <w:color w:val="auto"/>
          <w:kern w:val="2"/>
          <w:szCs w:val="30"/>
          <w:highlight w:val="none"/>
          <w:u w:val="none"/>
          <w:lang w:bidi="ar-SA"/>
        </w:rPr>
        <w:t>2.3西江经济带</w:t>
      </w:r>
      <w:bookmarkEnd w:id="79"/>
      <w:bookmarkEnd w:id="80"/>
      <w:bookmarkEnd w:id="81"/>
      <w:bookmarkEnd w:id="82"/>
      <w:bookmarkEnd w:id="83"/>
      <w:bookmarkEnd w:id="84"/>
      <w:bookmarkEnd w:id="85"/>
      <w:bookmarkEnd w:id="86"/>
    </w:p>
    <w:p w14:paraId="5492DF56">
      <w:pPr>
        <w:keepNext w:val="0"/>
        <w:keepLines w:val="0"/>
        <w:pageBreakBefore w:val="0"/>
        <w:widowControl w:val="0"/>
        <w:kinsoku/>
        <w:wordWrap/>
        <w:overflowPunct/>
        <w:topLinePunct w:val="0"/>
        <w:autoSpaceDE/>
        <w:autoSpaceDN/>
        <w:bidi w:val="0"/>
        <w:adjustRightInd w:val="0"/>
        <w:snapToGrid w:val="0"/>
        <w:jc w:val="center"/>
        <w:textAlignment w:val="auto"/>
        <w:outlineLvl w:val="0"/>
        <w:rPr>
          <w:rFonts w:ascii="黑体" w:hAnsi="Times New Roman" w:eastAsia="黑体" w:cs="Times New Roman"/>
          <w:color w:val="auto"/>
          <w:kern w:val="2"/>
          <w:sz w:val="24"/>
          <w:szCs w:val="24"/>
          <w:highlight w:val="none"/>
          <w:u w:val="none"/>
          <w:lang w:val="en-US" w:eastAsia="zh-CN" w:bidi="ar-SA"/>
        </w:rPr>
      </w:pPr>
      <w:bookmarkStart w:id="87" w:name="_Toc1072"/>
      <w:bookmarkStart w:id="88" w:name="_Toc26785"/>
      <w:bookmarkStart w:id="89" w:name="_Toc1492"/>
      <w:bookmarkStart w:id="90" w:name="_Toc23850"/>
      <w:r>
        <w:rPr>
          <w:rFonts w:ascii="黑体" w:hAnsi="黑体" w:eastAsia="黑体" w:cs="Times New Roman"/>
          <w:color w:val="auto"/>
          <w:kern w:val="2"/>
          <w:sz w:val="24"/>
          <w:szCs w:val="24"/>
          <w:highlight w:val="none"/>
          <w:u w:val="none"/>
          <w:lang w:val="en-US" w:eastAsia="zh-CN" w:bidi="ar-SA"/>
        </w:rPr>
        <w:t>表</w:t>
      </w:r>
      <w:r>
        <w:rPr>
          <w:rFonts w:ascii="黑体" w:hAnsi="Times New Roman" w:eastAsia="黑体" w:cs="Times New Roman"/>
          <w:color w:val="auto"/>
          <w:kern w:val="2"/>
          <w:sz w:val="24"/>
          <w:szCs w:val="24"/>
          <w:highlight w:val="none"/>
          <w:u w:val="none"/>
          <w:lang w:val="en-US" w:eastAsia="zh-CN" w:bidi="ar-SA"/>
        </w:rPr>
        <w:t xml:space="preserve">2.3-1  </w:t>
      </w:r>
      <w:r>
        <w:rPr>
          <w:rFonts w:ascii="黑体" w:hAnsi="黑体" w:eastAsia="黑体" w:cs="Times New Roman"/>
          <w:color w:val="auto"/>
          <w:kern w:val="2"/>
          <w:sz w:val="24"/>
          <w:szCs w:val="24"/>
          <w:highlight w:val="none"/>
          <w:u w:val="none"/>
          <w:lang w:val="en-US" w:eastAsia="zh-CN" w:bidi="ar-SA"/>
        </w:rPr>
        <w:t>西江经济带生态环境准入及管控要求</w:t>
      </w:r>
      <w:bookmarkEnd w:id="87"/>
      <w:bookmarkEnd w:id="88"/>
      <w:bookmarkEnd w:id="89"/>
      <w:bookmarkEnd w:id="90"/>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7"/>
        <w:gridCol w:w="1537"/>
        <w:gridCol w:w="2337"/>
        <w:gridCol w:w="14454"/>
      </w:tblGrid>
      <w:tr w14:paraId="5511E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blHeader/>
          <w:jc w:val="center"/>
        </w:trPr>
        <w:tc>
          <w:tcPr>
            <w:tcW w:w="1987" w:type="dxa"/>
            <w:noWrap w:val="0"/>
            <w:vAlign w:val="center"/>
          </w:tcPr>
          <w:p w14:paraId="62E8F961">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适用分区</w:t>
            </w:r>
          </w:p>
        </w:tc>
        <w:tc>
          <w:tcPr>
            <w:tcW w:w="1537" w:type="dxa"/>
            <w:noWrap w:val="0"/>
            <w:vAlign w:val="center"/>
          </w:tcPr>
          <w:p w14:paraId="326279ED">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适用对象</w:t>
            </w:r>
          </w:p>
        </w:tc>
        <w:tc>
          <w:tcPr>
            <w:tcW w:w="2337" w:type="dxa"/>
            <w:noWrap w:val="0"/>
            <w:vAlign w:val="center"/>
          </w:tcPr>
          <w:p w14:paraId="4B9B50DE">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管控要求类别</w:t>
            </w:r>
          </w:p>
        </w:tc>
        <w:tc>
          <w:tcPr>
            <w:tcW w:w="14454" w:type="dxa"/>
            <w:noWrap w:val="0"/>
            <w:vAlign w:val="center"/>
          </w:tcPr>
          <w:p w14:paraId="266BD8FE">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生态环境准入及管控要求</w:t>
            </w:r>
          </w:p>
        </w:tc>
      </w:tr>
      <w:tr w14:paraId="3472B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2" w:hRule="atLeast"/>
          <w:jc w:val="center"/>
        </w:trPr>
        <w:tc>
          <w:tcPr>
            <w:tcW w:w="1987" w:type="dxa"/>
            <w:vMerge w:val="restart"/>
            <w:noWrap w:val="0"/>
            <w:vAlign w:val="center"/>
          </w:tcPr>
          <w:p w14:paraId="6DDBAAA4">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西江经济带</w:t>
            </w:r>
          </w:p>
          <w:p w14:paraId="04951C53">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全部分区</w:t>
            </w:r>
          </w:p>
        </w:tc>
        <w:tc>
          <w:tcPr>
            <w:tcW w:w="1537" w:type="dxa"/>
            <w:vMerge w:val="restart"/>
            <w:noWrap w:val="0"/>
            <w:vAlign w:val="center"/>
          </w:tcPr>
          <w:p w14:paraId="16593826">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西江经济带（本清单适用于柳州市、来宾市、贵港市、梧州市和贺州市）</w:t>
            </w:r>
          </w:p>
        </w:tc>
        <w:tc>
          <w:tcPr>
            <w:tcW w:w="2337" w:type="dxa"/>
            <w:noWrap w:val="0"/>
            <w:vAlign w:val="center"/>
          </w:tcPr>
          <w:p w14:paraId="36E1399A">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空间布局约束</w:t>
            </w:r>
          </w:p>
        </w:tc>
        <w:tc>
          <w:tcPr>
            <w:tcW w:w="14454" w:type="dxa"/>
            <w:noWrap w:val="0"/>
            <w:vAlign w:val="center"/>
          </w:tcPr>
          <w:p w14:paraId="53B57101">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．坚持高质量绿色发展，打造成为我国西南中南地区开放发展新的增长极和东西部合作发展示范区，建设区域协调发展和流域生态文明建设示范区。</w:t>
            </w:r>
          </w:p>
          <w:p w14:paraId="4FCE5A1E">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．涉重金属冶炼企业应向基础设施和环境风险防范措施较完善的工业园区布局。</w:t>
            </w:r>
          </w:p>
          <w:p w14:paraId="1979A43D">
            <w:pPr>
              <w:shd w:val="clear" w:color="auto" w:fill="auto"/>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3</w:t>
            </w:r>
            <w:r>
              <w:rPr>
                <w:rFonts w:ascii="Times New Roman" w:hAnsi="宋体" w:eastAsia="宋体" w:cs="Times New Roman"/>
                <w:color w:val="auto"/>
                <w:szCs w:val="21"/>
                <w:highlight w:val="none"/>
                <w:u w:val="none"/>
              </w:rPr>
              <w:t>．依法淘汰落后产能和过剩产能，鼓励发展节能环保等新兴产业。加快西江流域产业结构转型升级，严格控制流域内高耗能高排放行业布局。</w:t>
            </w:r>
          </w:p>
          <w:p w14:paraId="35B343B0">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．西江流域干流沿岸严格控制石油加工、化学原料和化学制品制造、医药制造、化学纤维制造、有色金属冶炼等项目和相关产业的工业园区建设，合理布局生产装置及危险化学品仓储等设施。</w:t>
            </w:r>
          </w:p>
        </w:tc>
      </w:tr>
      <w:tr w14:paraId="07A90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2" w:hRule="atLeast"/>
          <w:jc w:val="center"/>
        </w:trPr>
        <w:tc>
          <w:tcPr>
            <w:tcW w:w="1987" w:type="dxa"/>
            <w:vMerge w:val="continue"/>
            <w:noWrap w:val="0"/>
            <w:vAlign w:val="center"/>
          </w:tcPr>
          <w:p w14:paraId="0F5992CA">
            <w:pPr>
              <w:pStyle w:val="18"/>
              <w:widowControl w:val="0"/>
              <w:jc w:val="both"/>
              <w:rPr>
                <w:rFonts w:eastAsia="宋体"/>
                <w:color w:val="auto"/>
                <w:kern w:val="2"/>
                <w:sz w:val="21"/>
                <w:highlight w:val="none"/>
                <w:u w:val="none"/>
                <w:lang w:bidi="ar-SA"/>
              </w:rPr>
            </w:pPr>
          </w:p>
        </w:tc>
        <w:tc>
          <w:tcPr>
            <w:tcW w:w="1537" w:type="dxa"/>
            <w:vMerge w:val="continue"/>
            <w:noWrap w:val="0"/>
            <w:vAlign w:val="center"/>
          </w:tcPr>
          <w:p w14:paraId="319100D9">
            <w:pPr>
              <w:pStyle w:val="18"/>
              <w:widowControl w:val="0"/>
              <w:jc w:val="center"/>
              <w:rPr>
                <w:rFonts w:eastAsia="宋体"/>
                <w:color w:val="auto"/>
                <w:kern w:val="2"/>
                <w:sz w:val="21"/>
                <w:highlight w:val="none"/>
                <w:u w:val="none"/>
                <w:lang w:bidi="ar-SA"/>
              </w:rPr>
            </w:pPr>
          </w:p>
        </w:tc>
        <w:tc>
          <w:tcPr>
            <w:tcW w:w="2337" w:type="dxa"/>
            <w:noWrap w:val="0"/>
            <w:vAlign w:val="center"/>
          </w:tcPr>
          <w:p w14:paraId="3CF651B3">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污染物排放管控</w:t>
            </w:r>
          </w:p>
        </w:tc>
        <w:tc>
          <w:tcPr>
            <w:tcW w:w="14454" w:type="dxa"/>
            <w:noWrap w:val="0"/>
            <w:vAlign w:val="center"/>
          </w:tcPr>
          <w:p w14:paraId="303FB969">
            <w:pPr>
              <w:pStyle w:val="18"/>
              <w:widowControl w:val="0"/>
              <w:numPr>
                <w:ilvl w:val="0"/>
                <w:numId w:val="1"/>
              </w:numPr>
              <w:jc w:val="both"/>
              <w:rPr>
                <w:rFonts w:eastAsia="宋体"/>
                <w:color w:val="auto"/>
                <w:kern w:val="2"/>
                <w:sz w:val="21"/>
                <w:highlight w:val="none"/>
                <w:u w:val="none"/>
                <w:lang w:bidi="ar-SA"/>
              </w:rPr>
            </w:pPr>
            <w:r>
              <w:rPr>
                <w:rFonts w:hAnsi="宋体" w:eastAsia="宋体"/>
                <w:color w:val="auto"/>
                <w:kern w:val="2"/>
                <w:sz w:val="21"/>
                <w:highlight w:val="none"/>
                <w:u w:val="none"/>
                <w:lang w:bidi="ar-SA"/>
              </w:rPr>
              <w:t>新建、改建、扩建重点行业建设项目主要污染物排放应控制在区域环境承载能力范围内，实施污染物排放区域削减，保障环境质量达标。</w:t>
            </w:r>
          </w:p>
          <w:p w14:paraId="685636EA">
            <w:pPr>
              <w:pStyle w:val="18"/>
              <w:widowControl w:val="0"/>
              <w:numPr>
                <w:ilvl w:val="0"/>
                <w:numId w:val="1"/>
              </w:numPr>
              <w:jc w:val="both"/>
              <w:rPr>
                <w:rFonts w:eastAsia="宋体"/>
                <w:color w:val="auto"/>
                <w:kern w:val="2"/>
                <w:sz w:val="21"/>
                <w:highlight w:val="none"/>
                <w:u w:val="none"/>
                <w:lang w:bidi="ar-SA"/>
              </w:rPr>
            </w:pPr>
            <w:r>
              <w:rPr>
                <w:rFonts w:hAnsi="宋体" w:eastAsia="宋体"/>
                <w:color w:val="auto"/>
                <w:kern w:val="2"/>
                <w:sz w:val="21"/>
                <w:highlight w:val="none"/>
                <w:u w:val="none"/>
                <w:lang w:bidi="ar-SA"/>
              </w:rPr>
              <w:t>提升工业园区废水治理水平。加强化工、医药、有色金属冶炼等行业为主的园区初期雨水的收集和处理。新建、升级工业园区应同步规划、建设污水集中处理设施或利用现有的污水集中处理设施。污水处理设施应具备脱氮除磷工艺，并安装自动在线监控装置。</w:t>
            </w:r>
          </w:p>
          <w:p w14:paraId="75BCB2FA">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3</w:t>
            </w:r>
            <w:r>
              <w:rPr>
                <w:rFonts w:hAnsi="宋体" w:eastAsia="宋体"/>
                <w:color w:val="auto"/>
                <w:kern w:val="2"/>
                <w:sz w:val="21"/>
                <w:highlight w:val="none"/>
                <w:u w:val="none"/>
                <w:lang w:bidi="ar-SA"/>
              </w:rPr>
              <w:t>．加快入河排污口规范化建设。推进城镇污水处理设施建设与改造，加强配套管网建设、管网改造与管网完善。推进农村污水处理设施建设，确保已投入使用设施正常运行。推进污泥处理处置。因地制宜处理农村生活垃圾，并建立农村生活污染治理长效机制。</w:t>
            </w:r>
          </w:p>
          <w:p w14:paraId="4703E8DB">
            <w:pPr>
              <w:shd w:val="clear" w:color="auto" w:fill="auto"/>
              <w:adjustRightInd w:val="0"/>
              <w:snapToGrid w:val="0"/>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t>4</w:t>
            </w:r>
            <w:r>
              <w:rPr>
                <w:rFonts w:ascii="Times New Roman" w:hAnsi="宋体" w:eastAsia="宋体" w:cs="Times New Roman"/>
                <w:color w:val="auto"/>
                <w:szCs w:val="21"/>
                <w:highlight w:val="none"/>
                <w:u w:val="none"/>
              </w:rPr>
              <w:t>．严格控制农业面源污染，调整种植业结构与布局。</w:t>
            </w:r>
          </w:p>
          <w:p w14:paraId="599F0DA1">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5</w:t>
            </w:r>
            <w:r>
              <w:rPr>
                <w:rFonts w:hAnsi="宋体" w:eastAsia="宋体"/>
                <w:color w:val="auto"/>
                <w:kern w:val="2"/>
                <w:sz w:val="21"/>
                <w:highlight w:val="none"/>
                <w:u w:val="none"/>
                <w:lang w:bidi="ar-SA"/>
              </w:rPr>
              <w:t>．加强养殖污染治理，控制化肥农药施用量。强化规模化养殖场污染治理设施建设，推广生态养殖技术，畜禽废物实行综合利用。控制水产养殖污染，推广先进的水产生态养殖技术。</w:t>
            </w:r>
          </w:p>
          <w:p w14:paraId="2DA429BC">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6</w:t>
            </w:r>
            <w:r>
              <w:rPr>
                <w:rFonts w:hAnsi="宋体" w:eastAsia="宋体"/>
                <w:color w:val="auto"/>
                <w:kern w:val="2"/>
                <w:sz w:val="21"/>
                <w:highlight w:val="none"/>
                <w:u w:val="none"/>
                <w:lang w:bidi="ar-SA"/>
              </w:rPr>
              <w:t>．控制港口和船舶污染，推进黔江、浔江、邕江等支流航道综合治理，开展垃圾接收、转运及处理处置设施建设，提高含油污水、化学品洗舱水等接收处置能力及污染事故应急能力。</w:t>
            </w:r>
          </w:p>
          <w:p w14:paraId="063BDE5D">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7</w:t>
            </w:r>
            <w:r>
              <w:rPr>
                <w:rFonts w:hAnsi="宋体" w:eastAsia="宋体"/>
                <w:color w:val="auto"/>
                <w:kern w:val="2"/>
                <w:sz w:val="21"/>
                <w:highlight w:val="none"/>
                <w:u w:val="none"/>
                <w:lang w:bidi="ar-SA"/>
              </w:rPr>
              <w:t>．</w:t>
            </w:r>
            <w:r>
              <w:rPr>
                <w:rFonts w:hint="eastAsia" w:hAnsi="宋体"/>
                <w:color w:val="auto"/>
                <w:kern w:val="2"/>
                <w:sz w:val="21"/>
                <w:highlight w:val="none"/>
                <w:u w:val="none"/>
                <w:lang w:eastAsia="zh-CN" w:bidi="ar-SA"/>
              </w:rPr>
              <w:t>以</w:t>
            </w:r>
            <w:r>
              <w:rPr>
                <w:rFonts w:hAnsi="宋体" w:eastAsia="宋体"/>
                <w:color w:val="auto"/>
                <w:kern w:val="2"/>
                <w:sz w:val="21"/>
                <w:highlight w:val="none"/>
                <w:u w:val="none"/>
                <w:lang w:bidi="ar-SA"/>
              </w:rPr>
              <w:t>西江航运干线</w:t>
            </w:r>
            <w:r>
              <w:rPr>
                <w:rFonts w:hint="eastAsia" w:hAnsi="宋体"/>
                <w:color w:val="auto"/>
                <w:kern w:val="2"/>
                <w:sz w:val="21"/>
                <w:highlight w:val="none"/>
                <w:u w:val="none"/>
                <w:lang w:eastAsia="zh-CN" w:bidi="ar-SA"/>
              </w:rPr>
              <w:t>为重点，</w:t>
            </w:r>
            <w:r>
              <w:rPr>
                <w:rFonts w:hAnsi="宋体" w:eastAsia="宋体"/>
                <w:color w:val="auto"/>
                <w:kern w:val="2"/>
                <w:sz w:val="21"/>
                <w:highlight w:val="none"/>
                <w:u w:val="none"/>
                <w:lang w:bidi="ar-SA"/>
              </w:rPr>
              <w:t>加快淘汰老旧船舶，鼓励引导高能耗船舶技术改造升级和提前退出。推动新能源、清洁能源动力船舶应用，加快港口供电设施建设，提高船舶岸电设施使用率。</w:t>
            </w:r>
          </w:p>
          <w:p w14:paraId="27ADB14C">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8</w:t>
            </w:r>
            <w:r>
              <w:rPr>
                <w:rFonts w:hAnsi="宋体" w:eastAsia="宋体"/>
                <w:color w:val="auto"/>
                <w:kern w:val="2"/>
                <w:sz w:val="21"/>
                <w:highlight w:val="none"/>
                <w:u w:val="none"/>
                <w:lang w:bidi="ar-SA"/>
              </w:rPr>
              <w:t>．珠江</w:t>
            </w:r>
            <w:r>
              <w:rPr>
                <w:rFonts w:eastAsia="宋体"/>
                <w:color w:val="auto"/>
                <w:kern w:val="2"/>
                <w:sz w:val="21"/>
                <w:highlight w:val="none"/>
                <w:u w:val="none"/>
                <w:lang w:bidi="ar-SA"/>
              </w:rPr>
              <w:t>—</w:t>
            </w:r>
            <w:r>
              <w:rPr>
                <w:rFonts w:hAnsi="宋体" w:eastAsia="宋体"/>
                <w:color w:val="auto"/>
                <w:kern w:val="2"/>
                <w:sz w:val="21"/>
                <w:highlight w:val="none"/>
                <w:u w:val="none"/>
                <w:lang w:bidi="ar-SA"/>
              </w:rPr>
              <w:t>西江经济带城市实施生活污水集中处理设施能力提升全覆盖工程，开展城市污水处理设施差别化精准提标改造。</w:t>
            </w:r>
          </w:p>
        </w:tc>
      </w:tr>
      <w:tr w14:paraId="11DC4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jc w:val="center"/>
        </w:trPr>
        <w:tc>
          <w:tcPr>
            <w:tcW w:w="1987" w:type="dxa"/>
            <w:vMerge w:val="continue"/>
            <w:noWrap w:val="0"/>
            <w:vAlign w:val="center"/>
          </w:tcPr>
          <w:p w14:paraId="42C592D3">
            <w:pPr>
              <w:pStyle w:val="18"/>
              <w:widowControl w:val="0"/>
              <w:jc w:val="both"/>
              <w:rPr>
                <w:rFonts w:eastAsia="宋体"/>
                <w:color w:val="auto"/>
                <w:kern w:val="2"/>
                <w:sz w:val="21"/>
                <w:highlight w:val="none"/>
                <w:u w:val="none"/>
                <w:lang w:bidi="ar-SA"/>
              </w:rPr>
            </w:pPr>
          </w:p>
        </w:tc>
        <w:tc>
          <w:tcPr>
            <w:tcW w:w="1537" w:type="dxa"/>
            <w:vMerge w:val="continue"/>
            <w:noWrap w:val="0"/>
            <w:vAlign w:val="center"/>
          </w:tcPr>
          <w:p w14:paraId="3CA97697">
            <w:pPr>
              <w:pStyle w:val="18"/>
              <w:widowControl w:val="0"/>
              <w:jc w:val="center"/>
              <w:rPr>
                <w:rFonts w:eastAsia="宋体"/>
                <w:color w:val="auto"/>
                <w:kern w:val="2"/>
                <w:sz w:val="21"/>
                <w:highlight w:val="none"/>
                <w:u w:val="none"/>
                <w:lang w:bidi="ar-SA"/>
              </w:rPr>
            </w:pPr>
          </w:p>
        </w:tc>
        <w:tc>
          <w:tcPr>
            <w:tcW w:w="2337" w:type="dxa"/>
            <w:noWrap w:val="0"/>
            <w:vAlign w:val="center"/>
          </w:tcPr>
          <w:p w14:paraId="674FC854">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环境风险防控</w:t>
            </w:r>
          </w:p>
        </w:tc>
        <w:tc>
          <w:tcPr>
            <w:tcW w:w="14454" w:type="dxa"/>
            <w:noWrap w:val="0"/>
            <w:vAlign w:val="center"/>
          </w:tcPr>
          <w:p w14:paraId="6AE74B11">
            <w:pPr>
              <w:pStyle w:val="18"/>
              <w:widowControl w:val="0"/>
              <w:jc w:val="both"/>
              <w:rPr>
                <w:rFonts w:eastAsia="宋体"/>
                <w:color w:val="auto"/>
                <w:kern w:val="2"/>
                <w:sz w:val="21"/>
                <w:highlight w:val="none"/>
                <w:u w:val="none"/>
                <w:lang w:bidi="ar-SA"/>
              </w:rPr>
            </w:pPr>
            <w:r>
              <w:rPr>
                <w:rFonts w:hAnsi="宋体" w:eastAsia="宋体"/>
                <w:color w:val="auto"/>
                <w:kern w:val="2"/>
                <w:sz w:val="21"/>
                <w:highlight w:val="none"/>
                <w:u w:val="none"/>
                <w:lang w:bidi="ar-SA"/>
              </w:rPr>
              <w:t>加强西江沿江水环境风险防控，优化高风险产业布局。完善应急处置物资储备库建设，加强水环境应急救援队伍建设，强化应急演练，重点提高油品、危险化学品泄漏事故应急能力。</w:t>
            </w:r>
          </w:p>
        </w:tc>
      </w:tr>
      <w:tr w14:paraId="03481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01" w:hRule="atLeast"/>
          <w:jc w:val="center"/>
        </w:trPr>
        <w:tc>
          <w:tcPr>
            <w:tcW w:w="1987" w:type="dxa"/>
            <w:vMerge w:val="continue"/>
            <w:noWrap w:val="0"/>
            <w:vAlign w:val="center"/>
          </w:tcPr>
          <w:p w14:paraId="336AEB2C">
            <w:pPr>
              <w:pStyle w:val="18"/>
              <w:widowControl w:val="0"/>
              <w:jc w:val="both"/>
              <w:rPr>
                <w:rFonts w:eastAsia="宋体"/>
                <w:color w:val="auto"/>
                <w:kern w:val="2"/>
                <w:sz w:val="21"/>
                <w:highlight w:val="none"/>
                <w:u w:val="none"/>
                <w:lang w:bidi="ar-SA"/>
              </w:rPr>
            </w:pPr>
          </w:p>
        </w:tc>
        <w:tc>
          <w:tcPr>
            <w:tcW w:w="1537" w:type="dxa"/>
            <w:vMerge w:val="continue"/>
            <w:noWrap w:val="0"/>
            <w:vAlign w:val="center"/>
          </w:tcPr>
          <w:p w14:paraId="6F9B23B1">
            <w:pPr>
              <w:pStyle w:val="18"/>
              <w:widowControl w:val="0"/>
              <w:jc w:val="center"/>
              <w:rPr>
                <w:rFonts w:eastAsia="宋体"/>
                <w:color w:val="auto"/>
                <w:kern w:val="2"/>
                <w:sz w:val="21"/>
                <w:highlight w:val="none"/>
                <w:u w:val="none"/>
                <w:lang w:bidi="ar-SA"/>
              </w:rPr>
            </w:pPr>
          </w:p>
        </w:tc>
        <w:tc>
          <w:tcPr>
            <w:tcW w:w="2337" w:type="dxa"/>
            <w:noWrap w:val="0"/>
            <w:vAlign w:val="center"/>
          </w:tcPr>
          <w:p w14:paraId="7CF8EDF8">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资源开发利用</w:t>
            </w:r>
          </w:p>
          <w:p w14:paraId="01D4F9D3">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效率要求</w:t>
            </w:r>
          </w:p>
        </w:tc>
        <w:tc>
          <w:tcPr>
            <w:tcW w:w="14454" w:type="dxa"/>
            <w:noWrap w:val="0"/>
            <w:vAlign w:val="center"/>
          </w:tcPr>
          <w:p w14:paraId="40AC6207">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加强工业水循环利用。推动钢铁、纺织印染、造纸、石油石化、化工、制革等高耗水企业废水深度处理回用。支持和推动具有经济效益的节水治污技术和示范项目。鼓励一水多用和再生水开发利用，提高企业工业用水回用率。</w:t>
            </w:r>
          </w:p>
          <w:p w14:paraId="33CAB204">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促进再生水利用。逐步完善再生水利用设施，制定工业生产、城市绿化、道路清扫、车辆冲洗、建筑施工以及生态景观等用水优先使用再生水的政策。严格钢铁、火电、化工、制浆造纸、冶炼、印染等建设项目水资源论证，具备再生水使用条件但未充分利用的项目，</w:t>
            </w:r>
            <w:r>
              <w:rPr>
                <w:rFonts w:hAnsi="宋体" w:eastAsia="宋体"/>
                <w:b/>
                <w:bCs/>
                <w:color w:val="auto"/>
                <w:kern w:val="2"/>
                <w:sz w:val="21"/>
                <w:highlight w:val="none"/>
                <w:u w:val="none"/>
                <w:lang w:bidi="ar-SA"/>
              </w:rPr>
              <w:t>不得</w:t>
            </w:r>
            <w:r>
              <w:rPr>
                <w:rFonts w:hAnsi="宋体" w:eastAsia="宋体"/>
                <w:color w:val="auto"/>
                <w:kern w:val="2"/>
                <w:sz w:val="21"/>
                <w:highlight w:val="none"/>
                <w:u w:val="none"/>
                <w:lang w:bidi="ar-SA"/>
              </w:rPr>
              <w:t>批准其新增取水许可。</w:t>
            </w:r>
          </w:p>
        </w:tc>
      </w:tr>
    </w:tbl>
    <w:p w14:paraId="2936FA18">
      <w:pPr>
        <w:widowControl/>
        <w:shd w:val="clear" w:color="auto" w:fill="auto"/>
        <w:jc w:val="left"/>
        <w:rPr>
          <w:rFonts w:ascii="Times New Roman" w:hAnsi="Times New Roman" w:eastAsia="宋体" w:cs="Times New Roman"/>
          <w:color w:val="auto"/>
          <w:szCs w:val="21"/>
          <w:highlight w:val="none"/>
          <w:u w:val="none"/>
        </w:rPr>
      </w:pPr>
      <w:r>
        <w:rPr>
          <w:rFonts w:ascii="Times New Roman" w:hAnsi="Times New Roman" w:eastAsia="宋体" w:cs="Times New Roman"/>
          <w:color w:val="auto"/>
          <w:szCs w:val="21"/>
          <w:highlight w:val="none"/>
          <w:u w:val="none"/>
        </w:rPr>
        <w:br w:type="page"/>
      </w:r>
    </w:p>
    <w:p w14:paraId="45EC2B02">
      <w:pPr>
        <w:pStyle w:val="6"/>
        <w:keepNext/>
        <w:keepLines/>
        <w:pageBreakBefore w:val="0"/>
        <w:widowControl w:val="0"/>
        <w:kinsoku/>
        <w:wordWrap/>
        <w:overflowPunct/>
        <w:topLinePunct w:val="0"/>
        <w:autoSpaceDE/>
        <w:autoSpaceDN/>
        <w:bidi w:val="0"/>
        <w:adjustRightInd w:val="0"/>
        <w:snapToGrid w:val="0"/>
        <w:spacing w:before="156" w:after="156"/>
        <w:jc w:val="both"/>
        <w:textAlignment w:val="auto"/>
        <w:outlineLvl w:val="0"/>
        <w:rPr>
          <w:rFonts w:ascii="黑体" w:hAnsi="黑体" w:eastAsia="黑体"/>
          <w:color w:val="auto"/>
          <w:kern w:val="2"/>
          <w:szCs w:val="30"/>
          <w:highlight w:val="none"/>
          <w:u w:val="none"/>
          <w:lang w:bidi="ar-SA"/>
        </w:rPr>
      </w:pPr>
      <w:bookmarkStart w:id="91" w:name="_Toc15246"/>
      <w:bookmarkStart w:id="92" w:name="_Toc7213"/>
      <w:bookmarkStart w:id="93" w:name="_Toc24321"/>
      <w:bookmarkStart w:id="94" w:name="_Toc31726"/>
      <w:bookmarkStart w:id="95" w:name="_Toc23383"/>
      <w:bookmarkStart w:id="96" w:name="_Toc6482"/>
      <w:bookmarkStart w:id="97" w:name="_Toc14089"/>
      <w:bookmarkStart w:id="98" w:name="_Toc12351"/>
      <w:r>
        <w:rPr>
          <w:rFonts w:ascii="黑体" w:hAnsi="黑体" w:eastAsia="黑体"/>
          <w:color w:val="auto"/>
          <w:kern w:val="2"/>
          <w:szCs w:val="30"/>
          <w:highlight w:val="none"/>
          <w:u w:val="none"/>
          <w:lang w:bidi="ar-SA"/>
        </w:rPr>
        <w:t>2.4桂林国际旅游胜地</w:t>
      </w:r>
      <w:bookmarkEnd w:id="91"/>
      <w:bookmarkEnd w:id="92"/>
      <w:bookmarkEnd w:id="93"/>
      <w:bookmarkEnd w:id="94"/>
      <w:bookmarkEnd w:id="95"/>
      <w:bookmarkEnd w:id="96"/>
      <w:bookmarkEnd w:id="97"/>
      <w:bookmarkEnd w:id="98"/>
    </w:p>
    <w:p w14:paraId="0F1245E6">
      <w:pPr>
        <w:keepNext w:val="0"/>
        <w:keepLines w:val="0"/>
        <w:pageBreakBefore w:val="0"/>
        <w:widowControl w:val="0"/>
        <w:kinsoku/>
        <w:wordWrap/>
        <w:overflowPunct/>
        <w:topLinePunct w:val="0"/>
        <w:autoSpaceDE/>
        <w:autoSpaceDN/>
        <w:bidi w:val="0"/>
        <w:adjustRightInd w:val="0"/>
        <w:snapToGrid w:val="0"/>
        <w:jc w:val="center"/>
        <w:textAlignment w:val="auto"/>
        <w:outlineLvl w:val="0"/>
        <w:rPr>
          <w:rFonts w:ascii="黑体" w:hAnsi="Times New Roman" w:eastAsia="黑体" w:cs="Times New Roman"/>
          <w:color w:val="auto"/>
          <w:kern w:val="2"/>
          <w:sz w:val="24"/>
          <w:szCs w:val="24"/>
          <w:highlight w:val="none"/>
          <w:u w:val="none"/>
          <w:lang w:val="en-US" w:eastAsia="zh-CN" w:bidi="ar-SA"/>
        </w:rPr>
      </w:pPr>
      <w:bookmarkStart w:id="99" w:name="_Toc19049"/>
      <w:bookmarkStart w:id="100" w:name="_Toc17704"/>
      <w:bookmarkStart w:id="101" w:name="_Toc16553"/>
      <w:bookmarkStart w:id="102" w:name="_Toc28888"/>
      <w:r>
        <w:rPr>
          <w:rFonts w:ascii="黑体" w:hAnsi="黑体" w:eastAsia="黑体" w:cs="Times New Roman"/>
          <w:color w:val="auto"/>
          <w:kern w:val="2"/>
          <w:sz w:val="24"/>
          <w:szCs w:val="24"/>
          <w:highlight w:val="none"/>
          <w:u w:val="none"/>
          <w:lang w:val="en-US" w:eastAsia="zh-CN" w:bidi="ar-SA"/>
        </w:rPr>
        <w:t>表</w:t>
      </w:r>
      <w:r>
        <w:rPr>
          <w:rFonts w:ascii="黑体" w:hAnsi="Times New Roman" w:eastAsia="黑体" w:cs="Times New Roman"/>
          <w:color w:val="auto"/>
          <w:kern w:val="2"/>
          <w:sz w:val="24"/>
          <w:szCs w:val="24"/>
          <w:highlight w:val="none"/>
          <w:u w:val="none"/>
          <w:lang w:val="en-US" w:eastAsia="zh-CN" w:bidi="ar-SA"/>
        </w:rPr>
        <w:t xml:space="preserve">2.4-1  </w:t>
      </w:r>
      <w:r>
        <w:rPr>
          <w:rFonts w:ascii="黑体" w:hAnsi="黑体" w:eastAsia="黑体" w:cs="Times New Roman"/>
          <w:color w:val="auto"/>
          <w:kern w:val="2"/>
          <w:sz w:val="24"/>
          <w:szCs w:val="24"/>
          <w:highlight w:val="none"/>
          <w:u w:val="none"/>
          <w:lang w:val="en-US" w:eastAsia="zh-CN" w:bidi="ar-SA"/>
        </w:rPr>
        <w:t>桂林国际旅游胜地生态环境准入及管控要求</w:t>
      </w:r>
      <w:bookmarkEnd w:id="99"/>
      <w:bookmarkEnd w:id="100"/>
      <w:bookmarkEnd w:id="101"/>
      <w:bookmarkEnd w:id="102"/>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0"/>
        <w:gridCol w:w="1541"/>
        <w:gridCol w:w="2365"/>
        <w:gridCol w:w="14764"/>
      </w:tblGrid>
      <w:tr w14:paraId="4AD12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blHeader/>
          <w:jc w:val="center"/>
        </w:trPr>
        <w:tc>
          <w:tcPr>
            <w:tcW w:w="1880" w:type="dxa"/>
            <w:noWrap w:val="0"/>
            <w:vAlign w:val="center"/>
          </w:tcPr>
          <w:p w14:paraId="475E0B53">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适用分区</w:t>
            </w:r>
          </w:p>
        </w:tc>
        <w:tc>
          <w:tcPr>
            <w:tcW w:w="1541" w:type="dxa"/>
            <w:noWrap w:val="0"/>
            <w:vAlign w:val="center"/>
          </w:tcPr>
          <w:p w14:paraId="3D88219E">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适用对象</w:t>
            </w:r>
          </w:p>
        </w:tc>
        <w:tc>
          <w:tcPr>
            <w:tcW w:w="2365" w:type="dxa"/>
            <w:noWrap w:val="0"/>
            <w:vAlign w:val="center"/>
          </w:tcPr>
          <w:p w14:paraId="1E9962EE">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管控要求类别</w:t>
            </w:r>
          </w:p>
        </w:tc>
        <w:tc>
          <w:tcPr>
            <w:tcW w:w="14764" w:type="dxa"/>
            <w:noWrap w:val="0"/>
            <w:vAlign w:val="center"/>
          </w:tcPr>
          <w:p w14:paraId="5A4E45A4">
            <w:pPr>
              <w:pStyle w:val="20"/>
              <w:widowControl w:val="0"/>
              <w:rPr>
                <w:rFonts w:eastAsia="宋体" w:cs="Times New Roman"/>
                <w:color w:val="auto"/>
                <w:kern w:val="2"/>
                <w:szCs w:val="21"/>
                <w:highlight w:val="none"/>
                <w:u w:val="none"/>
                <w:lang w:bidi="ar-SA"/>
              </w:rPr>
            </w:pPr>
            <w:r>
              <w:rPr>
                <w:rFonts w:hAnsi="宋体" w:eastAsia="宋体" w:cs="Times New Roman"/>
                <w:color w:val="auto"/>
                <w:kern w:val="2"/>
                <w:szCs w:val="21"/>
                <w:highlight w:val="none"/>
                <w:u w:val="none"/>
                <w:lang w:bidi="ar-SA"/>
              </w:rPr>
              <w:t>生态环境准入及管控要求</w:t>
            </w:r>
          </w:p>
        </w:tc>
      </w:tr>
      <w:tr w14:paraId="55A27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7" w:hRule="atLeast"/>
          <w:jc w:val="center"/>
        </w:trPr>
        <w:tc>
          <w:tcPr>
            <w:tcW w:w="1880" w:type="dxa"/>
            <w:vMerge w:val="restart"/>
            <w:noWrap w:val="0"/>
            <w:vAlign w:val="center"/>
          </w:tcPr>
          <w:p w14:paraId="20436932">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桂林国际旅游胜地全部分区</w:t>
            </w:r>
          </w:p>
        </w:tc>
        <w:tc>
          <w:tcPr>
            <w:tcW w:w="1541" w:type="dxa"/>
            <w:vMerge w:val="restart"/>
            <w:noWrap w:val="0"/>
            <w:vAlign w:val="center"/>
          </w:tcPr>
          <w:p w14:paraId="063B0C7F">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桂林国际旅游胜地（本清单适用于桂林市）</w:t>
            </w:r>
          </w:p>
        </w:tc>
        <w:tc>
          <w:tcPr>
            <w:tcW w:w="2365" w:type="dxa"/>
            <w:noWrap w:val="0"/>
            <w:vAlign w:val="center"/>
          </w:tcPr>
          <w:p w14:paraId="4E0EA38D">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空间布局约束</w:t>
            </w:r>
          </w:p>
        </w:tc>
        <w:tc>
          <w:tcPr>
            <w:tcW w:w="14764" w:type="dxa"/>
            <w:noWrap w:val="0"/>
            <w:vAlign w:val="center"/>
          </w:tcPr>
          <w:p w14:paraId="66AAAD93">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．桂林国际旅游胜地坚持可持续发展创新示范，打造世界一流的山水观光休闲度假旅游目的地和旅游集散地，建设国家生态文明</w:t>
            </w:r>
            <w:r>
              <w:rPr>
                <w:rFonts w:hint="eastAsia" w:hAnsi="宋体"/>
                <w:color w:val="auto"/>
                <w:kern w:val="2"/>
                <w:sz w:val="21"/>
                <w:highlight w:val="none"/>
                <w:u w:val="none"/>
                <w:lang w:val="en-US" w:eastAsia="zh-CN" w:bidi="ar-SA"/>
              </w:rPr>
              <w:t>建设</w:t>
            </w:r>
            <w:bookmarkStart w:id="103" w:name="_GoBack"/>
            <w:bookmarkEnd w:id="103"/>
            <w:r>
              <w:rPr>
                <w:rFonts w:hAnsi="宋体" w:eastAsia="宋体"/>
                <w:color w:val="auto"/>
                <w:kern w:val="2"/>
                <w:sz w:val="21"/>
                <w:highlight w:val="none"/>
                <w:u w:val="none"/>
                <w:lang w:bidi="ar-SA"/>
              </w:rPr>
              <w:t>示范区。</w:t>
            </w:r>
          </w:p>
          <w:p w14:paraId="4A24F2A0">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坚持生态优先，以加强生态文明建设和生态环境保护为根本，妥善处理好保护与开发的关系；注重低碳环保和资源、能源集约利用，形成资源节约型和环境友好型的产业结构、发展方式和消费模式，实现生态环境与经济社会的协调可持续发展。</w:t>
            </w:r>
          </w:p>
          <w:p w14:paraId="1E0A0FCE">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3</w:t>
            </w:r>
            <w:r>
              <w:rPr>
                <w:rFonts w:hAnsi="宋体" w:eastAsia="宋体"/>
                <w:color w:val="auto"/>
                <w:kern w:val="2"/>
                <w:sz w:val="21"/>
                <w:highlight w:val="none"/>
                <w:u w:val="none"/>
                <w:lang w:bidi="ar-SA"/>
              </w:rPr>
              <w:t>．持续推进漓江流域山水林田湖草沙一体化保护和修复，持续推动漓江流域生态环境持续改善、生态系统持续优化、整体功能持续提升。</w:t>
            </w:r>
          </w:p>
          <w:p w14:paraId="33CF94E7">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4</w:t>
            </w:r>
            <w:r>
              <w:rPr>
                <w:rFonts w:hAnsi="宋体" w:eastAsia="宋体"/>
                <w:color w:val="auto"/>
                <w:kern w:val="2"/>
                <w:sz w:val="21"/>
                <w:highlight w:val="none"/>
                <w:u w:val="none"/>
                <w:lang w:bidi="ar-SA"/>
              </w:rPr>
              <w:t>．漓江流域严格按照《广西壮族自治区漓江流域生态环境保护条例》进行管控。</w:t>
            </w:r>
          </w:p>
          <w:p w14:paraId="6AC9BD75">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5</w:t>
            </w:r>
            <w:r>
              <w:rPr>
                <w:rFonts w:hAnsi="宋体" w:eastAsia="宋体"/>
                <w:color w:val="auto"/>
                <w:kern w:val="2"/>
                <w:sz w:val="21"/>
                <w:highlight w:val="none"/>
                <w:u w:val="none"/>
                <w:lang w:bidi="ar-SA"/>
              </w:rPr>
              <w:t>．实施漓江流域生态保护和修复提升工程，提升流域水源涵养和水土保持能力。探索建立漓江流域生态环境保护补偿机制。</w:t>
            </w:r>
          </w:p>
        </w:tc>
      </w:tr>
      <w:tr w14:paraId="452AC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1" w:hRule="atLeast"/>
          <w:jc w:val="center"/>
        </w:trPr>
        <w:tc>
          <w:tcPr>
            <w:tcW w:w="1880" w:type="dxa"/>
            <w:vMerge w:val="continue"/>
            <w:noWrap w:val="0"/>
            <w:vAlign w:val="center"/>
          </w:tcPr>
          <w:p w14:paraId="67E0B842">
            <w:pPr>
              <w:pStyle w:val="18"/>
              <w:widowControl w:val="0"/>
              <w:jc w:val="center"/>
              <w:rPr>
                <w:rFonts w:eastAsia="宋体"/>
                <w:color w:val="auto"/>
                <w:kern w:val="2"/>
                <w:sz w:val="21"/>
                <w:highlight w:val="none"/>
                <w:u w:val="none"/>
                <w:lang w:bidi="ar-SA"/>
              </w:rPr>
            </w:pPr>
          </w:p>
        </w:tc>
        <w:tc>
          <w:tcPr>
            <w:tcW w:w="1541" w:type="dxa"/>
            <w:vMerge w:val="continue"/>
            <w:noWrap w:val="0"/>
            <w:vAlign w:val="center"/>
          </w:tcPr>
          <w:p w14:paraId="0457A1AB">
            <w:pPr>
              <w:pStyle w:val="18"/>
              <w:widowControl w:val="0"/>
              <w:jc w:val="center"/>
              <w:rPr>
                <w:rFonts w:eastAsia="宋体"/>
                <w:color w:val="auto"/>
                <w:kern w:val="2"/>
                <w:sz w:val="21"/>
                <w:highlight w:val="none"/>
                <w:u w:val="none"/>
                <w:lang w:bidi="ar-SA"/>
              </w:rPr>
            </w:pPr>
          </w:p>
        </w:tc>
        <w:tc>
          <w:tcPr>
            <w:tcW w:w="2365" w:type="dxa"/>
            <w:noWrap w:val="0"/>
            <w:vAlign w:val="center"/>
          </w:tcPr>
          <w:p w14:paraId="7EBADBB9">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污染物排放管控</w:t>
            </w:r>
          </w:p>
        </w:tc>
        <w:tc>
          <w:tcPr>
            <w:tcW w:w="14764" w:type="dxa"/>
            <w:noWrap w:val="0"/>
            <w:vAlign w:val="center"/>
          </w:tcPr>
          <w:p w14:paraId="4D2BDC06">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控制工业开发强度，加强工业园区污水处理设施建设。完善漓江流域工业园区集中式污水处理设施建设；园区集中式污水处理设施总排口安装自动监控系统、视频监控系统，并与生态环境主管部门联网。入园企业要完成清洁化改造，按照</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清污分流、雨污分流</w:t>
            </w:r>
            <w:r>
              <w:rPr>
                <w:rFonts w:hint="eastAsia"/>
                <w:color w:val="auto"/>
                <w:kern w:val="2"/>
                <w:sz w:val="21"/>
                <w:highlight w:val="none"/>
                <w:u w:val="none"/>
                <w:lang w:eastAsia="zh-CN" w:bidi="ar-SA"/>
              </w:rPr>
              <w:t>”</w:t>
            </w:r>
            <w:r>
              <w:rPr>
                <w:rFonts w:hAnsi="宋体" w:eastAsia="宋体"/>
                <w:color w:val="auto"/>
                <w:kern w:val="2"/>
                <w:sz w:val="21"/>
                <w:highlight w:val="none"/>
                <w:u w:val="none"/>
                <w:lang w:bidi="ar-SA"/>
              </w:rPr>
              <w:t>原则，实施废水分类收集、分质处理，园区集中处理达标统一排口外排。</w:t>
            </w:r>
          </w:p>
          <w:p w14:paraId="0786B83D">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．加强城镇污水处理设施建设及提标改造，全面加强配套管网建设。对新建城区，管网和污水处理设施要与城镇发展同步规划、同步建设，做到雨污分流。</w:t>
            </w:r>
          </w:p>
          <w:p w14:paraId="7D288421">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3</w:t>
            </w:r>
            <w:r>
              <w:rPr>
                <w:rFonts w:hAnsi="宋体" w:eastAsia="宋体"/>
                <w:color w:val="auto"/>
                <w:kern w:val="2"/>
                <w:sz w:val="21"/>
                <w:highlight w:val="none"/>
                <w:u w:val="none"/>
                <w:lang w:bidi="ar-SA"/>
              </w:rPr>
              <w:t>．开展漓江小流域治理。对漓江及其主要支流小流域进行综合治理，改善支流生态环境，提高漓江防洪治涝能力。</w:t>
            </w:r>
          </w:p>
          <w:p w14:paraId="18A011E7">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4</w:t>
            </w:r>
            <w:r>
              <w:rPr>
                <w:rFonts w:hAnsi="宋体" w:eastAsia="宋体"/>
                <w:color w:val="auto"/>
                <w:kern w:val="2"/>
                <w:sz w:val="21"/>
                <w:highlight w:val="none"/>
                <w:u w:val="none"/>
                <w:lang w:bidi="ar-SA"/>
              </w:rPr>
              <w:t>．推进农业农村环境综合整治，加大畜禽养殖业污染治理，控制农业面源污染。</w:t>
            </w:r>
          </w:p>
          <w:p w14:paraId="22B2DBED">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5</w:t>
            </w:r>
            <w:r>
              <w:rPr>
                <w:rFonts w:hAnsi="宋体" w:eastAsia="宋体"/>
                <w:color w:val="auto"/>
                <w:kern w:val="2"/>
                <w:sz w:val="21"/>
                <w:highlight w:val="none"/>
                <w:u w:val="none"/>
                <w:lang w:bidi="ar-SA"/>
              </w:rPr>
              <w:t>．控制船舶污染。建设完善船舶污染物接收处理设施，提高含油污水、化学品洗舱水、船舶垃圾等接收处置能力及污染事故应急能力；依法强制报废超过使用年限的船舶，规范拆船行为；实施漓江游船、排筏节能减排改造提升，提高漓江流域环境质量。</w:t>
            </w:r>
          </w:p>
          <w:p w14:paraId="6F1FDFFB">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6</w:t>
            </w:r>
            <w:r>
              <w:rPr>
                <w:rFonts w:hAnsi="宋体" w:eastAsia="宋体"/>
                <w:color w:val="auto"/>
                <w:kern w:val="2"/>
                <w:sz w:val="21"/>
                <w:highlight w:val="none"/>
                <w:u w:val="none"/>
                <w:lang w:bidi="ar-SA"/>
              </w:rPr>
              <w:t>．推进垃圾分类投放、收集、运输和处理系统建设，加强垃圾无害化资源化处理，推进污泥资源化利用，推动实现垃圾渗滤液全收集全处理。</w:t>
            </w:r>
          </w:p>
        </w:tc>
      </w:tr>
      <w:tr w14:paraId="34AAA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880" w:type="dxa"/>
            <w:vMerge w:val="continue"/>
            <w:noWrap w:val="0"/>
            <w:vAlign w:val="center"/>
          </w:tcPr>
          <w:p w14:paraId="48DD9AF9">
            <w:pPr>
              <w:pStyle w:val="18"/>
              <w:widowControl w:val="0"/>
              <w:jc w:val="center"/>
              <w:rPr>
                <w:rFonts w:eastAsia="宋体"/>
                <w:color w:val="auto"/>
                <w:kern w:val="2"/>
                <w:sz w:val="21"/>
                <w:highlight w:val="none"/>
                <w:u w:val="none"/>
                <w:lang w:bidi="ar-SA"/>
              </w:rPr>
            </w:pPr>
          </w:p>
        </w:tc>
        <w:tc>
          <w:tcPr>
            <w:tcW w:w="1541" w:type="dxa"/>
            <w:vMerge w:val="continue"/>
            <w:noWrap w:val="0"/>
            <w:vAlign w:val="center"/>
          </w:tcPr>
          <w:p w14:paraId="0497AD43">
            <w:pPr>
              <w:pStyle w:val="18"/>
              <w:widowControl w:val="0"/>
              <w:jc w:val="center"/>
              <w:rPr>
                <w:rFonts w:eastAsia="宋体"/>
                <w:color w:val="auto"/>
                <w:kern w:val="2"/>
                <w:sz w:val="21"/>
                <w:highlight w:val="none"/>
                <w:u w:val="none"/>
                <w:lang w:bidi="ar-SA"/>
              </w:rPr>
            </w:pPr>
          </w:p>
        </w:tc>
        <w:tc>
          <w:tcPr>
            <w:tcW w:w="2365" w:type="dxa"/>
            <w:noWrap w:val="0"/>
            <w:vAlign w:val="center"/>
          </w:tcPr>
          <w:p w14:paraId="4C7BF227">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环境风险防控</w:t>
            </w:r>
          </w:p>
        </w:tc>
        <w:tc>
          <w:tcPr>
            <w:tcW w:w="14764" w:type="dxa"/>
            <w:noWrap w:val="0"/>
            <w:vAlign w:val="center"/>
          </w:tcPr>
          <w:p w14:paraId="32968118">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1</w:t>
            </w:r>
            <w:r>
              <w:rPr>
                <w:rFonts w:hAnsi="宋体" w:eastAsia="宋体"/>
                <w:color w:val="auto"/>
                <w:kern w:val="2"/>
                <w:sz w:val="21"/>
                <w:highlight w:val="none"/>
                <w:u w:val="none"/>
                <w:lang w:bidi="ar-SA"/>
              </w:rPr>
              <w:t>．</w:t>
            </w:r>
            <w:r>
              <w:rPr>
                <w:rFonts w:hAnsi="宋体" w:eastAsia="宋体"/>
                <w:b/>
                <w:bCs/>
                <w:color w:val="auto"/>
                <w:kern w:val="2"/>
                <w:sz w:val="21"/>
                <w:highlight w:val="none"/>
                <w:u w:val="none"/>
                <w:lang w:bidi="ar-SA"/>
              </w:rPr>
              <w:t>禁止</w:t>
            </w:r>
            <w:r>
              <w:rPr>
                <w:rFonts w:hAnsi="宋体" w:eastAsia="宋体"/>
                <w:color w:val="auto"/>
                <w:kern w:val="2"/>
                <w:sz w:val="21"/>
                <w:highlight w:val="none"/>
                <w:u w:val="none"/>
                <w:lang w:bidi="ar-SA"/>
              </w:rPr>
              <w:t>在漓江干流、支流、水库使用不符合国家规定防污条件的水上运载工具运载油类以及其他有毒有害物品。</w:t>
            </w:r>
          </w:p>
          <w:p w14:paraId="26C2D75E">
            <w:pPr>
              <w:pStyle w:val="18"/>
              <w:widowControl w:val="0"/>
              <w:jc w:val="both"/>
              <w:rPr>
                <w:rFonts w:eastAsia="宋体"/>
                <w:color w:val="auto"/>
                <w:kern w:val="2"/>
                <w:sz w:val="21"/>
                <w:highlight w:val="none"/>
                <w:u w:val="none"/>
                <w:lang w:bidi="ar-SA"/>
              </w:rPr>
            </w:pPr>
            <w:r>
              <w:rPr>
                <w:rFonts w:eastAsia="宋体"/>
                <w:color w:val="auto"/>
                <w:kern w:val="2"/>
                <w:sz w:val="21"/>
                <w:highlight w:val="none"/>
                <w:u w:val="none"/>
                <w:lang w:bidi="ar-SA"/>
              </w:rPr>
              <w:t>2</w:t>
            </w:r>
            <w:r>
              <w:rPr>
                <w:rFonts w:hAnsi="宋体" w:eastAsia="宋体"/>
                <w:color w:val="auto"/>
                <w:kern w:val="2"/>
                <w:sz w:val="21"/>
                <w:highlight w:val="none"/>
                <w:u w:val="none"/>
                <w:lang w:bidi="ar-SA"/>
              </w:rPr>
              <w:t>．</w:t>
            </w:r>
            <w:r>
              <w:rPr>
                <w:rFonts w:hAnsi="宋体" w:eastAsia="宋体"/>
                <w:b/>
                <w:bCs/>
                <w:color w:val="auto"/>
                <w:kern w:val="2"/>
                <w:sz w:val="21"/>
                <w:highlight w:val="none"/>
                <w:u w:val="none"/>
                <w:lang w:bidi="ar-SA"/>
              </w:rPr>
              <w:t>禁止</w:t>
            </w:r>
            <w:r>
              <w:rPr>
                <w:rFonts w:hAnsi="宋体" w:eastAsia="宋体"/>
                <w:color w:val="auto"/>
                <w:kern w:val="2"/>
                <w:sz w:val="21"/>
                <w:highlight w:val="none"/>
                <w:u w:val="none"/>
                <w:lang w:bidi="ar-SA"/>
              </w:rPr>
              <w:t>向漓江源头、干流、支流和水库等水体倾倒矿渣、有毒有害物质、垃圾、农业投入品废弃物以及其他污染水体的废弃物，</w:t>
            </w:r>
            <w:r>
              <w:rPr>
                <w:rFonts w:hAnsi="宋体" w:eastAsia="宋体"/>
                <w:b/>
                <w:bCs/>
                <w:color w:val="auto"/>
                <w:kern w:val="2"/>
                <w:sz w:val="21"/>
                <w:highlight w:val="none"/>
                <w:u w:val="none"/>
                <w:lang w:bidi="ar-SA"/>
              </w:rPr>
              <w:t>禁止</w:t>
            </w:r>
            <w:r>
              <w:rPr>
                <w:rFonts w:hAnsi="宋体" w:eastAsia="宋体"/>
                <w:color w:val="auto"/>
                <w:kern w:val="2"/>
                <w:sz w:val="21"/>
                <w:highlight w:val="none"/>
                <w:u w:val="none"/>
                <w:lang w:bidi="ar-SA"/>
              </w:rPr>
              <w:t>向水体丢弃死亡禽畜动物尸体和排放油类或者含病原体的污水及残液。</w:t>
            </w:r>
          </w:p>
        </w:tc>
      </w:tr>
      <w:tr w14:paraId="785E2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1880" w:type="dxa"/>
            <w:vMerge w:val="continue"/>
            <w:noWrap w:val="0"/>
            <w:vAlign w:val="center"/>
          </w:tcPr>
          <w:p w14:paraId="5EBD74CC">
            <w:pPr>
              <w:pStyle w:val="18"/>
              <w:widowControl w:val="0"/>
              <w:jc w:val="center"/>
              <w:rPr>
                <w:rFonts w:eastAsia="宋体"/>
                <w:color w:val="auto"/>
                <w:kern w:val="2"/>
                <w:sz w:val="21"/>
                <w:highlight w:val="none"/>
                <w:u w:val="none"/>
                <w:lang w:bidi="ar-SA"/>
              </w:rPr>
            </w:pPr>
          </w:p>
        </w:tc>
        <w:tc>
          <w:tcPr>
            <w:tcW w:w="1541" w:type="dxa"/>
            <w:vMerge w:val="continue"/>
            <w:noWrap w:val="0"/>
            <w:vAlign w:val="center"/>
          </w:tcPr>
          <w:p w14:paraId="15BDDD04">
            <w:pPr>
              <w:pStyle w:val="18"/>
              <w:widowControl w:val="0"/>
              <w:jc w:val="center"/>
              <w:rPr>
                <w:rFonts w:eastAsia="宋体"/>
                <w:color w:val="auto"/>
                <w:kern w:val="2"/>
                <w:sz w:val="21"/>
                <w:highlight w:val="none"/>
                <w:u w:val="none"/>
                <w:lang w:bidi="ar-SA"/>
              </w:rPr>
            </w:pPr>
          </w:p>
        </w:tc>
        <w:tc>
          <w:tcPr>
            <w:tcW w:w="2365" w:type="dxa"/>
            <w:noWrap w:val="0"/>
            <w:vAlign w:val="center"/>
          </w:tcPr>
          <w:p w14:paraId="5B78731C">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资源开发利用</w:t>
            </w:r>
          </w:p>
          <w:p w14:paraId="17506916">
            <w:pPr>
              <w:pStyle w:val="18"/>
              <w:widowControl w:val="0"/>
              <w:jc w:val="center"/>
              <w:rPr>
                <w:rFonts w:eastAsia="宋体"/>
                <w:color w:val="auto"/>
                <w:kern w:val="2"/>
                <w:sz w:val="21"/>
                <w:highlight w:val="none"/>
                <w:u w:val="none"/>
                <w:lang w:bidi="ar-SA"/>
              </w:rPr>
            </w:pPr>
            <w:r>
              <w:rPr>
                <w:rFonts w:hAnsi="宋体" w:eastAsia="宋体"/>
                <w:color w:val="auto"/>
                <w:kern w:val="2"/>
                <w:sz w:val="21"/>
                <w:highlight w:val="none"/>
                <w:u w:val="none"/>
                <w:lang w:bidi="ar-SA"/>
              </w:rPr>
              <w:t>效率要求</w:t>
            </w:r>
          </w:p>
        </w:tc>
        <w:tc>
          <w:tcPr>
            <w:tcW w:w="14764" w:type="dxa"/>
            <w:noWrap w:val="0"/>
            <w:vAlign w:val="center"/>
          </w:tcPr>
          <w:p w14:paraId="05D96CF3">
            <w:pPr>
              <w:pStyle w:val="18"/>
              <w:widowControl w:val="0"/>
              <w:jc w:val="both"/>
              <w:rPr>
                <w:rFonts w:eastAsia="宋体"/>
                <w:color w:val="auto"/>
                <w:kern w:val="2"/>
                <w:sz w:val="21"/>
                <w:highlight w:val="none"/>
                <w:u w:val="none"/>
                <w:lang w:bidi="ar-SA"/>
              </w:rPr>
            </w:pPr>
            <w:r>
              <w:rPr>
                <w:rFonts w:hAnsi="宋体" w:eastAsia="宋体"/>
                <w:color w:val="auto"/>
                <w:kern w:val="2"/>
                <w:sz w:val="21"/>
                <w:highlight w:val="none"/>
                <w:u w:val="none"/>
                <w:lang w:bidi="ar-SA"/>
              </w:rPr>
              <w:t>在地下水超采地区，严格控制开采地下水。在城市供水管网到达的范围，限期关闭自备水井。</w:t>
            </w:r>
          </w:p>
        </w:tc>
      </w:tr>
    </w:tbl>
    <w:p w14:paraId="334C644F">
      <w:pPr>
        <w:sectPr>
          <w:pgSz w:w="23757" w:h="16783" w:orient="landscape"/>
          <w:pgMar w:top="1800" w:right="1440" w:bottom="1800" w:left="1440" w:header="851" w:footer="1134" w:gutter="0"/>
          <w:cols w:space="720" w:num="1"/>
          <w:docGrid w:type="lines" w:linePitch="312" w:charSpace="0"/>
        </w:sectPr>
      </w:pPr>
    </w:p>
    <w:p w14:paraId="68C3919E">
      <w:pPr>
        <w:pStyle w:val="2"/>
        <w:keepNext w:val="0"/>
        <w:keepLines w:val="0"/>
        <w:pageBreakBefore w:val="0"/>
        <w:widowControl w:val="0"/>
        <w:kinsoku/>
        <w:wordWrap/>
        <w:overflowPunct/>
        <w:topLinePunct w:val="0"/>
        <w:bidi w:val="0"/>
        <w:snapToGrid/>
        <w:spacing w:line="240" w:lineRule="auto"/>
        <w:jc w:val="left"/>
      </w:pPr>
    </w:p>
    <w:sectPr>
      <w:headerReference r:id="rId13" w:type="default"/>
      <w:pgSz w:w="11850" w:h="16840"/>
      <w:pgMar w:top="1440" w:right="1361" w:bottom="1701" w:left="1474" w:header="964" w:footer="113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方正楷体_GBK">
    <w:altName w:val="微软雅黑"/>
    <w:panose1 w:val="02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1BFBF">
    <w:pPr>
      <w:widowControl w:val="0"/>
      <w:shd w:val="clear" w:color="auto" w:fill="auto"/>
      <w:snapToGrid w:val="0"/>
      <w:jc w:val="left"/>
      <w:rPr>
        <w:rFonts w:ascii="Calibri" w:hAnsi="Calibri" w:eastAsia="宋体" w:cs="Times New Roman"/>
        <w:kern w:val="2"/>
        <w:sz w:val="18"/>
        <w:szCs w:val="18"/>
        <w:lang w:val="en-US" w:eastAsia="zh-CN" w:bidi="ar-SA"/>
      </w:rPr>
    </w:pPr>
    <w:r>
      <w:rPr>
        <w:rFonts w:ascii="Calibri" w:hAnsi="Calibri" w:eastAsia="宋体" w:cs="Times New Roman"/>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1247C236">
                          <w:pPr>
                            <w:widowControl w:val="0"/>
                            <w:shd w:val="clear" w:color="auto" w:fill="auto"/>
                            <w:snapToGrid w:val="0"/>
                            <w:jc w:val="left"/>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fldChar w:fldCharType="begin"/>
                          </w:r>
                          <w:r>
                            <w:rPr>
                              <w:rFonts w:hint="default" w:ascii="Times New Roman" w:hAnsi="Times New Roman" w:eastAsia="宋体" w:cs="Times New Roman"/>
                              <w:kern w:val="2"/>
                              <w:sz w:val="28"/>
                              <w:szCs w:val="28"/>
                              <w:lang w:val="en-US" w:eastAsia="zh-CN" w:bidi="ar-SA"/>
                            </w:rPr>
                            <w:instrText xml:space="preserve"> PAGE  \* MERGEFORMAT </w:instrText>
                          </w:r>
                          <w:r>
                            <w:rPr>
                              <w:rFonts w:hint="default" w:ascii="Times New Roman" w:hAnsi="Times New Roman" w:eastAsia="宋体" w:cs="Times New Roman"/>
                              <w:kern w:val="2"/>
                              <w:sz w:val="28"/>
                              <w:szCs w:val="28"/>
                              <w:lang w:val="en-US" w:eastAsia="zh-CN" w:bidi="ar-SA"/>
                            </w:rPr>
                            <w:fldChar w:fldCharType="separate"/>
                          </w:r>
                          <w:r>
                            <w:rPr>
                              <w:rFonts w:hint="default" w:ascii="Times New Roman" w:hAnsi="Times New Roman" w:eastAsia="宋体" w:cs="Times New Roman"/>
                              <w:kern w:val="2"/>
                              <w:sz w:val="28"/>
                              <w:szCs w:val="28"/>
                              <w:lang w:val="en-US" w:eastAsia="zh-CN" w:bidi="ar-SA"/>
                            </w:rPr>
                            <w:t>1</w:t>
                          </w:r>
                          <w:r>
                            <w:rPr>
                              <w:rFonts w:hint="default" w:ascii="Times New Roman" w:hAnsi="Times New Roman" w:eastAsia="宋体" w:cs="Times New Roman"/>
                              <w:kern w:val="2"/>
                              <w:sz w:val="28"/>
                              <w:szCs w:val="28"/>
                              <w:lang w:val="en-US" w:eastAsia="zh-CN" w:bidi="ar-SA"/>
                            </w:rPr>
                            <w:fldChar w:fldCharType="end"/>
                          </w:r>
                          <w:r>
                            <w:rPr>
                              <w:rFonts w:hint="default" w:ascii="Times New Roman" w:hAnsi="Times New Roman" w:eastAsia="宋体" w:cs="Times New Roman"/>
                              <w:kern w:val="2"/>
                              <w:sz w:val="28"/>
                              <w:szCs w:val="28"/>
                              <w:lang w:val="en-US" w:eastAsia="zh-CN" w:bidi="ar-SA"/>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NJWO7QAAAABQEAAA8AAAAAAAAAAQAgAAAAIgAAAGRycy9k&#10;b3ducmV2LnhtbFBLAQIUABQAAAAIAIdO4kC+VVpd0QEAAKIDAAAOAAAAAAAAAAEAIAAAAB8BAABk&#10;cnMvZTJvRG9jLnhtbFBLBQYAAAAABgAGAFkBAABiBQAAAAA=&#10;">
              <v:fill on="f" focussize="0,0"/>
              <v:stroke on="f" weight="0.5pt"/>
              <v:imagedata o:title=""/>
              <o:lock v:ext="edit" aspectratio="f"/>
              <v:textbox inset="0mm,0mm,0mm,0mm" style="mso-fit-shape-to-text:t;">
                <w:txbxContent>
                  <w:p w14:paraId="1247C236">
                    <w:pPr>
                      <w:widowControl w:val="0"/>
                      <w:shd w:val="clear" w:color="auto" w:fill="auto"/>
                      <w:snapToGrid w:val="0"/>
                      <w:jc w:val="left"/>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fldChar w:fldCharType="begin"/>
                    </w:r>
                    <w:r>
                      <w:rPr>
                        <w:rFonts w:hint="default" w:ascii="Times New Roman" w:hAnsi="Times New Roman" w:eastAsia="宋体" w:cs="Times New Roman"/>
                        <w:kern w:val="2"/>
                        <w:sz w:val="28"/>
                        <w:szCs w:val="28"/>
                        <w:lang w:val="en-US" w:eastAsia="zh-CN" w:bidi="ar-SA"/>
                      </w:rPr>
                      <w:instrText xml:space="preserve"> PAGE  \* MERGEFORMAT </w:instrText>
                    </w:r>
                    <w:r>
                      <w:rPr>
                        <w:rFonts w:hint="default" w:ascii="Times New Roman" w:hAnsi="Times New Roman" w:eastAsia="宋体" w:cs="Times New Roman"/>
                        <w:kern w:val="2"/>
                        <w:sz w:val="28"/>
                        <w:szCs w:val="28"/>
                        <w:lang w:val="en-US" w:eastAsia="zh-CN" w:bidi="ar-SA"/>
                      </w:rPr>
                      <w:fldChar w:fldCharType="separate"/>
                    </w:r>
                    <w:r>
                      <w:rPr>
                        <w:rFonts w:hint="default" w:ascii="Times New Roman" w:hAnsi="Times New Roman" w:eastAsia="宋体" w:cs="Times New Roman"/>
                        <w:kern w:val="2"/>
                        <w:sz w:val="28"/>
                        <w:szCs w:val="28"/>
                        <w:lang w:val="en-US" w:eastAsia="zh-CN" w:bidi="ar-SA"/>
                      </w:rPr>
                      <w:t>1</w:t>
                    </w:r>
                    <w:r>
                      <w:rPr>
                        <w:rFonts w:hint="default" w:ascii="Times New Roman" w:hAnsi="Times New Roman" w:eastAsia="宋体" w:cs="Times New Roman"/>
                        <w:kern w:val="2"/>
                        <w:sz w:val="28"/>
                        <w:szCs w:val="28"/>
                        <w:lang w:val="en-US" w:eastAsia="zh-CN" w:bidi="ar-SA"/>
                      </w:rPr>
                      <w:fldChar w:fldCharType="end"/>
                    </w:r>
                    <w:r>
                      <w:rPr>
                        <w:rFonts w:hint="default" w:ascii="Times New Roman" w:hAnsi="Times New Roman" w:eastAsia="宋体" w:cs="Times New Roman"/>
                        <w:kern w:val="2"/>
                        <w:sz w:val="28"/>
                        <w:szCs w:val="28"/>
                        <w:lang w:val="en-US" w:eastAsia="zh-CN" w:bidi="ar-SA"/>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58753A">
    <w:pPr>
      <w:widowControl w:val="0"/>
      <w:shd w:val="clear" w:color="auto" w:fill="auto"/>
      <w:snapToGrid w:val="0"/>
      <w:jc w:val="left"/>
      <w:rPr>
        <w:rFonts w:ascii="Calibri" w:hAnsi="Calibri" w:eastAsia="宋体" w:cs="Times New Roman"/>
        <w:kern w:val="2"/>
        <w:sz w:val="18"/>
        <w:szCs w:val="18"/>
        <w:lang w:val="en-US" w:eastAsia="zh-CN" w:bidi="ar-SA"/>
      </w:rP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29E5488">
                          <w:pPr>
                            <w:widowControl w:val="0"/>
                            <w:shd w:val="clear" w:color="auto" w:fill="auto"/>
                            <w:snapToGrid w:val="0"/>
                            <w:jc w:val="left"/>
                          </w:pP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fldChar w:fldCharType="begin"/>
                          </w:r>
                          <w:r>
                            <w:rPr>
                              <w:rFonts w:hint="default" w:ascii="Times New Roman" w:hAnsi="Times New Roman" w:eastAsia="宋体" w:cs="Times New Roman"/>
                              <w:kern w:val="2"/>
                              <w:sz w:val="28"/>
                              <w:szCs w:val="28"/>
                              <w:lang w:val="en-US" w:eastAsia="zh-CN" w:bidi="ar-SA"/>
                            </w:rPr>
                            <w:instrText xml:space="preserve"> PAGE  \* MERGEFORMAT </w:instrText>
                          </w:r>
                          <w:r>
                            <w:rPr>
                              <w:rFonts w:hint="default" w:ascii="Times New Roman" w:hAnsi="Times New Roman" w:eastAsia="宋体" w:cs="Times New Roman"/>
                              <w:kern w:val="2"/>
                              <w:sz w:val="28"/>
                              <w:szCs w:val="28"/>
                              <w:lang w:val="en-US" w:eastAsia="zh-CN" w:bidi="ar-SA"/>
                            </w:rPr>
                            <w:fldChar w:fldCharType="separate"/>
                          </w:r>
                          <w:r>
                            <w:rPr>
                              <w:rFonts w:hint="default" w:ascii="Times New Roman" w:hAnsi="Times New Roman" w:eastAsia="宋体" w:cs="Times New Roman"/>
                              <w:kern w:val="2"/>
                              <w:sz w:val="28"/>
                              <w:szCs w:val="28"/>
                              <w:lang w:val="en-US" w:eastAsia="zh-CN" w:bidi="ar-SA"/>
                            </w:rPr>
                            <w:t>1</w:t>
                          </w:r>
                          <w:r>
                            <w:rPr>
                              <w:rFonts w:hint="default" w:ascii="Times New Roman" w:hAnsi="Times New Roman" w:eastAsia="宋体" w:cs="Times New Roman"/>
                              <w:kern w:val="2"/>
                              <w:sz w:val="28"/>
                              <w:szCs w:val="28"/>
                              <w:lang w:val="en-US" w:eastAsia="zh-CN" w:bidi="ar-SA"/>
                            </w:rPr>
                            <w:fldChar w:fldCharType="end"/>
                          </w:r>
                          <w:r>
                            <w:rPr>
                              <w:rFonts w:hint="default" w:ascii="Times New Roman" w:hAnsi="Times New Roman" w:eastAsia="宋体" w:cs="Times New Roman"/>
                              <w:kern w:val="2"/>
                              <w:sz w:val="28"/>
                              <w:szCs w:val="28"/>
                              <w:lang w:val="en-US" w:eastAsia="zh-CN" w:bidi="ar-SA"/>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129E5488">
                    <w:pPr>
                      <w:widowControl w:val="0"/>
                      <w:shd w:val="clear" w:color="auto" w:fill="auto"/>
                      <w:snapToGrid w:val="0"/>
                      <w:jc w:val="left"/>
                    </w:pP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fldChar w:fldCharType="begin"/>
                    </w:r>
                    <w:r>
                      <w:rPr>
                        <w:rFonts w:hint="default" w:ascii="Times New Roman" w:hAnsi="Times New Roman" w:eastAsia="宋体" w:cs="Times New Roman"/>
                        <w:kern w:val="2"/>
                        <w:sz w:val="28"/>
                        <w:szCs w:val="28"/>
                        <w:lang w:val="en-US" w:eastAsia="zh-CN" w:bidi="ar-SA"/>
                      </w:rPr>
                      <w:instrText xml:space="preserve"> PAGE  \* MERGEFORMAT </w:instrText>
                    </w:r>
                    <w:r>
                      <w:rPr>
                        <w:rFonts w:hint="default" w:ascii="Times New Roman" w:hAnsi="Times New Roman" w:eastAsia="宋体" w:cs="Times New Roman"/>
                        <w:kern w:val="2"/>
                        <w:sz w:val="28"/>
                        <w:szCs w:val="28"/>
                        <w:lang w:val="en-US" w:eastAsia="zh-CN" w:bidi="ar-SA"/>
                      </w:rPr>
                      <w:fldChar w:fldCharType="separate"/>
                    </w:r>
                    <w:r>
                      <w:rPr>
                        <w:rFonts w:hint="default" w:ascii="Times New Roman" w:hAnsi="Times New Roman" w:eastAsia="宋体" w:cs="Times New Roman"/>
                        <w:kern w:val="2"/>
                        <w:sz w:val="28"/>
                        <w:szCs w:val="28"/>
                        <w:lang w:val="en-US" w:eastAsia="zh-CN" w:bidi="ar-SA"/>
                      </w:rPr>
                      <w:t>1</w:t>
                    </w:r>
                    <w:r>
                      <w:rPr>
                        <w:rFonts w:hint="default" w:ascii="Times New Roman" w:hAnsi="Times New Roman" w:eastAsia="宋体" w:cs="Times New Roman"/>
                        <w:kern w:val="2"/>
                        <w:sz w:val="28"/>
                        <w:szCs w:val="28"/>
                        <w:lang w:val="en-US" w:eastAsia="zh-CN" w:bidi="ar-SA"/>
                      </w:rPr>
                      <w:fldChar w:fldCharType="end"/>
                    </w:r>
                    <w:r>
                      <w:rPr>
                        <w:rFonts w:hint="default" w:ascii="Times New Roman" w:hAnsi="Times New Roman" w:eastAsia="宋体" w:cs="Times New Roman"/>
                        <w:kern w:val="2"/>
                        <w:sz w:val="28"/>
                        <w:szCs w:val="28"/>
                        <w:lang w:val="en-US" w:eastAsia="zh-CN" w:bidi="ar-SA"/>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6BBE8">
    <w:pPr>
      <w:pStyle w:val="8"/>
      <w:rPr>
        <w:lang w:val="en-US" w:eastAsia="zh-C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01019">
    <w:pPr>
      <w:pStyle w:val="8"/>
      <w:rPr>
        <w:lang w:val="en-US" w:eastAsia="zh-C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FE23BA">
    <w:pPr>
      <w:shd w:val="clear" w:color="auto" w:fill="auto"/>
      <w:tabs>
        <w:tab w:val="center" w:pos="4153"/>
        <w:tab w:val="right" w:pos="8306"/>
      </w:tabs>
      <w:snapToGrid w:val="0"/>
      <w:jc w:val="center"/>
      <w:rPr>
        <w:rFonts w:ascii="Calibri" w:hAnsi="Calibri" w:eastAsia="宋体" w:cs="Times New Roman"/>
        <w:sz w:val="18"/>
        <w:szCs w:val="18"/>
      </w:rPr>
    </w:pPr>
    <w:r>
      <w:rPr>
        <w:rFonts w:ascii="Calibri" w:hAnsi="Calibri" w:eastAsia="宋体" w:cs="Times New Roman"/>
        <w:sz w:val="18"/>
        <w:szCs w:val="18"/>
      </w:rPr>
      <w:t xml:space="preserve">- </w:t>
    </w:r>
    <w:r>
      <w:rPr>
        <w:rFonts w:ascii="Times New Roman" w:hAnsi="Times New Roman" w:eastAsia="宋体" w:cs="Times New Roman"/>
        <w:szCs w:val="21"/>
      </w:rPr>
      <w:fldChar w:fldCharType="begin"/>
    </w:r>
    <w:r>
      <w:rPr>
        <w:rFonts w:ascii="Times New Roman" w:hAnsi="Times New Roman" w:eastAsia="宋体" w:cs="Times New Roman"/>
        <w:szCs w:val="21"/>
      </w:rPr>
      <w:instrText xml:space="preserve">PAGE   \* MERGEFORMAT</w:instrText>
    </w:r>
    <w:r>
      <w:rPr>
        <w:rFonts w:ascii="Times New Roman" w:hAnsi="Times New Roman" w:eastAsia="宋体" w:cs="Times New Roman"/>
        <w:szCs w:val="21"/>
      </w:rPr>
      <w:fldChar w:fldCharType="separate"/>
    </w:r>
    <w:r>
      <w:rPr>
        <w:rFonts w:ascii="Times New Roman" w:hAnsi="Times New Roman" w:eastAsia="宋体" w:cs="Times New Roman"/>
        <w:szCs w:val="21"/>
        <w:lang w:val="zh-CN"/>
      </w:rPr>
      <w:t>218</w:t>
    </w:r>
    <w:r>
      <w:rPr>
        <w:rFonts w:ascii="Times New Roman" w:hAnsi="Times New Roman" w:eastAsia="宋体" w:cs="Times New Roman"/>
        <w:szCs w:val="21"/>
      </w:rPr>
      <w:fldChar w:fldCharType="end"/>
    </w:r>
    <w:r>
      <w:rPr>
        <w:rFonts w:ascii="Times New Roman" w:hAnsi="Times New Roman" w:eastAsia="宋体" w:cs="Times New Roman"/>
        <w:szCs w:val="21"/>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FD04B">
    <w:pPr>
      <w:pStyle w:val="8"/>
      <w:ind w:right="280"/>
      <w:jc w:val="right"/>
      <w:rPr>
        <w:rFonts w:ascii="Calibri" w:hAnsi="Calibri" w:eastAsia="宋体" w:cs="Times New Roman"/>
        <w:kern w:val="2"/>
        <w:sz w:val="21"/>
        <w:szCs w:val="21"/>
        <w:lang w:val="en-US" w:eastAsia="zh-CN" w:bidi="ar-SA"/>
      </w:rPr>
    </w:pPr>
    <w:r>
      <w:rPr>
        <w:sz w:val="21"/>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AC4E0CB">
                          <w:pPr>
                            <w:pStyle w:val="8"/>
                            <w:ind w:right="280"/>
                            <w:jc w:val="right"/>
                          </w:pPr>
                          <w:r>
                            <w:rPr>
                              <w:rFonts w:hint="default" w:ascii="Times New Roman" w:hAnsi="Times New Roman" w:cs="Times New Roman"/>
                              <w:kern w:val="0"/>
                              <w:sz w:val="28"/>
                              <w:szCs w:val="28"/>
                            </w:rPr>
                            <w:t xml:space="preserve">— </w:t>
                          </w:r>
                          <w:r>
                            <w:rPr>
                              <w:rFonts w:hint="default" w:ascii="Times New Roman" w:hAnsi="Times New Roman" w:cs="Times New Roman"/>
                              <w:kern w:val="0"/>
                              <w:sz w:val="28"/>
                              <w:szCs w:val="28"/>
                            </w:rPr>
                            <w:fldChar w:fldCharType="begin"/>
                          </w:r>
                          <w:r>
                            <w:rPr>
                              <w:rFonts w:hint="default" w:ascii="Times New Roman" w:hAnsi="Times New Roman" w:cs="Times New Roman"/>
                              <w:kern w:val="0"/>
                              <w:sz w:val="28"/>
                              <w:szCs w:val="28"/>
                            </w:rPr>
                            <w:instrText xml:space="preserve"> PAGE </w:instrText>
                          </w:r>
                          <w:r>
                            <w:rPr>
                              <w:rFonts w:hint="default" w:ascii="Times New Roman" w:hAnsi="Times New Roman" w:cs="Times New Roman"/>
                              <w:kern w:val="0"/>
                              <w:sz w:val="28"/>
                              <w:szCs w:val="28"/>
                            </w:rPr>
                            <w:fldChar w:fldCharType="separate"/>
                          </w:r>
                          <w:r>
                            <w:rPr>
                              <w:rFonts w:hint="default" w:ascii="Times New Roman" w:hAnsi="Times New Roman" w:cs="Times New Roman"/>
                              <w:kern w:val="0"/>
                              <w:sz w:val="28"/>
                              <w:szCs w:val="28"/>
                            </w:rPr>
                            <w:t>4</w:t>
                          </w:r>
                          <w:r>
                            <w:rPr>
                              <w:rFonts w:hint="default" w:ascii="Times New Roman" w:hAnsi="Times New Roman" w:cs="Times New Roman"/>
                              <w:kern w:val="0"/>
                              <w:sz w:val="28"/>
                              <w:szCs w:val="28"/>
                            </w:rPr>
                            <w:fldChar w:fldCharType="end"/>
                          </w:r>
                          <w:r>
                            <w:rPr>
                              <w:rFonts w:hint="default" w:ascii="Times New Roman" w:hAnsi="Times New Roman" w:cs="Times New Roman"/>
                              <w:kern w:val="0"/>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0AC4E0CB">
                    <w:pPr>
                      <w:pStyle w:val="8"/>
                      <w:ind w:right="280"/>
                      <w:jc w:val="right"/>
                    </w:pPr>
                    <w:r>
                      <w:rPr>
                        <w:rFonts w:hint="default" w:ascii="Times New Roman" w:hAnsi="Times New Roman" w:cs="Times New Roman"/>
                        <w:kern w:val="0"/>
                        <w:sz w:val="28"/>
                        <w:szCs w:val="28"/>
                      </w:rPr>
                      <w:t xml:space="preserve">— </w:t>
                    </w:r>
                    <w:r>
                      <w:rPr>
                        <w:rFonts w:hint="default" w:ascii="Times New Roman" w:hAnsi="Times New Roman" w:cs="Times New Roman"/>
                        <w:kern w:val="0"/>
                        <w:sz w:val="28"/>
                        <w:szCs w:val="28"/>
                      </w:rPr>
                      <w:fldChar w:fldCharType="begin"/>
                    </w:r>
                    <w:r>
                      <w:rPr>
                        <w:rFonts w:hint="default" w:ascii="Times New Roman" w:hAnsi="Times New Roman" w:cs="Times New Roman"/>
                        <w:kern w:val="0"/>
                        <w:sz w:val="28"/>
                        <w:szCs w:val="28"/>
                      </w:rPr>
                      <w:instrText xml:space="preserve"> PAGE </w:instrText>
                    </w:r>
                    <w:r>
                      <w:rPr>
                        <w:rFonts w:hint="default" w:ascii="Times New Roman" w:hAnsi="Times New Roman" w:cs="Times New Roman"/>
                        <w:kern w:val="0"/>
                        <w:sz w:val="28"/>
                        <w:szCs w:val="28"/>
                      </w:rPr>
                      <w:fldChar w:fldCharType="separate"/>
                    </w:r>
                    <w:r>
                      <w:rPr>
                        <w:rFonts w:hint="default" w:ascii="Times New Roman" w:hAnsi="Times New Roman" w:cs="Times New Roman"/>
                        <w:kern w:val="0"/>
                        <w:sz w:val="28"/>
                        <w:szCs w:val="28"/>
                      </w:rPr>
                      <w:t>4</w:t>
                    </w:r>
                    <w:r>
                      <w:rPr>
                        <w:rFonts w:hint="default" w:ascii="Times New Roman" w:hAnsi="Times New Roman" w:cs="Times New Roman"/>
                        <w:kern w:val="0"/>
                        <w:sz w:val="28"/>
                        <w:szCs w:val="28"/>
                      </w:rPr>
                      <w:fldChar w:fldCharType="end"/>
                    </w:r>
                    <w:r>
                      <w:rPr>
                        <w:rFonts w:hint="default" w:ascii="Times New Roman" w:hAnsi="Times New Roman" w:cs="Times New Roman"/>
                        <w:kern w:val="0"/>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5A1AF">
    <w:pPr>
      <w:pStyle w:val="9"/>
      <w:pBdr>
        <w:top w:val="none" w:color="auto" w:sz="0" w:space="0"/>
        <w:left w:val="none" w:color="auto" w:sz="0" w:space="0"/>
        <w:bottom w:val="none" w:color="auto" w:sz="0" w:space="1"/>
        <w:right w:val="none" w:color="auto" w:sz="0" w:space="0"/>
        <w:between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F8DDE">
    <w:pPr>
      <w:pStyle w:val="9"/>
      <w:widowControl w:val="0"/>
      <w:rPr>
        <w:rFonts w:hint="eastAsia" w:ascii="Calibri" w:hAnsi="Calibri" w:eastAsia="宋体" w:cs="Times New Roman"/>
        <w:kern w:val="2"/>
        <w:sz w:val="20"/>
        <w:lang w:eastAsia="zh-CN" w:bidi="ar-SA"/>
      </w:rPr>
    </w:pPr>
    <w:r>
      <w:rPr>
        <w:rFonts w:hint="eastAsia" w:ascii="Calibri" w:hAnsi="Calibri" w:eastAsia="宋体" w:cs="Times New Roman"/>
        <w:kern w:val="2"/>
        <w:sz w:val="20"/>
        <w:lang w:eastAsia="zh-CN" w:bidi="ar-SA"/>
      </w:rPr>
      <w:t>广西壮族自治区生态环境准入清单</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655BA">
    <w:pPr>
      <w:pBdr>
        <w:bottom w:val="single" w:color="auto" w:sz="6" w:space="1"/>
      </w:pBdr>
      <w:shd w:val="clear" w:color="auto" w:fill="auto"/>
      <w:tabs>
        <w:tab w:val="center" w:pos="4153"/>
        <w:tab w:val="right" w:pos="8306"/>
      </w:tabs>
      <w:snapToGrid w:val="0"/>
      <w:jc w:val="center"/>
      <w:rPr>
        <w:rFonts w:hint="eastAsia" w:ascii="Calibri" w:hAnsi="Calibri" w:eastAsia="宋体" w:cs="Times New Roman"/>
        <w:sz w:val="20"/>
        <w:szCs w:val="18"/>
        <w:lang w:eastAsia="zh-CN"/>
      </w:rPr>
    </w:pPr>
    <w:r>
      <w:rPr>
        <w:rFonts w:hint="eastAsia" w:ascii="Calibri" w:hAnsi="Calibri" w:eastAsia="宋体" w:cs="Times New Roman"/>
        <w:sz w:val="20"/>
        <w:szCs w:val="18"/>
        <w:lang w:eastAsia="zh-CN"/>
      </w:rPr>
      <w:t>广西壮族自治区生态环境准入及管控要求清单</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39403">
    <w:pPr>
      <w:pStyle w:val="9"/>
      <w:widowControl w:val="0"/>
      <w:rPr>
        <w:rFonts w:hint="eastAsia" w:ascii="Calibri" w:hAnsi="Calibri" w:eastAsia="宋体" w:cs="Times New Roman"/>
        <w:kern w:val="2"/>
        <w:lang w:eastAsia="zh-CN" w:bidi="ar-SA"/>
      </w:rPr>
    </w:pPr>
    <w:r>
      <w:rPr>
        <w:rFonts w:hint="eastAsia" w:ascii="Calibri" w:hAnsi="Calibri" w:eastAsia="宋体" w:cs="Times New Roman"/>
        <w:kern w:val="2"/>
        <w:lang w:eastAsia="zh-CN" w:bidi="ar-SA"/>
      </w:rPr>
      <w:t>广西壮族自治区生态环境准入清单</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1257E4">
    <w:pPr>
      <w:pStyle w:val="9"/>
      <w:widowControl w:val="0"/>
      <w:pBdr>
        <w:bottom w:val="none" w:color="auto" w:sz="0" w:space="1"/>
      </w:pBdr>
      <w:jc w:val="both"/>
      <w:rPr>
        <w:rFonts w:hint="eastAsia" w:ascii="Calibri" w:hAnsi="Calibri" w:eastAsia="宋体" w:cs="Times New Roman"/>
        <w:kern w:val="2"/>
        <w:lang w:eastAsia="zh-CN" w:bidi="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A56A03"/>
    <w:multiLevelType w:val="singleLevel"/>
    <w:tmpl w:val="BDA56A03"/>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NhN2YyZTk1NWZhOTUwODI2Y2E1YWI4OTUxN2E1OGYifQ=="/>
  </w:docVars>
  <w:rsids>
    <w:rsidRoot w:val="0D767496"/>
    <w:rsid w:val="0D767496"/>
    <w:rsid w:val="19A23F2F"/>
    <w:rsid w:val="532525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pBdr>
        <w:top w:val="none" w:color="auto" w:sz="0" w:space="0"/>
        <w:left w:val="none" w:color="auto" w:sz="0" w:space="0"/>
        <w:bottom w:val="none" w:color="auto" w:sz="0" w:space="0"/>
        <w:right w:val="none" w:color="auto" w:sz="0" w:space="0"/>
        <w:between w:val="none" w:color="auto" w:sz="0" w:space="0"/>
      </w:pBdr>
      <w:shd w:val="clear" w:color="auto" w:fill="auto"/>
      <w:jc w:val="both"/>
    </w:pPr>
    <w:rPr>
      <w:rFonts w:ascii="Calibri" w:hAnsi="Calibri" w:eastAsia="宋体" w:cs="Times New Roman"/>
      <w:kern w:val="2"/>
      <w:sz w:val="21"/>
      <w:szCs w:val="24"/>
      <w:lang w:val="en-US" w:eastAsia="zh-CN" w:bidi="ar-SA"/>
    </w:rPr>
  </w:style>
  <w:style w:type="paragraph" w:styleId="5">
    <w:name w:val="heading 1"/>
    <w:basedOn w:val="1"/>
    <w:next w:val="1"/>
    <w:qFormat/>
    <w:uiPriority w:val="9"/>
    <w:pPr>
      <w:keepNext/>
      <w:keepLines/>
      <w:pBdr>
        <w:top w:val="none" w:color="auto" w:sz="0" w:space="0"/>
        <w:left w:val="none" w:color="auto" w:sz="0" w:space="0"/>
        <w:bottom w:val="none" w:color="auto" w:sz="0" w:space="0"/>
        <w:right w:val="none" w:color="auto" w:sz="0" w:space="0"/>
        <w:between w:val="none" w:color="auto" w:sz="0" w:space="0"/>
      </w:pBdr>
      <w:adjustRightInd w:val="0"/>
      <w:snapToGrid w:val="0"/>
      <w:spacing w:beforeLines="50" w:afterLines="50" w:line="300" w:lineRule="auto"/>
      <w:jc w:val="both"/>
      <w:outlineLvl w:val="0"/>
    </w:pPr>
    <w:rPr>
      <w:rFonts w:ascii="Times New Roman" w:hAnsi="Times New Roman" w:eastAsia="黑体"/>
      <w:bCs/>
      <w:kern w:val="44"/>
      <w:sz w:val="32"/>
      <w:szCs w:val="44"/>
      <w:lang w:val="en-US" w:eastAsia="zh-CN"/>
    </w:rPr>
  </w:style>
  <w:style w:type="paragraph" w:styleId="6">
    <w:name w:val="heading 2"/>
    <w:basedOn w:val="1"/>
    <w:next w:val="1"/>
    <w:unhideWhenUsed/>
    <w:qFormat/>
    <w:uiPriority w:val="0"/>
    <w:pPr>
      <w:keepNext/>
      <w:keepLines/>
      <w:pBdr>
        <w:top w:val="none" w:color="auto" w:sz="0" w:space="0"/>
        <w:left w:val="none" w:color="auto" w:sz="0" w:space="0"/>
        <w:bottom w:val="none" w:color="auto" w:sz="0" w:space="0"/>
        <w:right w:val="none" w:color="auto" w:sz="0" w:space="0"/>
        <w:between w:val="none" w:color="auto" w:sz="0" w:space="0"/>
      </w:pBdr>
      <w:adjustRightInd w:val="0"/>
      <w:snapToGrid w:val="0"/>
      <w:spacing w:beforeLines="50" w:afterLines="50" w:line="300" w:lineRule="auto"/>
      <w:jc w:val="both"/>
      <w:outlineLvl w:val="1"/>
    </w:pPr>
    <w:rPr>
      <w:rFonts w:ascii="Times New Roman" w:hAnsi="Times New Roman" w:eastAsia="黑体" w:cs="Times New Roman"/>
      <w:bCs/>
      <w:sz w:val="30"/>
      <w:szCs w:val="32"/>
      <w:lang w:val="en-US" w:eastAsia="zh-CN"/>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customStyle="1" w:styleId="2">
    <w:name w:val="Default"/>
    <w:basedOn w:val="3"/>
    <w:next w:val="4"/>
    <w:unhideWhenUsed/>
    <w:qFormat/>
    <w:uiPriority w:val="99"/>
    <w:pPr>
      <w:widowControl w:val="0"/>
      <w:pBdr>
        <w:top w:val="none" w:color="auto" w:sz="0" w:space="0"/>
        <w:left w:val="none" w:color="auto" w:sz="0" w:space="0"/>
        <w:bottom w:val="none" w:color="auto" w:sz="0" w:space="0"/>
        <w:right w:val="none" w:color="auto" w:sz="0" w:space="0"/>
        <w:between w:val="none" w:color="auto" w:sz="0" w:space="0"/>
      </w:pBdr>
      <w:shd w:val="clear" w:color="auto" w:fill="auto"/>
      <w:autoSpaceDE w:val="0"/>
      <w:autoSpaceDN w:val="0"/>
      <w:adjustRightInd w:val="0"/>
    </w:pPr>
    <w:rPr>
      <w:rFonts w:hint="eastAsia" w:ascii="方正小标宋_GBK" w:hAnsi="方正小标宋_GBK" w:eastAsia="方正小标宋_GBK" w:cs="Times New Roman"/>
      <w:color w:val="000000"/>
      <w:sz w:val="24"/>
      <w:lang w:val="en-US" w:eastAsia="zh-CN" w:bidi="ar-SA"/>
    </w:rPr>
  </w:style>
  <w:style w:type="paragraph" w:customStyle="1" w:styleId="3">
    <w:name w:val="纯文本1"/>
    <w:basedOn w:val="1"/>
    <w:qFormat/>
    <w:uiPriority w:val="0"/>
    <w:pPr>
      <w:textAlignment w:val="baseline"/>
    </w:pPr>
    <w:rPr>
      <w:rFonts w:ascii="宋体" w:hAnsi="Courier New" w:eastAsia="宋体" w:cs="Times New Roman"/>
    </w:rPr>
  </w:style>
  <w:style w:type="paragraph" w:styleId="4">
    <w:name w:val="index 6"/>
    <w:basedOn w:val="1"/>
    <w:next w:val="1"/>
    <w:qFormat/>
    <w:uiPriority w:val="0"/>
    <w:pPr>
      <w:ind w:left="2100"/>
      <w:jc w:val="both"/>
    </w:pPr>
    <w:rPr>
      <w:rFonts w:ascii="Times New Roman" w:hAnsi="Times New Roman"/>
      <w:kern w:val="2"/>
      <w:sz w:val="21"/>
      <w:szCs w:val="24"/>
    </w:rPr>
  </w:style>
  <w:style w:type="paragraph" w:styleId="7">
    <w:name w:val="Body Text"/>
    <w:next w:val="1"/>
    <w:qFormat/>
    <w:uiPriority w:val="0"/>
    <w:pPr>
      <w:widowControl w:val="0"/>
      <w:autoSpaceDE w:val="0"/>
      <w:autoSpaceDN w:val="0"/>
      <w:jc w:val="left"/>
    </w:pPr>
    <w:rPr>
      <w:rFonts w:ascii="方正仿宋_GBK" w:hAnsi="方正仿宋_GBK" w:eastAsia="方正仿宋_GBK" w:cs="方正仿宋_GBK"/>
      <w:kern w:val="0"/>
      <w:sz w:val="32"/>
      <w:szCs w:val="32"/>
      <w:lang w:val="zh-CN" w:eastAsia="zh-CN" w:bidi="zh-CN"/>
    </w:rPr>
  </w:style>
  <w:style w:type="paragraph" w:styleId="8">
    <w:name w:val="footer"/>
    <w:basedOn w:val="1"/>
    <w:qFormat/>
    <w:uiPriority w:val="0"/>
    <w:pPr>
      <w:pBdr>
        <w:top w:val="none" w:color="auto" w:sz="0" w:space="0"/>
        <w:left w:val="none" w:color="auto" w:sz="0" w:space="0"/>
        <w:bottom w:val="none" w:color="auto" w:sz="0" w:space="0"/>
        <w:right w:val="none" w:color="auto" w:sz="0" w:space="0"/>
        <w:between w:val="none" w:color="auto" w:sz="0" w:space="0"/>
      </w:pBdr>
      <w:shd w:val="clear" w:color="auto" w:fill="auto"/>
      <w:tabs>
        <w:tab w:val="center" w:pos="4153"/>
        <w:tab w:val="right" w:pos="8306"/>
      </w:tabs>
      <w:snapToGrid w:val="0"/>
      <w:jc w:val="left"/>
    </w:pPr>
    <w:rPr>
      <w:sz w:val="18"/>
      <w:szCs w:val="18"/>
      <w:lang w:val="en-US" w:eastAsia="zh-CN"/>
    </w:rPr>
  </w:style>
  <w:style w:type="paragraph" w:styleId="9">
    <w:name w:val="header"/>
    <w:basedOn w:val="1"/>
    <w:qFormat/>
    <w:uiPriority w:val="0"/>
    <w:pPr>
      <w:pBdr>
        <w:top w:val="none" w:color="auto" w:sz="0" w:space="0"/>
        <w:left w:val="none" w:color="auto" w:sz="0" w:space="0"/>
        <w:bottom w:val="single" w:color="auto" w:sz="6" w:space="1"/>
        <w:right w:val="none" w:color="auto" w:sz="0" w:space="0"/>
        <w:between w:val="none" w:color="auto" w:sz="0" w:space="0"/>
      </w:pBdr>
      <w:tabs>
        <w:tab w:val="center" w:pos="4153"/>
        <w:tab w:val="right" w:pos="8306"/>
      </w:tabs>
      <w:snapToGrid w:val="0"/>
      <w:jc w:val="center"/>
    </w:pPr>
    <w:rPr>
      <w:sz w:val="18"/>
      <w:szCs w:val="18"/>
      <w:lang w:val="en-US" w:eastAsia="zh-CN"/>
    </w:rPr>
  </w:style>
  <w:style w:type="paragraph" w:styleId="10">
    <w:name w:val="toc 1"/>
    <w:basedOn w:val="1"/>
    <w:next w:val="1"/>
    <w:unhideWhenUsed/>
    <w:qFormat/>
    <w:uiPriority w:val="39"/>
    <w:pPr>
      <w:widowControl/>
      <w:pBdr>
        <w:top w:val="none" w:color="auto" w:sz="0" w:space="0"/>
        <w:left w:val="none" w:color="auto" w:sz="0" w:space="0"/>
        <w:bottom w:val="none" w:color="auto" w:sz="0" w:space="0"/>
        <w:right w:val="none" w:color="auto" w:sz="0" w:space="0"/>
        <w:between w:val="none" w:color="auto" w:sz="0" w:space="0"/>
      </w:pBdr>
      <w:spacing w:after="100" w:line="276" w:lineRule="auto"/>
      <w:jc w:val="left"/>
    </w:pPr>
    <w:rPr>
      <w:kern w:val="0"/>
      <w:sz w:val="22"/>
      <w:lang w:val="en-US" w:eastAsia="zh-CN"/>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4">
    <w:name w:val="NormalCharacter"/>
    <w:qFormat/>
    <w:uiPriority w:val="0"/>
    <w:rPr>
      <w:rFonts w:ascii="Times New Roman" w:hAnsi="Times New Roman" w:eastAsia="仿宋_GB2312" w:cs="Times New Roman"/>
      <w:lang w:bidi="ar-SA"/>
    </w:rPr>
  </w:style>
  <w:style w:type="paragraph" w:customStyle="1" w:styleId="15">
    <w:name w:val="WPSOffice手动目录 1"/>
    <w:qFormat/>
    <w:uiPriority w:val="0"/>
    <w:pPr>
      <w:ind w:leftChars="0"/>
    </w:pPr>
    <w:rPr>
      <w:rFonts w:ascii="Calibri" w:hAnsi="Calibri" w:eastAsia="宋体" w:cs="Times New Roman"/>
      <w:sz w:val="20"/>
      <w:szCs w:val="20"/>
    </w:rPr>
  </w:style>
  <w:style w:type="paragraph" w:customStyle="1" w:styleId="16">
    <w:name w:val="WPSOffice手动目录 2"/>
    <w:qFormat/>
    <w:uiPriority w:val="0"/>
    <w:pPr>
      <w:ind w:leftChars="200"/>
    </w:pPr>
    <w:rPr>
      <w:rFonts w:ascii="Calibri" w:hAnsi="Calibri" w:eastAsia="宋体" w:cs="Times New Roman"/>
      <w:sz w:val="20"/>
      <w:szCs w:val="20"/>
    </w:rPr>
  </w:style>
  <w:style w:type="table" w:customStyle="1" w:styleId="17">
    <w:name w:val="网格型24"/>
    <w:basedOn w:val="1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8">
    <w:name w:val="表格内容"/>
    <w:basedOn w:val="1"/>
    <w:qFormat/>
    <w:uiPriority w:val="0"/>
    <w:pPr>
      <w:pBdr>
        <w:top w:val="none" w:color="auto" w:sz="0" w:space="0"/>
        <w:left w:val="none" w:color="auto" w:sz="0" w:space="0"/>
        <w:bottom w:val="none" w:color="auto" w:sz="0" w:space="0"/>
        <w:right w:val="none" w:color="auto" w:sz="0" w:space="0"/>
        <w:between w:val="none" w:color="auto" w:sz="0" w:space="0"/>
      </w:pBdr>
      <w:adjustRightInd w:val="0"/>
      <w:snapToGrid w:val="0"/>
      <w:jc w:val="both"/>
    </w:pPr>
    <w:rPr>
      <w:rFonts w:ascii="Times New Roman" w:hAnsi="Times New Roman" w:eastAsia="宋体" w:cs="Times New Roman"/>
      <w:szCs w:val="21"/>
      <w:lang w:val="en-US" w:eastAsia="zh-CN"/>
    </w:rPr>
  </w:style>
  <w:style w:type="paragraph" w:styleId="19">
    <w:name w:val="List Paragraph"/>
    <w:basedOn w:val="1"/>
    <w:qFormat/>
    <w:uiPriority w:val="34"/>
    <w:pPr>
      <w:pBdr>
        <w:top w:val="none" w:color="auto" w:sz="0" w:space="0"/>
        <w:left w:val="none" w:color="auto" w:sz="0" w:space="0"/>
        <w:bottom w:val="none" w:color="auto" w:sz="0" w:space="0"/>
        <w:right w:val="none" w:color="auto" w:sz="0" w:space="0"/>
        <w:between w:val="none" w:color="auto" w:sz="0" w:space="0"/>
      </w:pBdr>
      <w:ind w:firstLine="420" w:firstLineChars="200"/>
      <w:jc w:val="both"/>
    </w:pPr>
    <w:rPr>
      <w:lang w:val="en-US" w:eastAsia="zh-CN"/>
    </w:rPr>
  </w:style>
  <w:style w:type="paragraph" w:customStyle="1" w:styleId="20">
    <w:name w:val="表格首行"/>
    <w:basedOn w:val="21"/>
    <w:qFormat/>
    <w:uiPriority w:val="0"/>
    <w:pPr>
      <w:pBdr>
        <w:top w:val="none" w:color="auto" w:sz="0" w:space="0"/>
        <w:left w:val="none" w:color="auto" w:sz="0" w:space="0"/>
        <w:bottom w:val="none" w:color="auto" w:sz="0" w:space="0"/>
        <w:right w:val="none" w:color="auto" w:sz="0" w:space="0"/>
        <w:between w:val="none" w:color="auto" w:sz="0" w:space="0"/>
      </w:pBdr>
      <w:adjustRightInd w:val="0"/>
      <w:snapToGrid w:val="0"/>
      <w:spacing w:line="240" w:lineRule="auto"/>
      <w:jc w:val="center"/>
    </w:pPr>
    <w:rPr>
      <w:rFonts w:ascii="Times New Roman" w:hAnsi="Times New Roman" w:eastAsia="宋体"/>
      <w:b/>
      <w:sz w:val="21"/>
      <w:lang w:val="en-US" w:eastAsia="zh-CN"/>
    </w:rPr>
  </w:style>
  <w:style w:type="paragraph" w:customStyle="1" w:styleId="21">
    <w:name w:val="样式 样式 样式 首行缩进:  2 字符 + 首行缩进:  2 字符 + 首行缩进:  2 字符"/>
    <w:basedOn w:val="1"/>
    <w:qFormat/>
    <w:uiPriority w:val="0"/>
    <w:pPr>
      <w:pBdr>
        <w:top w:val="none" w:color="auto" w:sz="0" w:space="0"/>
        <w:left w:val="none" w:color="auto" w:sz="0" w:space="0"/>
        <w:bottom w:val="none" w:color="auto" w:sz="0" w:space="0"/>
        <w:right w:val="none" w:color="auto" w:sz="0" w:space="0"/>
        <w:between w:val="none" w:color="auto" w:sz="0" w:space="0"/>
      </w:pBdr>
      <w:spacing w:line="360" w:lineRule="auto"/>
      <w:jc w:val="both"/>
    </w:pPr>
    <w:rPr>
      <w:rFonts w:ascii="Arial" w:hAnsi="Arial" w:eastAsia="新宋体" w:cs="宋体"/>
      <w:sz w:val="24"/>
      <w:szCs w:val="20"/>
      <w:lang w:val="en-US" w:eastAsia="zh-CN"/>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jpeg"/><Relationship Id="rId14" Type="http://schemas.openxmlformats.org/officeDocument/2006/relationships/theme" Target="theme/theme1.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26</Pages>
  <Words>2558</Words>
  <Characters>2765</Characters>
  <Lines>0</Lines>
  <Paragraphs>0</Paragraphs>
  <TotalTime>4</TotalTime>
  <ScaleCrop>false</ScaleCrop>
  <LinksUpToDate>false</LinksUpToDate>
  <CharactersWithSpaces>2781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2024-08-13T16:21:00Z</dcterms:created>
  <dc:creator>韦卫华</dc:creator>
  <cp:lastModifiedBy></cp:lastModifiedBy>
  <dcterms:modified xsi:type="dcterms:W3CDTF">2025-01-22T02:42:03Z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808AEFD8FF6A4D2BBF0E2F6B30B17307_12</vt:lpwstr>
  </property>
  <property fmtid="{D5CDD505-2E9C-101B-9397-08002B2CF9AE}" pid="4" name="KSOTemplateDocerSaveRecord">
    <vt:lpwstr>eyJoZGlkIjoiZGNhN2YyZTk1NWZhOTUwODI2Y2E1YWI4OTUxN2E1OGYiLCJ1c2VySWQiOiIzMDI3OTUwMTgifQ==</vt:lpwstr>
  </property>
</Properties>
</file>