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E26D6" w:rsidRDefault="001E26D6" w:rsidP="008362EA">
      <w:pPr>
        <w:spacing w:line="600" w:lineRule="exact"/>
        <w:jc w:val="center"/>
        <w:rPr>
          <w:rFonts w:ascii="方正小标宋_GBK" w:eastAsia="方正小标宋_GBK" w:hAnsi="Times New Roman" w:cs="Times New Roman"/>
          <w:sz w:val="44"/>
          <w:szCs w:val="44"/>
        </w:rPr>
      </w:pPr>
      <w:r w:rsidRPr="008362EA">
        <w:rPr>
          <w:rFonts w:ascii="方正小标宋_GBK" w:eastAsia="方正小标宋_GBK" w:hAnsi="Times New Roman" w:cs="方正小标宋_GBK" w:hint="eastAsia"/>
          <w:sz w:val="44"/>
          <w:szCs w:val="44"/>
        </w:rPr>
        <w:t>政策解读</w:t>
      </w:r>
    </w:p>
    <w:p w:rsidR="001E26D6" w:rsidRDefault="001E26D6" w:rsidP="008362EA">
      <w:pPr>
        <w:spacing w:line="600" w:lineRule="exact"/>
        <w:jc w:val="center"/>
        <w:rPr>
          <w:rFonts w:ascii="方正小标宋_GBK" w:eastAsia="方正小标宋_GBK" w:hAnsi="Times New Roman" w:cs="Times New Roman"/>
          <w:sz w:val="44"/>
          <w:szCs w:val="44"/>
        </w:rPr>
      </w:pPr>
    </w:p>
    <w:p w:rsidR="001E26D6" w:rsidRDefault="001E26D6" w:rsidP="000868B3">
      <w:pPr>
        <w:spacing w:line="600" w:lineRule="exact"/>
        <w:ind w:firstLineChars="200" w:firstLine="31680"/>
        <w:rPr>
          <w:rFonts w:ascii="仿宋" w:eastAsia="仿宋" w:hAnsi="仿宋" w:cs="Times New Roman"/>
          <w:sz w:val="32"/>
          <w:szCs w:val="32"/>
        </w:rPr>
      </w:pPr>
      <w:r w:rsidRPr="00DB5423">
        <w:rPr>
          <w:rFonts w:ascii="仿宋" w:eastAsia="仿宋" w:hAnsi="仿宋" w:cs="仿宋" w:hint="eastAsia"/>
          <w:sz w:val="32"/>
          <w:szCs w:val="32"/>
        </w:rPr>
        <w:t>为了切实做好水电开发的生态环境保护工作，实现水电开发与生态环境保护全面、协调、可持续发展，同时指导水电项目前期工作及环境影响评价文件审批，根据《关于加强水电建设环</w:t>
      </w:r>
      <w:bookmarkStart w:id="0" w:name="_GoBack"/>
      <w:bookmarkEnd w:id="0"/>
      <w:r w:rsidRPr="00DB5423">
        <w:rPr>
          <w:rFonts w:ascii="仿宋" w:eastAsia="仿宋" w:hAnsi="仿宋" w:cs="仿宋" w:hint="eastAsia"/>
          <w:sz w:val="32"/>
          <w:szCs w:val="32"/>
        </w:rPr>
        <w:t>境保护工作的通知》（环发〔</w:t>
      </w:r>
      <w:r w:rsidRPr="00DB5423">
        <w:rPr>
          <w:rFonts w:ascii="仿宋" w:eastAsia="仿宋" w:hAnsi="仿宋" w:cs="仿宋"/>
          <w:sz w:val="32"/>
          <w:szCs w:val="32"/>
        </w:rPr>
        <w:t>2005</w:t>
      </w:r>
      <w:r w:rsidRPr="00DB5423">
        <w:rPr>
          <w:rFonts w:ascii="仿宋" w:eastAsia="仿宋" w:hAnsi="仿宋" w:cs="仿宋" w:hint="eastAsia"/>
          <w:sz w:val="32"/>
          <w:szCs w:val="32"/>
        </w:rPr>
        <w:t>〕</w:t>
      </w:r>
      <w:r w:rsidRPr="00DB5423">
        <w:rPr>
          <w:rFonts w:ascii="仿宋" w:eastAsia="仿宋" w:hAnsi="仿宋" w:cs="仿宋"/>
          <w:sz w:val="32"/>
          <w:szCs w:val="32"/>
        </w:rPr>
        <w:t>13</w:t>
      </w:r>
      <w:r w:rsidRPr="00DB5423">
        <w:rPr>
          <w:rFonts w:ascii="仿宋" w:eastAsia="仿宋" w:hAnsi="仿宋" w:cs="仿宋" w:hint="eastAsia"/>
          <w:sz w:val="32"/>
          <w:szCs w:val="32"/>
        </w:rPr>
        <w:t>号）、《关于进一步加强水电建设环境保护工作的通知》（环办〔</w:t>
      </w:r>
      <w:r w:rsidRPr="00DB5423">
        <w:rPr>
          <w:rFonts w:ascii="仿宋" w:eastAsia="仿宋" w:hAnsi="仿宋" w:cs="仿宋"/>
          <w:sz w:val="32"/>
          <w:szCs w:val="32"/>
        </w:rPr>
        <w:t>2012</w:t>
      </w:r>
      <w:r w:rsidRPr="00DB5423">
        <w:rPr>
          <w:rFonts w:ascii="仿宋" w:eastAsia="仿宋" w:hAnsi="仿宋" w:cs="仿宋" w:hint="eastAsia"/>
          <w:sz w:val="32"/>
          <w:szCs w:val="32"/>
        </w:rPr>
        <w:t>〕</w:t>
      </w:r>
      <w:r w:rsidRPr="00DB5423">
        <w:rPr>
          <w:rFonts w:ascii="仿宋" w:eastAsia="仿宋" w:hAnsi="仿宋" w:cs="仿宋"/>
          <w:sz w:val="32"/>
          <w:szCs w:val="32"/>
        </w:rPr>
        <w:t>4</w:t>
      </w:r>
      <w:r w:rsidRPr="00DB5423">
        <w:rPr>
          <w:rFonts w:ascii="仿宋" w:eastAsia="仿宋" w:hAnsi="仿宋" w:cs="仿宋" w:hint="eastAsia"/>
          <w:sz w:val="32"/>
          <w:szCs w:val="32"/>
        </w:rPr>
        <w:t>号）等要求，</w:t>
      </w:r>
      <w:r>
        <w:rPr>
          <w:rFonts w:ascii="仿宋" w:eastAsia="仿宋" w:hAnsi="仿宋" w:cs="仿宋" w:hint="eastAsia"/>
          <w:sz w:val="32"/>
          <w:szCs w:val="32"/>
        </w:rPr>
        <w:t>自治区环境保护技术中心研究</w:t>
      </w:r>
      <w:r w:rsidRPr="00DB5423">
        <w:rPr>
          <w:rFonts w:ascii="仿宋" w:eastAsia="仿宋" w:hAnsi="仿宋" w:cs="仿宋" w:hint="eastAsia"/>
          <w:sz w:val="32"/>
          <w:szCs w:val="32"/>
        </w:rPr>
        <w:t>制定本指导意见。</w:t>
      </w:r>
    </w:p>
    <w:p w:rsidR="001E26D6" w:rsidRDefault="001E26D6" w:rsidP="000868B3">
      <w:pPr>
        <w:autoSpaceDE w:val="0"/>
        <w:autoSpaceDN w:val="0"/>
        <w:adjustRightInd w:val="0"/>
        <w:spacing w:line="600" w:lineRule="exact"/>
        <w:ind w:firstLineChars="200" w:firstLine="31680"/>
        <w:rPr>
          <w:rFonts w:ascii="仿宋" w:eastAsia="仿宋" w:hAnsi="仿宋" w:cs="Times New Roman"/>
          <w:sz w:val="32"/>
          <w:szCs w:val="32"/>
        </w:rPr>
      </w:pPr>
      <w:r>
        <w:rPr>
          <w:rFonts w:ascii="仿宋" w:eastAsia="仿宋" w:hAnsi="仿宋" w:cs="仿宋" w:hint="eastAsia"/>
          <w:sz w:val="32"/>
          <w:szCs w:val="32"/>
        </w:rPr>
        <w:t>主要的条款说明如下：</w:t>
      </w:r>
    </w:p>
    <w:p w:rsidR="001E26D6" w:rsidRPr="002E0D76" w:rsidRDefault="001E26D6" w:rsidP="000868B3">
      <w:pPr>
        <w:autoSpaceDE w:val="0"/>
        <w:autoSpaceDN w:val="0"/>
        <w:adjustRightInd w:val="0"/>
        <w:spacing w:line="600" w:lineRule="exact"/>
        <w:ind w:firstLineChars="200" w:firstLine="31680"/>
        <w:rPr>
          <w:rFonts w:ascii="Times New Roman" w:eastAsia="仿宋" w:hAnsi="Times New Roman" w:cs="Times New Roman"/>
          <w:kern w:val="0"/>
          <w:sz w:val="30"/>
          <w:szCs w:val="30"/>
        </w:rPr>
      </w:pPr>
      <w:r w:rsidRPr="002E0D76">
        <w:rPr>
          <w:rFonts w:ascii="Times New Roman" w:eastAsia="仿宋" w:hAnsi="Times New Roman" w:cs="仿宋" w:hint="eastAsia"/>
          <w:kern w:val="0"/>
          <w:sz w:val="30"/>
          <w:szCs w:val="30"/>
        </w:rPr>
        <w:t>（一）以防洪、供水、灌溉等为主兼顾发电的建设项目，其环境准入条件按相关法律法规执行。</w:t>
      </w:r>
    </w:p>
    <w:p w:rsidR="001E26D6" w:rsidRPr="002E0D76" w:rsidRDefault="001E26D6" w:rsidP="000868B3">
      <w:pPr>
        <w:autoSpaceDE w:val="0"/>
        <w:autoSpaceDN w:val="0"/>
        <w:adjustRightInd w:val="0"/>
        <w:spacing w:line="600" w:lineRule="exact"/>
        <w:ind w:firstLineChars="200" w:firstLine="31680"/>
        <w:rPr>
          <w:rFonts w:ascii="Times New Roman" w:eastAsia="仿宋" w:hAnsi="Times New Roman" w:cs="Times New Roman"/>
          <w:kern w:val="0"/>
          <w:sz w:val="30"/>
          <w:szCs w:val="30"/>
        </w:rPr>
      </w:pPr>
      <w:r w:rsidRPr="002E0D76">
        <w:rPr>
          <w:rFonts w:ascii="Times New Roman" w:eastAsia="仿宋" w:hAnsi="Times New Roman" w:cs="仿宋" w:hint="eastAsia"/>
          <w:kern w:val="0"/>
          <w:sz w:val="30"/>
          <w:szCs w:val="30"/>
        </w:rPr>
        <w:t>（二）水生动植物自然保护区的核心区、缓冲区及试验区，陆生动植物自然保护区的核心区及缓冲区，饮用水水源一级保护区，风景名胜区的核心景区，森林公园的核心景观区和生态保育区，湿地公园的保育区，水产种质资源保护区的核心区范围内禁止新建、改建、扩建水电项目。</w:t>
      </w:r>
    </w:p>
    <w:p w:rsidR="001E26D6" w:rsidRPr="002E0D76" w:rsidRDefault="001E26D6" w:rsidP="000868B3">
      <w:pPr>
        <w:autoSpaceDE w:val="0"/>
        <w:autoSpaceDN w:val="0"/>
        <w:adjustRightInd w:val="0"/>
        <w:spacing w:line="600" w:lineRule="exact"/>
        <w:ind w:firstLineChars="200" w:firstLine="31680"/>
        <w:rPr>
          <w:rFonts w:ascii="Times New Roman" w:eastAsia="仿宋" w:hAnsi="Times New Roman" w:cs="Times New Roman"/>
          <w:kern w:val="0"/>
          <w:sz w:val="30"/>
          <w:szCs w:val="30"/>
        </w:rPr>
      </w:pPr>
      <w:r w:rsidRPr="002E0D76">
        <w:rPr>
          <w:rFonts w:ascii="Times New Roman" w:eastAsia="仿宋" w:hAnsi="Times New Roman" w:cs="仿宋" w:hint="eastAsia"/>
          <w:kern w:val="0"/>
          <w:sz w:val="30"/>
          <w:szCs w:val="30"/>
        </w:rPr>
        <w:t>本条中水生动植物自然保护区的试验区禁止新建、改建、扩建水电项目严于《自然保护区管理条例》、《水生野生动物保护实施条例》等相关要求。淹没区、拦河设施、减水河段、发电引水渠道、厂房等位于水生动植物自然保护区范围内的禁止建设。</w:t>
      </w:r>
    </w:p>
    <w:p w:rsidR="001E26D6" w:rsidRPr="002E0D76" w:rsidRDefault="001E26D6" w:rsidP="000868B3">
      <w:pPr>
        <w:autoSpaceDE w:val="0"/>
        <w:autoSpaceDN w:val="0"/>
        <w:adjustRightInd w:val="0"/>
        <w:spacing w:line="600" w:lineRule="exact"/>
        <w:ind w:firstLineChars="200" w:firstLine="31680"/>
        <w:rPr>
          <w:rFonts w:ascii="Times New Roman" w:eastAsia="仿宋" w:hAnsi="Times New Roman" w:cs="Times New Roman"/>
          <w:kern w:val="0"/>
          <w:sz w:val="30"/>
          <w:szCs w:val="30"/>
        </w:rPr>
      </w:pPr>
      <w:r w:rsidRPr="002E0D76">
        <w:rPr>
          <w:rFonts w:ascii="Times New Roman" w:eastAsia="仿宋" w:hAnsi="Times New Roman" w:cs="仿宋" w:hint="eastAsia"/>
          <w:kern w:val="0"/>
          <w:sz w:val="30"/>
          <w:szCs w:val="30"/>
        </w:rPr>
        <w:t>《水产种质资源保护区管理暂行办法》为农业部令，本指导意见提出水产种质资源保护区核心区内禁止新建水电建设项目。</w:t>
      </w:r>
    </w:p>
    <w:p w:rsidR="001E26D6" w:rsidRPr="002E0D76" w:rsidRDefault="001E26D6" w:rsidP="000868B3">
      <w:pPr>
        <w:numPr>
          <w:ilvl w:val="0"/>
          <w:numId w:val="1"/>
        </w:numPr>
        <w:autoSpaceDE w:val="0"/>
        <w:autoSpaceDN w:val="0"/>
        <w:adjustRightInd w:val="0"/>
        <w:spacing w:line="600" w:lineRule="exact"/>
        <w:ind w:firstLineChars="200" w:firstLine="31680"/>
        <w:rPr>
          <w:rFonts w:ascii="Times New Roman" w:eastAsia="仿宋" w:hAnsi="Times New Roman" w:cs="Times New Roman"/>
          <w:kern w:val="0"/>
          <w:sz w:val="30"/>
          <w:szCs w:val="30"/>
        </w:rPr>
      </w:pPr>
      <w:r w:rsidRPr="002E0D76">
        <w:rPr>
          <w:rFonts w:ascii="Times New Roman" w:eastAsia="仿宋" w:hAnsi="Times New Roman" w:cs="仿宋" w:hint="eastAsia"/>
          <w:kern w:val="0"/>
          <w:sz w:val="30"/>
          <w:szCs w:val="30"/>
        </w:rPr>
        <w:t>环境保护措施必须落实环境基流下放措施，并通过环境影响评价充分论证下泄的生态流量是否能满足维持减水河段生态环境质量的要求，而不是简单的以多年平均流量的</w:t>
      </w:r>
      <w:r w:rsidRPr="002E0D76">
        <w:rPr>
          <w:rFonts w:ascii="Times New Roman" w:eastAsia="仿宋" w:hAnsi="Times New Roman" w:cs="Times New Roman"/>
          <w:kern w:val="0"/>
          <w:sz w:val="30"/>
          <w:szCs w:val="30"/>
        </w:rPr>
        <w:t>10%</w:t>
      </w:r>
      <w:r w:rsidRPr="002E0D76">
        <w:rPr>
          <w:rFonts w:ascii="Times New Roman" w:eastAsia="仿宋" w:hAnsi="Times New Roman" w:cs="仿宋" w:hint="eastAsia"/>
          <w:kern w:val="0"/>
          <w:sz w:val="30"/>
          <w:szCs w:val="30"/>
        </w:rPr>
        <w:t>和</w:t>
      </w:r>
      <w:r w:rsidRPr="002E0D76">
        <w:rPr>
          <w:rFonts w:ascii="Times New Roman" w:eastAsia="仿宋" w:hAnsi="Times New Roman" w:cs="Times New Roman"/>
          <w:kern w:val="0"/>
          <w:sz w:val="30"/>
          <w:szCs w:val="30"/>
        </w:rPr>
        <w:t>90%</w:t>
      </w:r>
      <w:r w:rsidRPr="002E0D76">
        <w:rPr>
          <w:rFonts w:ascii="Times New Roman" w:eastAsia="仿宋" w:hAnsi="Times New Roman" w:cs="仿宋" w:hint="eastAsia"/>
          <w:kern w:val="0"/>
          <w:sz w:val="30"/>
          <w:szCs w:val="30"/>
        </w:rPr>
        <w:t>保证率最枯月平均流量来确定。</w:t>
      </w:r>
    </w:p>
    <w:p w:rsidR="001E26D6" w:rsidRPr="002E0D76" w:rsidRDefault="001E26D6" w:rsidP="000868B3">
      <w:pPr>
        <w:numPr>
          <w:ilvl w:val="0"/>
          <w:numId w:val="1"/>
        </w:numPr>
        <w:autoSpaceDE w:val="0"/>
        <w:autoSpaceDN w:val="0"/>
        <w:adjustRightInd w:val="0"/>
        <w:spacing w:line="600" w:lineRule="exact"/>
        <w:ind w:firstLineChars="200" w:firstLine="31680"/>
        <w:rPr>
          <w:rFonts w:ascii="Times New Roman" w:eastAsia="仿宋" w:hAnsi="Times New Roman" w:cs="Times New Roman"/>
          <w:kern w:val="0"/>
          <w:sz w:val="30"/>
          <w:szCs w:val="30"/>
        </w:rPr>
      </w:pPr>
      <w:r w:rsidRPr="002E0D76">
        <w:rPr>
          <w:rFonts w:ascii="Times New Roman" w:eastAsia="仿宋" w:hAnsi="Times New Roman" w:cs="仿宋" w:hint="eastAsia"/>
          <w:kern w:val="0"/>
          <w:sz w:val="30"/>
          <w:szCs w:val="30"/>
        </w:rPr>
        <w:t>引水式电站必须在拦河坝、引水渠道或管道上设置自动放水闸或分水管、放水闸或分水管放水警报、视频监控及测流装置，向坝下河段下放生态流量。放水设施需实现远程控制。</w:t>
      </w:r>
    </w:p>
    <w:p w:rsidR="001E26D6" w:rsidRPr="002E0D76" w:rsidRDefault="001E26D6" w:rsidP="000868B3">
      <w:pPr>
        <w:autoSpaceDE w:val="0"/>
        <w:autoSpaceDN w:val="0"/>
        <w:adjustRightInd w:val="0"/>
        <w:spacing w:line="600" w:lineRule="exact"/>
        <w:ind w:firstLineChars="200" w:firstLine="31680"/>
        <w:rPr>
          <w:rFonts w:ascii="Times New Roman" w:eastAsia="仿宋" w:hAnsi="Times New Roman" w:cs="Times New Roman"/>
          <w:sz w:val="30"/>
          <w:szCs w:val="30"/>
        </w:rPr>
      </w:pPr>
      <w:r w:rsidRPr="002E0D76">
        <w:rPr>
          <w:rFonts w:ascii="Times New Roman" w:eastAsia="仿宋" w:hAnsi="Times New Roman" w:cs="仿宋" w:hint="eastAsia"/>
          <w:kern w:val="0"/>
          <w:sz w:val="30"/>
          <w:szCs w:val="30"/>
        </w:rPr>
        <w:t>为了保护坝下河段水环境，引水式电站不发电时不得在河道取水。引水系统为管道的引水式电站，不发电时关闭引水管道阀门即可实现不取水；引水系统为渠道的，必须在拦河坝上设置放水闸，或者在渠道紧邻坝下渠段设置放水闸及启闭闸，放水闸向坝下河道放水，启闭闸可控制向引水管道放水；或者将引水渠道前段设置为管道，按管道方式控制取水。</w:t>
      </w:r>
    </w:p>
    <w:sectPr w:rsidR="001E26D6" w:rsidRPr="002E0D76" w:rsidSect="00C42F2A">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1E26D6" w:rsidRDefault="001E26D6" w:rsidP="001337DA">
      <w:pPr>
        <w:rPr>
          <w:rFonts w:cs="Times New Roman"/>
        </w:rPr>
      </w:pPr>
      <w:r>
        <w:rPr>
          <w:rFonts w:cs="Times New Roman"/>
        </w:rPr>
        <w:separator/>
      </w:r>
    </w:p>
  </w:endnote>
  <w:endnote w:type="continuationSeparator" w:id="0">
    <w:p w:rsidR="001E26D6" w:rsidRDefault="001E26D6" w:rsidP="001337DA">
      <w:pPr>
        <w:rPr>
          <w:rFonts w:cs="Times New Roman"/>
        </w:rPr>
      </w:pPr>
      <w:r>
        <w:rPr>
          <w:rFonts w:cs="Times New Roman"/>
        </w:rP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方正小标宋_GBK">
    <w:panose1 w:val="03000509000000000000"/>
    <w:charset w:val="86"/>
    <w:family w:val="script"/>
    <w:pitch w:val="fixed"/>
    <w:sig w:usb0="00000001" w:usb1="080E0000" w:usb2="00000010" w:usb3="00000000" w:csb0="00040000" w:csb1="00000000"/>
  </w:font>
  <w:font w:name="仿宋">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1E26D6" w:rsidRDefault="001E26D6" w:rsidP="001337DA">
      <w:pPr>
        <w:rPr>
          <w:rFonts w:cs="Times New Roman"/>
        </w:rPr>
      </w:pPr>
      <w:r>
        <w:rPr>
          <w:rFonts w:cs="Times New Roman"/>
        </w:rPr>
        <w:separator/>
      </w:r>
    </w:p>
  </w:footnote>
  <w:footnote w:type="continuationSeparator" w:id="0">
    <w:p w:rsidR="001E26D6" w:rsidRDefault="001E26D6" w:rsidP="001337DA">
      <w:pPr>
        <w:rPr>
          <w:rFonts w:cs="Times New Roman"/>
        </w:rPr>
      </w:pPr>
      <w:r>
        <w:rPr>
          <w:rFonts w:cs="Times New Roman"/>
        </w:rP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7C6C964"/>
    <w:multiLevelType w:val="singleLevel"/>
    <w:tmpl w:val="17C6C964"/>
    <w:lvl w:ilvl="0">
      <w:start w:val="3"/>
      <w:numFmt w:val="chineseCounting"/>
      <w:suff w:val="nothing"/>
      <w:lvlText w:val="（%1）"/>
      <w:lvlJc w:val="left"/>
      <w:rPr>
        <w:rFonts w:hint="eastAsia"/>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bordersDoNotSurroundHeader/>
  <w:bordersDoNotSurroundFooter/>
  <w:defaultTabStop w:val="420"/>
  <w:doNotHyphenateCaps/>
  <w:drawingGridVerticalSpacing w:val="156"/>
  <w:displayHorizontalDrawingGridEvery w:val="0"/>
  <w:displayVerticalDrawingGridEvery w:val="2"/>
  <w:characterSpacingControl w:val="compressPunctuation"/>
  <w:noLineBreaksAfter w:lang="zh-CN" w:val="$([{£¥·‘“〈《「『【〔〖〝﹙﹛﹝＄（．［｛￡￥"/>
  <w:noLineBreaksBefore w:lang="zh-CN" w:val="!%),.:;&gt;?]}¢¨°·ˇˉ―‖’”…‰′″›℃∶、。〃〉》」』】〕〗〞︶︺︾﹀﹄﹚﹜﹞！＂％＇），．：；？］｀｜｝～￠"/>
  <w:doNotValidateAgainstSchema/>
  <w:doNotDemarcateInvalidXml/>
  <w:footnotePr>
    <w:footnote w:id="-1"/>
    <w:footnote w:id="0"/>
  </w:footnotePr>
  <w:endnotePr>
    <w:endnote w:id="-1"/>
    <w:endnote w:id="0"/>
  </w:endnotePr>
  <w:compat>
    <w:spaceForUL/>
    <w:balanceSingleByteDoubleByteWidth/>
    <w:doNotLeaveBackslashAlone/>
    <w:ulTrailSpace/>
    <w:doNotExpandShiftReturn/>
    <w:adjustLineHeightInTable/>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8362EA"/>
    <w:rsid w:val="000868B3"/>
    <w:rsid w:val="0011246F"/>
    <w:rsid w:val="001337DA"/>
    <w:rsid w:val="001E26D6"/>
    <w:rsid w:val="00213670"/>
    <w:rsid w:val="00256C66"/>
    <w:rsid w:val="00272682"/>
    <w:rsid w:val="002E0D76"/>
    <w:rsid w:val="00330CE5"/>
    <w:rsid w:val="004927F2"/>
    <w:rsid w:val="004E47DB"/>
    <w:rsid w:val="004F4053"/>
    <w:rsid w:val="006D5D17"/>
    <w:rsid w:val="008362EA"/>
    <w:rsid w:val="00921FFF"/>
    <w:rsid w:val="00A01B13"/>
    <w:rsid w:val="00A21536"/>
    <w:rsid w:val="00A82DFB"/>
    <w:rsid w:val="00A82F72"/>
    <w:rsid w:val="00AD7AFD"/>
    <w:rsid w:val="00B0536A"/>
    <w:rsid w:val="00B458C5"/>
    <w:rsid w:val="00BD54A7"/>
    <w:rsid w:val="00C42F2A"/>
    <w:rsid w:val="00DB5423"/>
    <w:rsid w:val="00EC4763"/>
    <w:rsid w:val="00F722EB"/>
    <w:rsid w:val="00F72E16"/>
  </w:rsids>
  <m:mathPr>
    <m:mathFont m:val="Cambria Math"/>
    <m:brkBin m:val="before"/>
    <m:brkBinSub m:val="--"/>
    <m:smallFrac m:val="off"/>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宋体" w:hAnsi="Calibri" w:cs="Times New Roman"/>
        <w:kern w:val="2"/>
        <w:sz w:val="21"/>
        <w:szCs w:val="22"/>
        <w:lang w:val="en-US" w:eastAsia="zh-CN"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42F2A"/>
    <w:pPr>
      <w:widowControl w:val="0"/>
      <w:jc w:val="both"/>
    </w:pPr>
    <w:rPr>
      <w:rFonts w:cs="Calibri"/>
      <w:szCs w:val="21"/>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1337DA"/>
    <w:pPr>
      <w:pBdr>
        <w:bottom w:val="single" w:sz="6" w:space="1" w:color="auto"/>
      </w:pBdr>
      <w:tabs>
        <w:tab w:val="center" w:pos="4153"/>
        <w:tab w:val="right" w:pos="8306"/>
      </w:tabs>
      <w:snapToGrid w:val="0"/>
      <w:jc w:val="center"/>
    </w:pPr>
    <w:rPr>
      <w:sz w:val="18"/>
      <w:szCs w:val="18"/>
    </w:rPr>
  </w:style>
  <w:style w:type="character" w:customStyle="1" w:styleId="HeaderChar">
    <w:name w:val="Header Char"/>
    <w:basedOn w:val="DefaultParagraphFont"/>
    <w:link w:val="Header"/>
    <w:uiPriority w:val="99"/>
    <w:locked/>
    <w:rsid w:val="001337DA"/>
    <w:rPr>
      <w:sz w:val="18"/>
      <w:szCs w:val="18"/>
    </w:rPr>
  </w:style>
  <w:style w:type="paragraph" w:styleId="Footer">
    <w:name w:val="footer"/>
    <w:basedOn w:val="Normal"/>
    <w:link w:val="FooterChar"/>
    <w:uiPriority w:val="99"/>
    <w:rsid w:val="001337DA"/>
    <w:pPr>
      <w:tabs>
        <w:tab w:val="center" w:pos="4153"/>
        <w:tab w:val="right" w:pos="8306"/>
      </w:tabs>
      <w:snapToGrid w:val="0"/>
      <w:jc w:val="left"/>
    </w:pPr>
    <w:rPr>
      <w:sz w:val="18"/>
      <w:szCs w:val="18"/>
    </w:rPr>
  </w:style>
  <w:style w:type="character" w:customStyle="1" w:styleId="FooterChar">
    <w:name w:val="Footer Char"/>
    <w:basedOn w:val="DefaultParagraphFont"/>
    <w:link w:val="Footer"/>
    <w:uiPriority w:val="99"/>
    <w:locked/>
    <w:rsid w:val="001337DA"/>
    <w:rPr>
      <w:sz w:val="18"/>
      <w:szCs w:val="18"/>
    </w:rPr>
  </w:style>
  <w:style w:type="paragraph" w:styleId="BalloonText">
    <w:name w:val="Balloon Text"/>
    <w:basedOn w:val="Normal"/>
    <w:link w:val="BalloonTextChar"/>
    <w:uiPriority w:val="99"/>
    <w:semiHidden/>
    <w:rsid w:val="00272682"/>
    <w:rPr>
      <w:sz w:val="18"/>
      <w:szCs w:val="18"/>
    </w:rPr>
  </w:style>
  <w:style w:type="character" w:customStyle="1" w:styleId="BalloonTextChar">
    <w:name w:val="Balloon Text Char"/>
    <w:basedOn w:val="DefaultParagraphFont"/>
    <w:link w:val="BalloonText"/>
    <w:uiPriority w:val="99"/>
    <w:semiHidden/>
    <w:locked/>
    <w:rsid w:val="00272682"/>
    <w:rPr>
      <w:sz w:val="18"/>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3</TotalTime>
  <Pages>2</Pages>
  <Words>405</Words>
  <Characters>442</Characters>
  <Application>Microsoft Office Outlook</Application>
  <DocSecurity>0</DocSecurity>
  <Lines>0</Lines>
  <Paragraphs>0</Paragraphs>
  <ScaleCrop>false</ScaleCrop>
  <Company>DELL</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吴开庆</dc:creator>
  <cp:keywords/>
  <dc:description/>
  <cp:lastModifiedBy>李亮光</cp:lastModifiedBy>
  <cp:revision>4</cp:revision>
  <cp:lastPrinted>2018-12-20T00:36:00Z</cp:lastPrinted>
  <dcterms:created xsi:type="dcterms:W3CDTF">2018-12-18T06:49:00Z</dcterms:created>
  <dcterms:modified xsi:type="dcterms:W3CDTF">2018-12-29T09:20:00Z</dcterms:modified>
</cp:coreProperties>
</file>