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rPr>
          <w:rFonts w:hint="eastAsia" w:ascii="黑体" w:hAnsi="黑体" w:eastAsia="黑体" w:cs="黑体"/>
          <w:snapToGrid w:val="0"/>
          <w:color w:val="auto"/>
          <w:kern w:val="0"/>
          <w:sz w:val="32"/>
          <w:szCs w:val="32"/>
        </w:rPr>
      </w:pPr>
      <w:r>
        <w:rPr>
          <w:rFonts w:hint="eastAsia" w:ascii="黑体" w:hAnsi="黑体" w:eastAsia="黑体" w:cs="黑体"/>
          <w:snapToGrid w:val="0"/>
          <w:color w:val="auto"/>
          <w:kern w:val="0"/>
          <w:sz w:val="32"/>
          <w:szCs w:val="32"/>
        </w:rPr>
        <w:t>附件</w:t>
      </w:r>
    </w:p>
    <w:p>
      <w:pPr>
        <w:snapToGrid w:val="0"/>
        <w:spacing w:line="600" w:lineRule="exact"/>
        <w:jc w:val="center"/>
        <w:rPr>
          <w:rFonts w:hint="default" w:ascii="Times New Roman" w:hAnsi="Times New Roman" w:eastAsia="仿宋" w:cs="Times New Roman"/>
          <w:snapToGrid w:val="0"/>
          <w:color w:val="auto"/>
          <w:kern w:val="0"/>
          <w:sz w:val="32"/>
          <w:szCs w:val="32"/>
        </w:rPr>
      </w:pPr>
      <w:r>
        <w:rPr>
          <w:rFonts w:hint="default" w:ascii="Times New Roman" w:hAnsi="Times New Roman" w:eastAsia="方正小标宋_GBK" w:cs="Times New Roman"/>
          <w:color w:val="auto"/>
          <w:sz w:val="40"/>
          <w:szCs w:val="44"/>
        </w:rPr>
        <w:t>广西科丽能生态环境有限公司危险废物经营许可证</w:t>
      </w:r>
      <w:r>
        <w:rPr>
          <w:rFonts w:hint="eastAsia" w:ascii="Times New Roman" w:hAnsi="Times New Roman" w:eastAsia="方正小标宋_GBK" w:cs="Times New Roman"/>
          <w:color w:val="auto"/>
          <w:sz w:val="40"/>
          <w:szCs w:val="44"/>
          <w:lang w:eastAsia="zh-CN"/>
        </w:rPr>
        <w:t>拟</w:t>
      </w:r>
      <w:r>
        <w:rPr>
          <w:rFonts w:hint="default" w:ascii="Times New Roman" w:hAnsi="Times New Roman" w:eastAsia="方正小标宋_GBK" w:cs="Times New Roman"/>
          <w:color w:val="auto"/>
          <w:sz w:val="40"/>
          <w:szCs w:val="44"/>
        </w:rPr>
        <w:t>核准经营类别及代码</w:t>
      </w:r>
    </w:p>
    <w:tbl>
      <w:tblPr>
        <w:tblStyle w:val="6"/>
        <w:tblW w:w="9186"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079"/>
        <w:gridCol w:w="1362"/>
        <w:gridCol w:w="1176"/>
        <w:gridCol w:w="4834"/>
        <w:gridCol w:w="73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tblHeader/>
          <w:jc w:val="center"/>
        </w:trPr>
        <w:tc>
          <w:tcPr>
            <w:tcW w:w="1079"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b/>
                <w:bCs/>
                <w:color w:val="auto"/>
                <w:sz w:val="24"/>
                <w:szCs w:val="24"/>
                <w:highlight w:val="none"/>
              </w:rPr>
            </w:pPr>
            <w:r>
              <w:rPr>
                <w:rFonts w:hint="default" w:ascii="Times New Roman" w:hAnsi="Times New Roman" w:eastAsia="仿宋" w:cs="Times New Roman"/>
                <w:b/>
                <w:bCs/>
                <w:color w:val="auto"/>
                <w:kern w:val="0"/>
                <w:sz w:val="24"/>
                <w:szCs w:val="24"/>
                <w:highlight w:val="none"/>
                <w:lang w:bidi="ar"/>
              </w:rPr>
              <w:t>废物类别</w:t>
            </w:r>
          </w:p>
        </w:tc>
        <w:tc>
          <w:tcPr>
            <w:tcW w:w="1362"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b/>
                <w:bCs/>
                <w:color w:val="auto"/>
                <w:kern w:val="0"/>
                <w:sz w:val="24"/>
                <w:szCs w:val="24"/>
                <w:highlight w:val="none"/>
                <w:lang w:bidi="ar"/>
              </w:rPr>
            </w:pPr>
            <w:r>
              <w:rPr>
                <w:rFonts w:hint="default" w:ascii="Times New Roman" w:hAnsi="Times New Roman" w:eastAsia="仿宋" w:cs="Times New Roman"/>
                <w:b/>
                <w:bCs/>
                <w:color w:val="auto"/>
                <w:kern w:val="0"/>
                <w:sz w:val="24"/>
                <w:szCs w:val="24"/>
                <w:highlight w:val="none"/>
                <w:lang w:bidi="ar"/>
              </w:rPr>
              <w:t>行业来源</w:t>
            </w: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b/>
                <w:bCs/>
                <w:color w:val="auto"/>
                <w:sz w:val="24"/>
                <w:szCs w:val="24"/>
                <w:highlight w:val="none"/>
              </w:rPr>
            </w:pPr>
            <w:r>
              <w:rPr>
                <w:rFonts w:hint="default" w:ascii="Times New Roman" w:hAnsi="Times New Roman" w:eastAsia="仿宋" w:cs="Times New Roman"/>
                <w:b/>
                <w:bCs/>
                <w:color w:val="auto"/>
                <w:kern w:val="0"/>
                <w:sz w:val="24"/>
                <w:szCs w:val="24"/>
                <w:highlight w:val="none"/>
                <w:lang w:bidi="ar"/>
              </w:rPr>
              <w:t>废物代码</w:t>
            </w:r>
          </w:p>
        </w:tc>
        <w:tc>
          <w:tcPr>
            <w:tcW w:w="4834"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b/>
                <w:bCs/>
                <w:color w:val="auto"/>
                <w:sz w:val="24"/>
                <w:szCs w:val="24"/>
                <w:highlight w:val="none"/>
              </w:rPr>
            </w:pPr>
            <w:r>
              <w:rPr>
                <w:rFonts w:hint="default" w:ascii="Times New Roman" w:hAnsi="Times New Roman" w:eastAsia="仿宋" w:cs="Times New Roman"/>
                <w:b/>
                <w:bCs/>
                <w:color w:val="auto"/>
                <w:kern w:val="0"/>
                <w:sz w:val="24"/>
                <w:szCs w:val="24"/>
                <w:highlight w:val="none"/>
                <w:lang w:bidi="ar"/>
              </w:rPr>
              <w:t>危</w:t>
            </w:r>
            <w:bookmarkStart w:id="0" w:name="_GoBack"/>
            <w:bookmarkEnd w:id="0"/>
            <w:r>
              <w:rPr>
                <w:rFonts w:hint="default" w:ascii="Times New Roman" w:hAnsi="Times New Roman" w:eastAsia="仿宋" w:cs="Times New Roman"/>
                <w:b/>
                <w:bCs/>
                <w:color w:val="auto"/>
                <w:kern w:val="0"/>
                <w:sz w:val="24"/>
                <w:szCs w:val="24"/>
                <w:highlight w:val="none"/>
                <w:lang w:bidi="ar"/>
              </w:rPr>
              <w:t>险废物</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b/>
                <w:bCs/>
                <w:color w:val="auto"/>
                <w:kern w:val="0"/>
                <w:sz w:val="24"/>
                <w:szCs w:val="24"/>
                <w:highlight w:val="none"/>
                <w:lang w:bidi="ar"/>
              </w:rPr>
            </w:pPr>
            <w:r>
              <w:rPr>
                <w:rFonts w:hint="default" w:ascii="Times New Roman" w:hAnsi="Times New Roman" w:eastAsia="仿宋" w:cs="Times New Roman"/>
                <w:b/>
                <w:bCs/>
                <w:color w:val="auto"/>
                <w:kern w:val="0"/>
                <w:sz w:val="24"/>
                <w:szCs w:val="24"/>
                <w:highlight w:val="none"/>
                <w:lang w:bidi="ar"/>
              </w:rPr>
              <w:t>危险特性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restart"/>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HW02</w:t>
            </w:r>
          </w:p>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医药废物</w:t>
            </w:r>
          </w:p>
        </w:tc>
        <w:tc>
          <w:tcPr>
            <w:tcW w:w="1362" w:type="dxa"/>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sz w:val="24"/>
                <w:szCs w:val="24"/>
                <w:highlight w:val="none"/>
              </w:rPr>
              <w:t>兽用药品制造</w:t>
            </w: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275-001-02</w:t>
            </w:r>
          </w:p>
        </w:tc>
        <w:tc>
          <w:tcPr>
            <w:tcW w:w="4834" w:type="dxa"/>
            <w:vMerge w:val="restart"/>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使用砷或有机砷化合物生产兽药过程中产生的废水处理污泥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sz w:val="24"/>
                <w:szCs w:val="24"/>
                <w:highlight w:val="none"/>
              </w:rPr>
              <w:t>生物药品制品制造</w:t>
            </w: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276-001-02</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利用生物技术生产生物化学药品、基因工程药物过程中产生的蒸馏及反应残余物</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restart"/>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HW05</w:t>
            </w:r>
          </w:p>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木材防腐剂废物</w:t>
            </w:r>
          </w:p>
        </w:tc>
        <w:tc>
          <w:tcPr>
            <w:tcW w:w="1362" w:type="dxa"/>
            <w:vMerge w:val="restart"/>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木材加工</w:t>
            </w: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201-001-05</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使用五氯酚进行木材防腐过程中产生的废水处理污泥，以及木材防腐处理过程中产生的沾染该防腐剂的废弃木材残片</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201-002-05</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使用杂酚油进行木材防腐过程中产生的废水处理污泥，以及木材防腐处理过程中产生的沾染该防腐剂的废弃木材残片</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201-003-05</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使用含砷、铬等无机防腐剂进行木材防腐过程中产生的废水处理污泥，以及木材防腐处理过程中产生的沾染该防腐剂的废弃木材残片</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sz w:val="24"/>
                <w:szCs w:val="24"/>
                <w:highlight w:val="none"/>
              </w:rPr>
              <w:t>专用化学产品制造</w:t>
            </w: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266-002-05</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木材防腐化学品生产过程中产生的废水处理污泥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HW08</w:t>
            </w:r>
          </w:p>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废矿物油与含矿物油废物</w:t>
            </w:r>
          </w:p>
        </w:tc>
        <w:tc>
          <w:tcPr>
            <w:tcW w:w="1362" w:type="dxa"/>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lang w:eastAsia="zh-CN"/>
              </w:rPr>
            </w:pPr>
            <w:r>
              <w:rPr>
                <w:rFonts w:hint="default" w:ascii="Times New Roman" w:hAnsi="Times New Roman" w:eastAsia="仿宋" w:cs="Times New Roman"/>
                <w:color w:val="auto"/>
                <w:sz w:val="24"/>
                <w:szCs w:val="24"/>
                <w:highlight w:val="none"/>
                <w:lang w:eastAsia="zh-CN"/>
              </w:rPr>
              <w:t>精炼石油产品制造</w:t>
            </w:r>
          </w:p>
        </w:tc>
        <w:tc>
          <w:tcPr>
            <w:tcW w:w="1176" w:type="dxa"/>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sz w:val="24"/>
                <w:szCs w:val="24"/>
                <w:highlight w:val="none"/>
              </w:rPr>
              <w:t>251-001-08</w:t>
            </w:r>
          </w:p>
        </w:tc>
        <w:tc>
          <w:tcPr>
            <w:tcW w:w="4834" w:type="dxa"/>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sz w:val="24"/>
                <w:szCs w:val="24"/>
                <w:highlight w:val="none"/>
              </w:rPr>
              <w:t>清洗矿物油储存、输送设施过程中产生的油/水和烃/水混合物</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restart"/>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HW09</w:t>
            </w:r>
          </w:p>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油/水、烃/水混合物或乳化液</w:t>
            </w:r>
          </w:p>
        </w:tc>
        <w:tc>
          <w:tcPr>
            <w:tcW w:w="1362" w:type="dxa"/>
            <w:vMerge w:val="restart"/>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非特定行业</w:t>
            </w: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900-005-09</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水压机维护、更换和拆解过程中产生的油/水、烃/水混合物或乳化液</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900-006-09</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使用切削油或切削液进行机械加工过程中产生的油/水、烃/水混合物或乳化液</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900-007-09</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其他工艺过程中产生的油/水、烃/水混合物或乳化液</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restart"/>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HW11</w:t>
            </w:r>
          </w:p>
          <w:p>
            <w:pPr>
              <w:widowControl/>
              <w:spacing w:line="300" w:lineRule="exact"/>
              <w:jc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精（蒸）馏残渣</w:t>
            </w:r>
          </w:p>
        </w:tc>
        <w:tc>
          <w:tcPr>
            <w:tcW w:w="1362" w:type="dxa"/>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sz w:val="24"/>
                <w:szCs w:val="24"/>
                <w:highlight w:val="none"/>
              </w:rPr>
              <w:t>煤炭加工</w:t>
            </w: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252-010-11</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炼焦、煤焦油加工和苯精制过程中产生的废水处理污泥（不包括废水生化处理污泥）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sz w:val="24"/>
                <w:szCs w:val="24"/>
                <w:highlight w:val="none"/>
              </w:rPr>
              <w:t>燃气生产和供应业</w:t>
            </w: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2"/>
                <w:sz w:val="24"/>
                <w:szCs w:val="24"/>
                <w:highlight w:val="none"/>
                <w:lang w:val="en-US" w:eastAsia="zh-CN" w:bidi="ar-SA"/>
              </w:rPr>
            </w:pPr>
            <w:r>
              <w:rPr>
                <w:rFonts w:hint="default" w:ascii="Times New Roman" w:hAnsi="Times New Roman" w:eastAsia="仿宋" w:cs="Times New Roman"/>
                <w:color w:val="auto"/>
                <w:kern w:val="0"/>
                <w:sz w:val="24"/>
                <w:szCs w:val="24"/>
                <w:highlight w:val="none"/>
                <w:lang w:bidi="ar"/>
              </w:rPr>
              <w:t>451-002-11</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kern w:val="2"/>
                <w:sz w:val="24"/>
                <w:szCs w:val="24"/>
                <w:highlight w:val="none"/>
                <w:lang w:val="en-US" w:eastAsia="zh-CN" w:bidi="ar-SA"/>
              </w:rPr>
            </w:pPr>
            <w:r>
              <w:rPr>
                <w:rFonts w:hint="default" w:ascii="Times New Roman" w:hAnsi="Times New Roman" w:eastAsia="仿宋" w:cs="Times New Roman"/>
                <w:color w:val="auto"/>
                <w:kern w:val="0"/>
                <w:sz w:val="24"/>
                <w:szCs w:val="24"/>
                <w:highlight w:val="none"/>
                <w:lang w:bidi="ar"/>
              </w:rPr>
              <w:t>煤气生产过程中产生的废水处理污泥（不包括废水生化处理污泥）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restart"/>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HW12</w:t>
            </w:r>
          </w:p>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染料、涂料废物</w:t>
            </w:r>
          </w:p>
        </w:tc>
        <w:tc>
          <w:tcPr>
            <w:tcW w:w="1362" w:type="dxa"/>
            <w:vMerge w:val="restart"/>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涂料、油墨、颜料及类似产品制造</w:t>
            </w: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264-002-12</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铬黄和铬橙颜料生产过程中产生的废水处理污泥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264-003-12</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钼酸橙颜料生产过程中产生的废水处理污泥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264-004-12</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锌黄颜料生产过程中产生的废水处理污泥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264-005-12</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铬绿颜料生产过程中产生的废水处理污泥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264-006-12</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氧化铬绿颜料生产过程中产生的废水处理污泥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264-007-12</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氧化铬绿颜料生产过程中烘干产生的残渣</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264-008-12</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铁蓝颜料生产过程中产生的废水处理污泥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264-009-12</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使用含铬、铅的稳定剂配制油墨过程中，设备清洗产生的洗涤废液和废水处理污泥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264-012-12</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其他油墨、染料、颜料、油漆（不包括水性漆）生产过程中产生的废水处理污泥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HW13</w:t>
            </w:r>
          </w:p>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有机树脂类废物</w:t>
            </w:r>
          </w:p>
        </w:tc>
        <w:tc>
          <w:tcPr>
            <w:tcW w:w="1362" w:type="dxa"/>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sz w:val="24"/>
                <w:szCs w:val="24"/>
                <w:highlight w:val="none"/>
              </w:rPr>
              <w:t>非特定行业</w:t>
            </w: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900-451-13</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废覆铜板、印刷线路板、电路板破碎分选回收金属后产生的废树脂粉</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HW14</w:t>
            </w:r>
          </w:p>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新化学物质废物</w:t>
            </w:r>
          </w:p>
        </w:tc>
        <w:tc>
          <w:tcPr>
            <w:tcW w:w="1362"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非特定行业</w:t>
            </w: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900-017-14</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研究、开发和教学活动中产生的对人类或环境影响不明的化学物质废物</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T/C/I/R</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restart"/>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HW16</w:t>
            </w:r>
          </w:p>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感光材料废物</w:t>
            </w:r>
          </w:p>
        </w:tc>
        <w:tc>
          <w:tcPr>
            <w:tcW w:w="1362" w:type="dxa"/>
            <w:vMerge w:val="restart"/>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kern w:val="0"/>
                <w:sz w:val="24"/>
                <w:szCs w:val="24"/>
                <w:highlight w:val="none"/>
                <w:lang w:eastAsia="zh-CN" w:bidi="ar"/>
              </w:rPr>
            </w:pPr>
            <w:r>
              <w:rPr>
                <w:rFonts w:hint="default" w:ascii="Times New Roman" w:hAnsi="Times New Roman" w:eastAsia="仿宋" w:cs="Times New Roman"/>
                <w:color w:val="auto"/>
                <w:kern w:val="0"/>
                <w:sz w:val="24"/>
                <w:szCs w:val="24"/>
                <w:highlight w:val="none"/>
                <w:lang w:bidi="ar"/>
              </w:rPr>
              <w:t>专用化学产品制造</w:t>
            </w: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266-009-16</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显（定）影剂、正负胶片、像纸、感光材料生产过程中产生的不合格产品和过期产品</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266-010-16</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显（定）影剂、正负胶片、像纸、感光材料生产过程中产生的残渣和废水处理污泥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restart"/>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sz w:val="24"/>
                <w:szCs w:val="24"/>
                <w:highlight w:val="none"/>
              </w:rPr>
              <w:t>印刷</w:t>
            </w: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231-001-16</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使用显影剂进行胶卷显影，使用定影剂进行胶卷定影，以及使用铁氰化钾、硫代硫酸盐进行影像减薄（漂白）产生的废显（定）影剂、胶片和废像纸</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231-002-16</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使用显影剂进行印刷显影、抗蚀图形显影，以及凸版印刷产生的废显（定）影剂、胶片和废像纸</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sz w:val="24"/>
                <w:szCs w:val="24"/>
                <w:highlight w:val="none"/>
              </w:rPr>
              <w:t>电子元件及电子专用材料制造</w:t>
            </w: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398-001-16</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使用显影剂、氢氧化物、偏亚硫酸氢盐、醋酸进行胶卷显影产生的废显（定）影剂、胶片和废像纸</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sz w:val="24"/>
                <w:szCs w:val="24"/>
                <w:highlight w:val="none"/>
              </w:rPr>
              <w:t>影视节目制作</w:t>
            </w: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873-001-16</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电影厂产生的废显（定）影剂、胶片及废像纸</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sz w:val="24"/>
                <w:szCs w:val="24"/>
                <w:highlight w:val="none"/>
              </w:rPr>
              <w:t>摄影扩印服务</w:t>
            </w: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806-001-16</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摄影扩印服务行业产生的废显（定）影剂、胶片和废像纸</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sz w:val="24"/>
                <w:szCs w:val="24"/>
                <w:highlight w:val="none"/>
              </w:rPr>
              <w:t>非特定行业</w:t>
            </w: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900-019-16</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其他行业产生的废显（定）影剂、胶片</w:t>
            </w:r>
            <w:r>
              <w:rPr>
                <w:rStyle w:val="8"/>
                <w:rFonts w:hint="default" w:ascii="Times New Roman" w:hAnsi="Times New Roman" w:eastAsia="仿宋" w:cs="Times New Roman"/>
                <w:color w:val="auto"/>
                <w:sz w:val="24"/>
                <w:szCs w:val="24"/>
                <w:highlight w:val="none"/>
                <w:lang w:bidi="ar"/>
              </w:rPr>
              <w:t>和废像纸</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restart"/>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HW17</w:t>
            </w:r>
          </w:p>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表面处理废物</w:t>
            </w:r>
          </w:p>
        </w:tc>
        <w:tc>
          <w:tcPr>
            <w:tcW w:w="1362" w:type="dxa"/>
            <w:vMerge w:val="restart"/>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金属表面处理及热处理加工</w:t>
            </w: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336-050-17</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使用氯化亚锡进行敏化处理产生的废渣和废水处理污泥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336-051-17</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使用氯化锌、氯化铵进行敏化处理产生的废渣和废水处理污泥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336-052-17</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使用锌和电镀化学品进行镀锌产生的废槽液、槽渣和废水处理污泥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336-053-17</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使用镉和电镀化学品进行镀镉产生的废槽液、槽渣和废水处理污泥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336-054-17</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使用镍和电镀化学品进行镀镍产生的废槽液、槽渣和废水处理污泥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336-055-17</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使用镀镍液进行镀镍产生的废槽液、槽渣和废水处理污泥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336-056-17</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使用硝酸银、碱、甲醛进行敷金属法镀银产生的废槽液、槽渣和废水处理污泥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336-057-17</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使用金和电镀化学品进行镀金产生的废槽液、槽渣和废水处理污泥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336-058-17</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使用镀铜液进行化学镀铜产生的废槽液、槽渣和废水处理污泥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336-059-17</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使用钯和锡盐进行活化处理产生的废渣和废水处理污泥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336-060-17</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使用铬和电镀化学品进行镀黑铬产生的废槽液、槽渣和废水处理污泥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336-061-17</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使用高锰酸钾进行钻孔除胶处理产生的废渣和废水处理污泥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336-062-17</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使用铜和电镀化学品进行镀铜产生的废槽液、槽渣和废水处理污泥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336-063-17</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其他电镀工艺产生的废槽液、槽渣和废水处理污泥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336-064-17</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金属或塑料表面酸（碱）洗、除油、除锈、洗涤、磷化、出光、化抛工艺产生的废腐蚀液、废洗涤液、废槽液、槽渣和废水处理污泥（不包括：铝、镁材（板）表面酸（碱）洗、粗化、硫酸阳极处理、磷酸化学抛光废水处理污泥，铝电解电容器用铝电极箔化学腐蚀、非硼酸系化成液化成废水处理污泥，铝材挤压加工模具碱洗（煲模）废水处理污泥，碳钢酸洗除锈废水处理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T/C</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336-066-17</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镀层剥除过程中产生的废槽液、槽渣和废水处理污泥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336-067-17</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使用含重铬酸盐的胶体、有机溶剂、黏合剂进行漩流式抗蚀涂布产生的废渣和废水处理污泥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336-068-17</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使用铬化合物进行抗蚀层化学硬化产生的废渣和废水处理污泥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336-069-17</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使用铬酸镀铬产生的废槽液、槽渣和废水处理污泥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336-100-17</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使用铬酸进行阳极氧化产生的废槽液、槽渣</w:t>
            </w:r>
            <w:r>
              <w:rPr>
                <w:rStyle w:val="8"/>
                <w:rFonts w:hint="default" w:ascii="Times New Roman" w:hAnsi="Times New Roman" w:eastAsia="仿宋" w:cs="Times New Roman"/>
                <w:color w:val="auto"/>
                <w:sz w:val="24"/>
                <w:szCs w:val="24"/>
                <w:highlight w:val="none"/>
                <w:lang w:bidi="ar"/>
              </w:rPr>
              <w:t>和废水处理污泥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336-101-17</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使用铬酸进行塑料表面粗化产生的废槽液、槽渣和废水处理污泥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restart"/>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HW18</w:t>
            </w:r>
          </w:p>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焚烧处置残渣</w:t>
            </w:r>
          </w:p>
        </w:tc>
        <w:tc>
          <w:tcPr>
            <w:tcW w:w="1362" w:type="dxa"/>
            <w:vMerge w:val="restart"/>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环境治理业</w:t>
            </w: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772-002-18</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生活垃圾焚烧飞灰</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772-003-18</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危险废物焚烧、热解等处置过程产生的底渣、飞灰和废水处理污泥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772-004-18</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危险废物等离子体、高温熔融等处置过程产生的非玻璃态物质和飞灰</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HW19</w:t>
            </w:r>
          </w:p>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kern w:val="0"/>
                <w:sz w:val="24"/>
                <w:szCs w:val="24"/>
                <w:highlight w:val="none"/>
                <w:lang w:bidi="ar"/>
              </w:rPr>
              <w:t>含金属羰基废物</w:t>
            </w:r>
          </w:p>
        </w:tc>
        <w:tc>
          <w:tcPr>
            <w:tcW w:w="1362"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非特定行业</w:t>
            </w:r>
          </w:p>
        </w:tc>
        <w:tc>
          <w:tcPr>
            <w:tcW w:w="1176" w:type="dxa"/>
            <w:noWrap w:val="0"/>
            <w:tcMar>
              <w:top w:w="15" w:type="dxa"/>
              <w:left w:w="15" w:type="dxa"/>
              <w:right w:w="15" w:type="dxa"/>
            </w:tcMar>
            <w:vAlign w:val="center"/>
          </w:tcPr>
          <w:p>
            <w:pPr>
              <w:widowControl/>
              <w:spacing w:line="300" w:lineRule="exact"/>
              <w:jc w:val="left"/>
              <w:textAlignment w:val="center"/>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kern w:val="0"/>
                <w:sz w:val="24"/>
                <w:szCs w:val="24"/>
                <w:highlight w:val="none"/>
                <w:lang w:bidi="ar"/>
              </w:rPr>
              <w:t>900-020-19</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金属羰基化合物生产、使用过程中产生的含有羰基化合物成分的废物</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kern w:val="0"/>
                <w:sz w:val="24"/>
                <w:szCs w:val="24"/>
                <w:highlight w:val="none"/>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HW20</w:t>
            </w:r>
          </w:p>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kern w:val="0"/>
                <w:sz w:val="24"/>
                <w:szCs w:val="24"/>
                <w:highlight w:val="none"/>
                <w:lang w:bidi="ar"/>
              </w:rPr>
              <w:t>含铍废物</w:t>
            </w:r>
          </w:p>
        </w:tc>
        <w:tc>
          <w:tcPr>
            <w:tcW w:w="1362"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基础化学原料制造</w:t>
            </w:r>
          </w:p>
        </w:tc>
        <w:tc>
          <w:tcPr>
            <w:tcW w:w="1176" w:type="dxa"/>
            <w:noWrap w:val="0"/>
            <w:tcMar>
              <w:top w:w="15" w:type="dxa"/>
              <w:left w:w="15" w:type="dxa"/>
              <w:right w:w="15" w:type="dxa"/>
            </w:tcMar>
            <w:vAlign w:val="center"/>
          </w:tcPr>
          <w:p>
            <w:pPr>
              <w:widowControl/>
              <w:spacing w:line="300" w:lineRule="exact"/>
              <w:jc w:val="left"/>
              <w:textAlignment w:val="center"/>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kern w:val="0"/>
                <w:sz w:val="24"/>
                <w:szCs w:val="24"/>
                <w:highlight w:val="none"/>
                <w:lang w:bidi="ar"/>
              </w:rPr>
              <w:t>261-040-20</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铍及其化合物生产过程中产生的熔渣、集（除）尘装置收集的粉尘和废水处理污泥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kern w:val="0"/>
                <w:sz w:val="24"/>
                <w:szCs w:val="24"/>
                <w:highlight w:val="none"/>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restart"/>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HW21</w:t>
            </w:r>
          </w:p>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含铬废物</w:t>
            </w:r>
          </w:p>
        </w:tc>
        <w:tc>
          <w:tcPr>
            <w:tcW w:w="1362" w:type="dxa"/>
            <w:vMerge w:val="restart"/>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毛皮鞣制及制品加工</w:t>
            </w: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193-001-21</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使用铬鞣剂进行铬鞣、复鞣工艺产生的废水处理污泥和残渣</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193-002-21</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皮革、毛皮鞣制及切削过程产生的含铬废碎料</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restart"/>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sz w:val="24"/>
                <w:szCs w:val="24"/>
                <w:highlight w:val="none"/>
              </w:rPr>
              <w:t>基础化学原料制造</w:t>
            </w: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261-041-21</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铬铁矿生产铬盐过程中产生的铬渣</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261-042-21</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铬铁矿生产铬盐过程中产生的铝泥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261-043-21</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铬铁矿生产铬盐过程中产生的芒硝</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261-044-21</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铬铁矿生产铬盐过程中产生的废水处理污泥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261-137-21</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铬铁矿生产铬盐过程中产生的其他废物</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restart"/>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sz w:val="24"/>
                <w:szCs w:val="24"/>
                <w:highlight w:val="none"/>
              </w:rPr>
              <w:t>铁合金冶炼</w:t>
            </w: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314-001-21</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铬铁硅合金生产过程中集（除）尘装置收集的粉尘</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314-002-21</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铁铬合金生产过程中集（除）尘装置收集的粉尘</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314-003-21</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铁铬合金生产过程中金属铬冶炼产生的铬浸出渣</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sz w:val="24"/>
                <w:szCs w:val="24"/>
                <w:highlight w:val="none"/>
              </w:rPr>
              <w:t>金属表面处理及热处理加工</w:t>
            </w: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336-100-21</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使用铬酸进行阳极氧化产生的废槽液、槽渣和废水处理污泥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sz w:val="24"/>
                <w:szCs w:val="24"/>
                <w:highlight w:val="none"/>
              </w:rPr>
              <w:t>电子元件及电子专用材料制造</w:t>
            </w: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398-002-21</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使用铬酸进行钻孔除胶处理产生的废渣和废水处理污泥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restart"/>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HW22</w:t>
            </w:r>
          </w:p>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含铜废物</w:t>
            </w:r>
          </w:p>
        </w:tc>
        <w:tc>
          <w:tcPr>
            <w:tcW w:w="1362"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玻璃制造</w:t>
            </w: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304-001-22</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使用硫酸铜进行敷金属法镀铜产生的废槽液、槽渣和废水处理污泥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restart"/>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sz w:val="24"/>
                <w:szCs w:val="24"/>
                <w:highlight w:val="none"/>
              </w:rPr>
              <w:t>电子元件及电子专用材料制造</w:t>
            </w: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398-004-22</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线路板生产过程中产生的废蚀铜液</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398-005-22</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使用酸进行铜氧化处理产生的废液和废水处理污泥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398-051-22</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铜板蚀刻过程中产生的废蚀刻液和废水处理污泥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restart"/>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HW23</w:t>
            </w:r>
          </w:p>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含锌废物</w:t>
            </w:r>
          </w:p>
        </w:tc>
        <w:tc>
          <w:tcPr>
            <w:tcW w:w="1362"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sz w:val="24"/>
                <w:szCs w:val="24"/>
                <w:highlight w:val="none"/>
              </w:rPr>
              <w:t>金属表面处理及热处理加工</w:t>
            </w: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336-103-23</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热镀锌过程中产生的废助镀熔（溶）剂和集（除）尘装置收集的粉尘</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sz w:val="24"/>
                <w:szCs w:val="24"/>
                <w:highlight w:val="none"/>
              </w:rPr>
              <w:t>电池制造</w:t>
            </w: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384-001-23</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碱性锌锰电池、锌氧化银电池、锌空气电池生产过程中产生的废锌浆</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sz w:val="24"/>
                <w:szCs w:val="24"/>
                <w:highlight w:val="none"/>
              </w:rPr>
              <w:t>非特定行业</w:t>
            </w: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900-021-23</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使用氢氧化钠、锌粉进行贵金属沉淀过程中产生的废液和废水处理污泥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lang w:val="en-US" w:eastAsia="zh-CN"/>
              </w:rPr>
            </w:pPr>
            <w:r>
              <w:rPr>
                <w:rFonts w:hint="default" w:ascii="Times New Roman" w:hAnsi="Times New Roman" w:eastAsia="仿宋" w:cs="Times New Roman"/>
                <w:color w:val="auto"/>
                <w:sz w:val="24"/>
                <w:szCs w:val="24"/>
                <w:highlight w:val="none"/>
                <w:lang w:val="en-US" w:eastAsia="zh-CN"/>
              </w:rPr>
              <w:t>HW24</w:t>
            </w:r>
          </w:p>
          <w:p>
            <w:pPr>
              <w:widowControl/>
              <w:spacing w:line="300" w:lineRule="exact"/>
              <w:jc w:val="center"/>
              <w:rPr>
                <w:rFonts w:hint="default" w:ascii="Times New Roman" w:hAnsi="Times New Roman" w:eastAsia="仿宋" w:cs="Times New Roman"/>
                <w:color w:val="auto"/>
                <w:sz w:val="24"/>
                <w:szCs w:val="24"/>
                <w:highlight w:val="none"/>
                <w:lang w:val="en-US" w:eastAsia="zh-CN"/>
              </w:rPr>
            </w:pPr>
            <w:r>
              <w:rPr>
                <w:rFonts w:hint="default" w:ascii="Times New Roman" w:hAnsi="Times New Roman" w:eastAsia="仿宋" w:cs="Times New Roman"/>
                <w:color w:val="auto"/>
                <w:sz w:val="24"/>
                <w:szCs w:val="24"/>
                <w:highlight w:val="none"/>
              </w:rPr>
              <w:t>含砷废物</w:t>
            </w:r>
          </w:p>
        </w:tc>
        <w:tc>
          <w:tcPr>
            <w:tcW w:w="1362" w:type="dxa"/>
            <w:noWrap w:val="0"/>
            <w:tcMar>
              <w:top w:w="15" w:type="dxa"/>
              <w:left w:w="15" w:type="dxa"/>
              <w:right w:w="15" w:type="dxa"/>
            </w:tcMar>
            <w:vAlign w:val="center"/>
          </w:tcPr>
          <w:p>
            <w:pPr>
              <w:spacing w:beforeLines="0" w:afterLines="0"/>
              <w:jc w:val="both"/>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sz w:val="24"/>
                <w:szCs w:val="24"/>
                <w:highlight w:val="none"/>
              </w:rPr>
              <w:t>基础化学原料制造</w:t>
            </w:r>
          </w:p>
        </w:tc>
        <w:tc>
          <w:tcPr>
            <w:tcW w:w="1176" w:type="dxa"/>
            <w:noWrap w:val="0"/>
            <w:tcMar>
              <w:top w:w="15" w:type="dxa"/>
              <w:left w:w="15" w:type="dxa"/>
              <w:right w:w="15" w:type="dxa"/>
            </w:tcMar>
            <w:vAlign w:val="center"/>
          </w:tcPr>
          <w:p>
            <w:pPr>
              <w:widowControl/>
              <w:tabs>
                <w:tab w:val="left" w:pos="568"/>
              </w:tabs>
              <w:spacing w:line="300" w:lineRule="exact"/>
              <w:jc w:val="left"/>
              <w:textAlignment w:val="center"/>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kern w:val="0"/>
                <w:sz w:val="24"/>
                <w:szCs w:val="24"/>
                <w:highlight w:val="none"/>
                <w:lang w:val="en-US" w:eastAsia="zh-CN" w:bidi="ar"/>
              </w:rPr>
              <w:t>261-139-24</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sz w:val="24"/>
                <w:szCs w:val="24"/>
                <w:highlight w:val="none"/>
              </w:rPr>
              <w:t>硫铁矿制酸过程中烟气净化产生的酸泥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kern w:val="0"/>
                <w:sz w:val="24"/>
                <w:szCs w:val="24"/>
                <w:highlight w:val="none"/>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HW25</w:t>
            </w:r>
          </w:p>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kern w:val="0"/>
                <w:sz w:val="24"/>
                <w:szCs w:val="24"/>
                <w:highlight w:val="none"/>
                <w:lang w:bidi="ar"/>
              </w:rPr>
              <w:t>含硒废物</w:t>
            </w:r>
          </w:p>
        </w:tc>
        <w:tc>
          <w:tcPr>
            <w:tcW w:w="1362"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基础化学原料制造</w:t>
            </w:r>
          </w:p>
        </w:tc>
        <w:tc>
          <w:tcPr>
            <w:tcW w:w="1176" w:type="dxa"/>
            <w:noWrap w:val="0"/>
            <w:tcMar>
              <w:top w:w="15" w:type="dxa"/>
              <w:left w:w="15" w:type="dxa"/>
              <w:right w:w="15" w:type="dxa"/>
            </w:tcMar>
            <w:vAlign w:val="center"/>
          </w:tcPr>
          <w:p>
            <w:pPr>
              <w:widowControl/>
              <w:spacing w:line="300" w:lineRule="exact"/>
              <w:jc w:val="left"/>
              <w:textAlignment w:val="center"/>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kern w:val="0"/>
                <w:sz w:val="24"/>
                <w:szCs w:val="24"/>
                <w:highlight w:val="none"/>
                <w:lang w:bidi="ar"/>
              </w:rPr>
              <w:t>261-045-25</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硒及其化合物生产过程中产生的熔渣、集（除）尘装置收集的粉尘和废水处理污泥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kern w:val="0"/>
                <w:sz w:val="24"/>
                <w:szCs w:val="24"/>
                <w:highlight w:val="none"/>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HW26</w:t>
            </w:r>
          </w:p>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含镉废物</w:t>
            </w:r>
          </w:p>
        </w:tc>
        <w:tc>
          <w:tcPr>
            <w:tcW w:w="1362"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电子制造</w:t>
            </w: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384-002-26</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镍镉电池生产过程中产生的废渣和废水处理污泥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HW28</w:t>
            </w:r>
          </w:p>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含碲废物</w:t>
            </w:r>
          </w:p>
        </w:tc>
        <w:tc>
          <w:tcPr>
            <w:tcW w:w="1362"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基础化学原料制造</w:t>
            </w:r>
          </w:p>
        </w:tc>
        <w:tc>
          <w:tcPr>
            <w:tcW w:w="1176" w:type="dxa"/>
            <w:noWrap w:val="0"/>
            <w:tcMar>
              <w:top w:w="15" w:type="dxa"/>
              <w:left w:w="15" w:type="dxa"/>
              <w:right w:w="15" w:type="dxa"/>
            </w:tcMar>
            <w:vAlign w:val="center"/>
          </w:tcPr>
          <w:p>
            <w:pPr>
              <w:widowControl/>
              <w:spacing w:line="300" w:lineRule="exact"/>
              <w:jc w:val="left"/>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261-050-28</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碲及其化合物生产过程中产生的熔渣、集（除）尘装置收集的粉尘和废水处理污泥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kern w:val="0"/>
                <w:sz w:val="24"/>
                <w:szCs w:val="24"/>
                <w:highlight w:val="none"/>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restart"/>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HW29</w:t>
            </w:r>
          </w:p>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kern w:val="0"/>
                <w:sz w:val="24"/>
                <w:szCs w:val="24"/>
                <w:highlight w:val="none"/>
                <w:lang w:bidi="ar"/>
              </w:rPr>
              <w:t>含汞废物</w:t>
            </w:r>
          </w:p>
        </w:tc>
        <w:tc>
          <w:tcPr>
            <w:tcW w:w="1362"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sz w:val="24"/>
                <w:szCs w:val="24"/>
                <w:highlight w:val="none"/>
              </w:rPr>
              <w:t>电池制造</w:t>
            </w: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kern w:val="0"/>
                <w:sz w:val="24"/>
                <w:szCs w:val="24"/>
                <w:highlight w:val="none"/>
                <w:lang w:bidi="ar"/>
              </w:rPr>
              <w:t>384-003-29</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kern w:val="0"/>
                <w:sz w:val="24"/>
                <w:szCs w:val="24"/>
                <w:highlight w:val="none"/>
                <w:lang w:bidi="ar"/>
              </w:rPr>
              <w:t>含汞电池生产过程中产生的含汞废浆层纸、含汞废锌膏、含汞废活性炭和废水处理污泥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kern w:val="0"/>
                <w:sz w:val="24"/>
                <w:szCs w:val="24"/>
                <w:highlight w:val="none"/>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p>
        </w:tc>
        <w:tc>
          <w:tcPr>
            <w:tcW w:w="1362" w:type="dxa"/>
            <w:vMerge w:val="restart"/>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sz w:val="24"/>
                <w:szCs w:val="24"/>
                <w:highlight w:val="none"/>
              </w:rPr>
              <w:t>非特定行业</w:t>
            </w:r>
          </w:p>
        </w:tc>
        <w:tc>
          <w:tcPr>
            <w:tcW w:w="1176" w:type="dxa"/>
            <w:noWrap w:val="0"/>
            <w:tcMar>
              <w:top w:w="15" w:type="dxa"/>
              <w:left w:w="15" w:type="dxa"/>
              <w:right w:w="15" w:type="dxa"/>
            </w:tcMar>
            <w:vAlign w:val="center"/>
          </w:tcPr>
          <w:p>
            <w:pPr>
              <w:pStyle w:val="9"/>
              <w:widowControl w:val="0"/>
              <w:pBdr>
                <w:left w:val="none" w:color="auto" w:sz="0" w:space="0"/>
                <w:bottom w:val="none" w:color="auto" w:sz="0" w:space="0"/>
                <w:right w:val="none" w:color="auto" w:sz="0" w:space="0"/>
              </w:pBdr>
              <w:spacing w:before="0" w:beforeAutospacing="0" w:after="0" w:afterAutospacing="0" w:line="0" w:lineRule="atLeast"/>
              <w:ind w:firstLine="0" w:firstLineChars="0"/>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kern w:val="0"/>
                <w:sz w:val="24"/>
                <w:szCs w:val="24"/>
                <w:highlight w:val="none"/>
                <w:lang w:val="en-US" w:eastAsia="zh-CN" w:bidi="ar"/>
              </w:rPr>
              <w:t>900-022-29</w:t>
            </w:r>
          </w:p>
        </w:tc>
        <w:tc>
          <w:tcPr>
            <w:tcW w:w="4834" w:type="dxa"/>
            <w:noWrap w:val="0"/>
            <w:tcMar>
              <w:top w:w="15" w:type="dxa"/>
              <w:left w:w="15" w:type="dxa"/>
              <w:right w:w="15" w:type="dxa"/>
            </w:tcMar>
            <w:vAlign w:val="center"/>
          </w:tcPr>
          <w:p>
            <w:pPr>
              <w:widowControl/>
              <w:jc w:val="both"/>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kern w:val="0"/>
                <w:sz w:val="24"/>
                <w:szCs w:val="24"/>
                <w:highlight w:val="none"/>
                <w:lang w:val="en-US" w:eastAsia="zh-CN" w:bidi="ar-SA"/>
              </w:rPr>
              <w:t>废弃的含汞催化剂</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kern w:val="0"/>
                <w:sz w:val="24"/>
                <w:szCs w:val="24"/>
                <w:highlight w:val="none"/>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p>
        </w:tc>
        <w:tc>
          <w:tcPr>
            <w:tcW w:w="1362" w:type="dxa"/>
            <w:vMerge w:val="continue"/>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900-023-29</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生产、销售及使用过程中产生的废含汞荧光灯管及其他废含汞电光源，及废弃含汞电光源处理处置过程中产生的废荧光粉、废活性炭和废水处理污泥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kern w:val="0"/>
                <w:sz w:val="24"/>
                <w:szCs w:val="24"/>
                <w:highlight w:val="none"/>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p>
        </w:tc>
        <w:tc>
          <w:tcPr>
            <w:tcW w:w="1362" w:type="dxa"/>
            <w:vMerge w:val="continue"/>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kern w:val="0"/>
                <w:sz w:val="24"/>
                <w:szCs w:val="24"/>
                <w:highlight w:val="none"/>
                <w:lang w:val="en-US" w:eastAsia="zh-CN" w:bidi="ar"/>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kern w:val="0"/>
                <w:sz w:val="24"/>
                <w:szCs w:val="24"/>
                <w:highlight w:val="none"/>
                <w:lang w:bidi="ar"/>
              </w:rPr>
              <w:t>900-024-29</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kern w:val="0"/>
                <w:sz w:val="24"/>
                <w:szCs w:val="24"/>
                <w:highlight w:val="none"/>
                <w:lang w:bidi="ar"/>
              </w:rPr>
              <w:t>生产、销售及使用过程中产生的废含汞温度计、废含汞血压计、废含汞真空表和废含汞压力计、废氧化汞电池和废汞开关</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kern w:val="0"/>
                <w:sz w:val="24"/>
                <w:szCs w:val="24"/>
                <w:highlight w:val="none"/>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p>
        </w:tc>
        <w:tc>
          <w:tcPr>
            <w:tcW w:w="1362" w:type="dxa"/>
            <w:vMerge w:val="continue"/>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kern w:val="0"/>
                <w:sz w:val="24"/>
                <w:szCs w:val="24"/>
                <w:highlight w:val="none"/>
                <w:lang w:val="en-US" w:eastAsia="zh-CN" w:bidi="ar"/>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kern w:val="0"/>
                <w:sz w:val="24"/>
                <w:szCs w:val="24"/>
                <w:highlight w:val="none"/>
                <w:lang w:bidi="ar"/>
              </w:rPr>
              <w:t>900-452-29</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kern w:val="0"/>
                <w:sz w:val="24"/>
                <w:szCs w:val="24"/>
                <w:highlight w:val="none"/>
                <w:lang w:bidi="ar"/>
              </w:rPr>
              <w:t>含汞废水处理过程中产生的废树脂、废活性炭和污泥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kern w:val="0"/>
                <w:sz w:val="24"/>
                <w:szCs w:val="24"/>
                <w:highlight w:val="none"/>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p>
        </w:tc>
        <w:tc>
          <w:tcPr>
            <w:tcW w:w="1362"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sz w:val="24"/>
                <w:szCs w:val="24"/>
                <w:highlight w:val="none"/>
              </w:rPr>
              <w:t>天然气开采</w:t>
            </w:r>
          </w:p>
        </w:tc>
        <w:tc>
          <w:tcPr>
            <w:tcW w:w="1176" w:type="dxa"/>
            <w:noWrap w:val="0"/>
            <w:tcMar>
              <w:top w:w="15" w:type="dxa"/>
              <w:left w:w="15" w:type="dxa"/>
              <w:right w:w="15" w:type="dxa"/>
            </w:tcMar>
            <w:vAlign w:val="center"/>
          </w:tcPr>
          <w:p>
            <w:pPr>
              <w:pStyle w:val="9"/>
              <w:widowControl w:val="0"/>
              <w:pBdr>
                <w:left w:val="none" w:color="auto" w:sz="0" w:space="0"/>
                <w:bottom w:val="none" w:color="auto" w:sz="0" w:space="0"/>
                <w:right w:val="none" w:color="auto" w:sz="0" w:space="0"/>
              </w:pBdr>
              <w:spacing w:before="0" w:beforeAutospacing="0" w:after="0" w:afterAutospacing="0" w:line="0" w:lineRule="atLeast"/>
              <w:ind w:firstLine="0" w:firstLineChars="0"/>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kern w:val="0"/>
                <w:sz w:val="24"/>
                <w:szCs w:val="24"/>
                <w:highlight w:val="none"/>
                <w:lang w:val="en-US" w:eastAsia="zh-CN" w:bidi="ar"/>
              </w:rPr>
              <w:t>072-002-29</w:t>
            </w:r>
          </w:p>
        </w:tc>
        <w:tc>
          <w:tcPr>
            <w:tcW w:w="4834" w:type="dxa"/>
            <w:noWrap w:val="0"/>
            <w:tcMar>
              <w:top w:w="15" w:type="dxa"/>
              <w:left w:w="15" w:type="dxa"/>
              <w:right w:w="15" w:type="dxa"/>
            </w:tcMar>
            <w:vAlign w:val="center"/>
          </w:tcPr>
          <w:p>
            <w:pPr>
              <w:widowControl/>
              <w:jc w:val="both"/>
              <w:rPr>
                <w:rFonts w:hint="default" w:ascii="Times New Roman" w:hAnsi="Times New Roman" w:eastAsia="仿宋" w:cs="Times New Roman"/>
                <w:color w:val="auto"/>
                <w:kern w:val="0"/>
                <w:sz w:val="24"/>
                <w:szCs w:val="24"/>
                <w:highlight w:val="none"/>
                <w:lang w:val="en-US" w:eastAsia="zh-CN" w:bidi="ar-SA"/>
              </w:rPr>
            </w:pPr>
            <w:r>
              <w:rPr>
                <w:rFonts w:hint="default" w:ascii="Times New Roman" w:hAnsi="Times New Roman" w:eastAsia="仿宋" w:cs="Times New Roman"/>
                <w:color w:val="auto"/>
                <w:kern w:val="0"/>
                <w:sz w:val="24"/>
                <w:szCs w:val="24"/>
                <w:highlight w:val="none"/>
                <w:lang w:val="en-US" w:eastAsia="zh-CN" w:bidi="ar-SA"/>
              </w:rPr>
              <w:t>天然气除汞净化过程中产生的含汞废物</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kern w:val="0"/>
                <w:sz w:val="24"/>
                <w:szCs w:val="24"/>
                <w:highlight w:val="none"/>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p>
        </w:tc>
        <w:tc>
          <w:tcPr>
            <w:tcW w:w="1362" w:type="dxa"/>
            <w:noWrap w:val="0"/>
            <w:tcMar>
              <w:top w:w="15" w:type="dxa"/>
              <w:left w:w="15" w:type="dxa"/>
              <w:right w:w="15" w:type="dxa"/>
            </w:tcMar>
            <w:vAlign w:val="center"/>
          </w:tcPr>
          <w:p>
            <w:pPr>
              <w:spacing w:beforeLines="0" w:afterLines="0"/>
              <w:jc w:val="both"/>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sz w:val="24"/>
                <w:szCs w:val="24"/>
                <w:highlight w:val="none"/>
              </w:rPr>
              <w:t>常用有色金属矿采选</w:t>
            </w:r>
          </w:p>
        </w:tc>
        <w:tc>
          <w:tcPr>
            <w:tcW w:w="1176" w:type="dxa"/>
            <w:noWrap w:val="0"/>
            <w:tcMar>
              <w:top w:w="15" w:type="dxa"/>
              <w:left w:w="15" w:type="dxa"/>
              <w:right w:w="15" w:type="dxa"/>
            </w:tcMar>
            <w:vAlign w:val="center"/>
          </w:tcPr>
          <w:p>
            <w:pPr>
              <w:pStyle w:val="9"/>
              <w:widowControl w:val="0"/>
              <w:pBdr>
                <w:left w:val="none" w:color="auto" w:sz="0" w:space="0"/>
                <w:bottom w:val="none" w:color="auto" w:sz="0" w:space="0"/>
                <w:right w:val="none" w:color="auto" w:sz="0" w:space="0"/>
              </w:pBdr>
              <w:spacing w:before="0" w:beforeAutospacing="0" w:after="0" w:afterAutospacing="0" w:line="0" w:lineRule="atLeast"/>
              <w:ind w:firstLine="0" w:firstLineChars="0"/>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kern w:val="0"/>
                <w:sz w:val="24"/>
                <w:szCs w:val="24"/>
                <w:highlight w:val="none"/>
                <w:lang w:val="en-US" w:eastAsia="zh-CN" w:bidi="ar"/>
              </w:rPr>
              <w:t>091-003-29</w:t>
            </w:r>
          </w:p>
        </w:tc>
        <w:tc>
          <w:tcPr>
            <w:tcW w:w="4834" w:type="dxa"/>
            <w:noWrap w:val="0"/>
            <w:tcMar>
              <w:top w:w="15" w:type="dxa"/>
              <w:left w:w="15" w:type="dxa"/>
              <w:right w:w="15" w:type="dxa"/>
            </w:tcMar>
            <w:vAlign w:val="center"/>
          </w:tcPr>
          <w:p>
            <w:pPr>
              <w:widowControl/>
              <w:jc w:val="both"/>
              <w:rPr>
                <w:rFonts w:hint="default" w:ascii="Times New Roman" w:hAnsi="Times New Roman" w:eastAsia="仿宋" w:cs="Times New Roman"/>
                <w:color w:val="auto"/>
                <w:kern w:val="0"/>
                <w:sz w:val="24"/>
                <w:szCs w:val="24"/>
                <w:highlight w:val="none"/>
                <w:lang w:val="en-US" w:eastAsia="zh-CN" w:bidi="ar-SA"/>
              </w:rPr>
            </w:pPr>
            <w:r>
              <w:rPr>
                <w:rFonts w:hint="default" w:ascii="Times New Roman" w:hAnsi="Times New Roman" w:eastAsia="仿宋" w:cs="Times New Roman"/>
                <w:color w:val="auto"/>
                <w:kern w:val="0"/>
                <w:sz w:val="24"/>
                <w:szCs w:val="24"/>
                <w:highlight w:val="none"/>
                <w:lang w:val="en-US" w:eastAsia="zh-CN" w:bidi="ar-SA"/>
              </w:rPr>
              <w:t>汞矿采选过程中产生的尾砂和集（除）尘装置收集的粉尘</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kern w:val="0"/>
                <w:sz w:val="24"/>
                <w:szCs w:val="24"/>
                <w:highlight w:val="none"/>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p>
        </w:tc>
        <w:tc>
          <w:tcPr>
            <w:tcW w:w="1362"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sz w:val="24"/>
                <w:szCs w:val="24"/>
                <w:highlight w:val="none"/>
              </w:rPr>
              <w:t>贵金属冶炼</w:t>
            </w:r>
          </w:p>
        </w:tc>
        <w:tc>
          <w:tcPr>
            <w:tcW w:w="1176" w:type="dxa"/>
            <w:noWrap w:val="0"/>
            <w:tcMar>
              <w:top w:w="15" w:type="dxa"/>
              <w:left w:w="15" w:type="dxa"/>
              <w:right w:w="15" w:type="dxa"/>
            </w:tcMar>
            <w:vAlign w:val="center"/>
          </w:tcPr>
          <w:p>
            <w:pPr>
              <w:pStyle w:val="9"/>
              <w:widowControl w:val="0"/>
              <w:pBdr>
                <w:left w:val="none" w:color="auto" w:sz="0" w:space="0"/>
                <w:bottom w:val="none" w:color="auto" w:sz="0" w:space="0"/>
                <w:right w:val="none" w:color="auto" w:sz="0" w:space="0"/>
              </w:pBdr>
              <w:spacing w:before="0" w:beforeAutospacing="0" w:after="0" w:afterAutospacing="0" w:line="0" w:lineRule="atLeast"/>
              <w:ind w:firstLine="0" w:firstLineChars="0"/>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kern w:val="0"/>
                <w:sz w:val="24"/>
                <w:szCs w:val="24"/>
                <w:highlight w:val="none"/>
                <w:lang w:val="en-US" w:eastAsia="zh-CN" w:bidi="ar"/>
              </w:rPr>
              <w:t>322-002-29</w:t>
            </w:r>
          </w:p>
        </w:tc>
        <w:tc>
          <w:tcPr>
            <w:tcW w:w="4834" w:type="dxa"/>
            <w:noWrap w:val="0"/>
            <w:tcMar>
              <w:top w:w="15" w:type="dxa"/>
              <w:left w:w="15" w:type="dxa"/>
              <w:right w:w="15" w:type="dxa"/>
            </w:tcMar>
            <w:vAlign w:val="center"/>
          </w:tcPr>
          <w:p>
            <w:pPr>
              <w:widowControl/>
              <w:jc w:val="both"/>
              <w:rPr>
                <w:rFonts w:hint="default" w:ascii="Times New Roman" w:hAnsi="Times New Roman" w:eastAsia="仿宋" w:cs="Times New Roman"/>
                <w:color w:val="auto"/>
                <w:kern w:val="0"/>
                <w:sz w:val="24"/>
                <w:szCs w:val="24"/>
                <w:highlight w:val="none"/>
                <w:lang w:val="en-US" w:eastAsia="zh-CN" w:bidi="ar-SA"/>
              </w:rPr>
            </w:pPr>
            <w:r>
              <w:rPr>
                <w:rFonts w:hint="default" w:ascii="Times New Roman" w:hAnsi="Times New Roman" w:eastAsia="仿宋" w:cs="Times New Roman"/>
                <w:color w:val="auto"/>
                <w:kern w:val="0"/>
                <w:sz w:val="24"/>
                <w:szCs w:val="24"/>
                <w:highlight w:val="none"/>
                <w:lang w:val="en-US" w:eastAsia="zh-CN" w:bidi="ar-SA"/>
              </w:rPr>
              <w:t>混汞法提金工艺产生的含汞粉尘、残渣</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kern w:val="0"/>
                <w:sz w:val="24"/>
                <w:szCs w:val="24"/>
                <w:highlight w:val="none"/>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p>
        </w:tc>
        <w:tc>
          <w:tcPr>
            <w:tcW w:w="1362"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sz w:val="24"/>
                <w:szCs w:val="24"/>
                <w:highlight w:val="none"/>
              </w:rPr>
              <w:t>印刷</w:t>
            </w:r>
          </w:p>
        </w:tc>
        <w:tc>
          <w:tcPr>
            <w:tcW w:w="1176" w:type="dxa"/>
            <w:noWrap w:val="0"/>
            <w:tcMar>
              <w:top w:w="15" w:type="dxa"/>
              <w:left w:w="15" w:type="dxa"/>
              <w:right w:w="15" w:type="dxa"/>
            </w:tcMar>
            <w:vAlign w:val="center"/>
          </w:tcPr>
          <w:p>
            <w:pPr>
              <w:pStyle w:val="9"/>
              <w:widowControl w:val="0"/>
              <w:pBdr>
                <w:left w:val="none" w:color="auto" w:sz="0" w:space="0"/>
                <w:bottom w:val="none" w:color="auto" w:sz="0" w:space="0"/>
                <w:right w:val="none" w:color="auto" w:sz="0" w:space="0"/>
              </w:pBdr>
              <w:spacing w:before="0" w:beforeAutospacing="0" w:after="0" w:afterAutospacing="0" w:line="0" w:lineRule="atLeast"/>
              <w:ind w:firstLine="0" w:firstLineChars="0"/>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kern w:val="0"/>
                <w:sz w:val="24"/>
                <w:szCs w:val="24"/>
                <w:highlight w:val="none"/>
                <w:lang w:val="en-US" w:eastAsia="zh-CN" w:bidi="ar"/>
              </w:rPr>
              <w:t>231-007-29</w:t>
            </w:r>
          </w:p>
        </w:tc>
        <w:tc>
          <w:tcPr>
            <w:tcW w:w="4834" w:type="dxa"/>
            <w:noWrap w:val="0"/>
            <w:tcMar>
              <w:top w:w="15" w:type="dxa"/>
              <w:left w:w="15" w:type="dxa"/>
              <w:right w:w="15" w:type="dxa"/>
            </w:tcMar>
            <w:vAlign w:val="center"/>
          </w:tcPr>
          <w:p>
            <w:pPr>
              <w:widowControl/>
              <w:jc w:val="both"/>
              <w:rPr>
                <w:rFonts w:hint="default" w:ascii="Times New Roman" w:hAnsi="Times New Roman" w:eastAsia="仿宋" w:cs="Times New Roman"/>
                <w:color w:val="auto"/>
                <w:kern w:val="0"/>
                <w:sz w:val="24"/>
                <w:szCs w:val="24"/>
                <w:highlight w:val="none"/>
                <w:lang w:val="en-US" w:eastAsia="zh-CN" w:bidi="ar-SA"/>
              </w:rPr>
            </w:pPr>
            <w:r>
              <w:rPr>
                <w:rFonts w:hint="default" w:ascii="Times New Roman" w:hAnsi="Times New Roman" w:eastAsia="仿宋" w:cs="Times New Roman"/>
                <w:color w:val="auto"/>
                <w:kern w:val="0"/>
                <w:sz w:val="24"/>
                <w:szCs w:val="24"/>
                <w:highlight w:val="none"/>
                <w:lang w:val="en-US" w:eastAsia="zh-CN" w:bidi="ar-SA"/>
              </w:rPr>
              <w:t>使用显影剂、汞化合物进行影像加厚（物理沉淀）以及使用显影剂、氨氯化汞进行影像加厚（氧化）产生的废液和残渣</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kern w:val="0"/>
                <w:sz w:val="24"/>
                <w:szCs w:val="24"/>
                <w:highlight w:val="none"/>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p>
        </w:tc>
        <w:tc>
          <w:tcPr>
            <w:tcW w:w="1362" w:type="dxa"/>
            <w:vMerge w:val="restart"/>
            <w:noWrap w:val="0"/>
            <w:tcMar>
              <w:top w:w="15" w:type="dxa"/>
              <w:left w:w="15" w:type="dxa"/>
              <w:right w:w="15" w:type="dxa"/>
            </w:tcMar>
            <w:vAlign w:val="center"/>
          </w:tcPr>
          <w:p>
            <w:pPr>
              <w:spacing w:beforeLines="0" w:afterLines="0"/>
              <w:jc w:val="both"/>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sz w:val="24"/>
                <w:szCs w:val="24"/>
                <w:highlight w:val="none"/>
              </w:rPr>
              <w:t>基础化学原料制造</w:t>
            </w:r>
          </w:p>
        </w:tc>
        <w:tc>
          <w:tcPr>
            <w:tcW w:w="1176" w:type="dxa"/>
            <w:noWrap w:val="0"/>
            <w:tcMar>
              <w:top w:w="15" w:type="dxa"/>
              <w:left w:w="15" w:type="dxa"/>
              <w:right w:w="15" w:type="dxa"/>
            </w:tcMar>
            <w:vAlign w:val="center"/>
          </w:tcPr>
          <w:p>
            <w:pPr>
              <w:pStyle w:val="9"/>
              <w:widowControl w:val="0"/>
              <w:pBdr>
                <w:left w:val="none" w:color="auto" w:sz="0" w:space="0"/>
                <w:bottom w:val="none" w:color="auto" w:sz="0" w:space="0"/>
                <w:right w:val="none" w:color="auto" w:sz="0" w:space="0"/>
              </w:pBdr>
              <w:spacing w:before="0" w:beforeAutospacing="0" w:after="0" w:afterAutospacing="0" w:line="0" w:lineRule="atLeast"/>
              <w:ind w:firstLine="0" w:firstLineChars="0"/>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kern w:val="0"/>
                <w:sz w:val="24"/>
                <w:szCs w:val="24"/>
                <w:highlight w:val="none"/>
                <w:lang w:val="en-US" w:eastAsia="zh-CN" w:bidi="ar"/>
              </w:rPr>
              <w:t>261-051-29</w:t>
            </w:r>
          </w:p>
        </w:tc>
        <w:tc>
          <w:tcPr>
            <w:tcW w:w="4834" w:type="dxa"/>
            <w:noWrap w:val="0"/>
            <w:tcMar>
              <w:top w:w="15" w:type="dxa"/>
              <w:left w:w="15" w:type="dxa"/>
              <w:right w:w="15" w:type="dxa"/>
            </w:tcMar>
            <w:vAlign w:val="center"/>
          </w:tcPr>
          <w:p>
            <w:pPr>
              <w:widowControl/>
              <w:jc w:val="both"/>
              <w:rPr>
                <w:rFonts w:hint="default" w:ascii="Times New Roman" w:hAnsi="Times New Roman" w:eastAsia="仿宋" w:cs="Times New Roman"/>
                <w:color w:val="auto"/>
                <w:kern w:val="0"/>
                <w:sz w:val="24"/>
                <w:szCs w:val="24"/>
                <w:highlight w:val="none"/>
                <w:lang w:val="en-US" w:eastAsia="zh-CN" w:bidi="ar-SA"/>
              </w:rPr>
            </w:pPr>
            <w:r>
              <w:rPr>
                <w:rFonts w:hint="default" w:ascii="Times New Roman" w:hAnsi="Times New Roman" w:eastAsia="仿宋" w:cs="Times New Roman"/>
                <w:color w:val="auto"/>
                <w:kern w:val="0"/>
                <w:sz w:val="24"/>
                <w:szCs w:val="24"/>
                <w:highlight w:val="none"/>
                <w:lang w:val="en-US" w:eastAsia="zh-CN" w:bidi="ar-SA"/>
              </w:rPr>
              <w:t>水银电解槽法生产氯气过程中盐水精制产生的盐水提纯污泥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kern w:val="0"/>
                <w:sz w:val="24"/>
                <w:szCs w:val="24"/>
                <w:highlight w:val="none"/>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p>
        </w:tc>
        <w:tc>
          <w:tcPr>
            <w:tcW w:w="1362" w:type="dxa"/>
            <w:vMerge w:val="continue"/>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kern w:val="0"/>
                <w:sz w:val="24"/>
                <w:szCs w:val="24"/>
                <w:highlight w:val="none"/>
                <w:lang w:bidi="ar"/>
              </w:rPr>
            </w:pPr>
          </w:p>
        </w:tc>
        <w:tc>
          <w:tcPr>
            <w:tcW w:w="1176" w:type="dxa"/>
            <w:noWrap w:val="0"/>
            <w:tcMar>
              <w:top w:w="15" w:type="dxa"/>
              <w:left w:w="15" w:type="dxa"/>
              <w:right w:w="15" w:type="dxa"/>
            </w:tcMar>
            <w:vAlign w:val="center"/>
          </w:tcPr>
          <w:p>
            <w:pPr>
              <w:pStyle w:val="9"/>
              <w:widowControl w:val="0"/>
              <w:pBdr>
                <w:left w:val="none" w:color="auto" w:sz="0" w:space="0"/>
                <w:bottom w:val="none" w:color="auto" w:sz="0" w:space="0"/>
                <w:right w:val="none" w:color="auto" w:sz="0" w:space="0"/>
              </w:pBdr>
              <w:spacing w:before="0" w:beforeAutospacing="0" w:after="0" w:afterAutospacing="0" w:line="0" w:lineRule="atLeast"/>
              <w:ind w:firstLine="0" w:firstLineChars="0"/>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kern w:val="0"/>
                <w:sz w:val="24"/>
                <w:szCs w:val="24"/>
                <w:highlight w:val="none"/>
                <w:lang w:val="en-US" w:eastAsia="zh-CN" w:bidi="ar"/>
              </w:rPr>
              <w:t>261-052-29</w:t>
            </w:r>
          </w:p>
        </w:tc>
        <w:tc>
          <w:tcPr>
            <w:tcW w:w="4834" w:type="dxa"/>
            <w:noWrap w:val="0"/>
            <w:tcMar>
              <w:top w:w="15" w:type="dxa"/>
              <w:left w:w="15" w:type="dxa"/>
              <w:right w:w="15" w:type="dxa"/>
            </w:tcMar>
            <w:vAlign w:val="center"/>
          </w:tcPr>
          <w:p>
            <w:pPr>
              <w:widowControl/>
              <w:jc w:val="both"/>
              <w:rPr>
                <w:rFonts w:hint="default" w:ascii="Times New Roman" w:hAnsi="Times New Roman" w:eastAsia="仿宋" w:cs="Times New Roman"/>
                <w:color w:val="auto"/>
                <w:kern w:val="0"/>
                <w:sz w:val="24"/>
                <w:szCs w:val="24"/>
                <w:highlight w:val="none"/>
                <w:lang w:val="en-US" w:eastAsia="zh-CN" w:bidi="ar-SA"/>
              </w:rPr>
            </w:pPr>
            <w:r>
              <w:rPr>
                <w:rFonts w:hint="default" w:ascii="Times New Roman" w:hAnsi="Times New Roman" w:eastAsia="仿宋" w:cs="Times New Roman"/>
                <w:color w:val="auto"/>
                <w:kern w:val="0"/>
                <w:sz w:val="24"/>
                <w:szCs w:val="24"/>
                <w:highlight w:val="none"/>
                <w:lang w:val="en-US" w:eastAsia="zh-CN" w:bidi="ar-SA"/>
              </w:rPr>
              <w:t>水银电解槽法生产氯气过程中产生的废水处理污泥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kern w:val="0"/>
                <w:sz w:val="24"/>
                <w:szCs w:val="24"/>
                <w:highlight w:val="none"/>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p>
        </w:tc>
        <w:tc>
          <w:tcPr>
            <w:tcW w:w="1362" w:type="dxa"/>
            <w:vMerge w:val="continue"/>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kern w:val="0"/>
                <w:sz w:val="24"/>
                <w:szCs w:val="24"/>
                <w:highlight w:val="none"/>
                <w:lang w:bidi="ar"/>
              </w:rPr>
            </w:pPr>
          </w:p>
        </w:tc>
        <w:tc>
          <w:tcPr>
            <w:tcW w:w="1176" w:type="dxa"/>
            <w:noWrap w:val="0"/>
            <w:tcMar>
              <w:top w:w="15" w:type="dxa"/>
              <w:left w:w="15" w:type="dxa"/>
              <w:right w:w="15" w:type="dxa"/>
            </w:tcMar>
            <w:vAlign w:val="center"/>
          </w:tcPr>
          <w:p>
            <w:pPr>
              <w:pStyle w:val="9"/>
              <w:widowControl w:val="0"/>
              <w:pBdr>
                <w:left w:val="none" w:color="auto" w:sz="0" w:space="0"/>
                <w:bottom w:val="none" w:color="auto" w:sz="0" w:space="0"/>
                <w:right w:val="none" w:color="auto" w:sz="0" w:space="0"/>
              </w:pBdr>
              <w:spacing w:before="0" w:beforeAutospacing="0" w:after="0" w:afterAutospacing="0" w:line="0" w:lineRule="atLeast"/>
              <w:ind w:firstLine="0" w:firstLineChars="0"/>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kern w:val="0"/>
                <w:sz w:val="24"/>
                <w:szCs w:val="24"/>
                <w:highlight w:val="none"/>
                <w:lang w:val="en-US" w:eastAsia="zh-CN" w:bidi="ar"/>
              </w:rPr>
              <w:t>261-053-29</w:t>
            </w:r>
          </w:p>
        </w:tc>
        <w:tc>
          <w:tcPr>
            <w:tcW w:w="4834" w:type="dxa"/>
            <w:noWrap w:val="0"/>
            <w:tcMar>
              <w:top w:w="15" w:type="dxa"/>
              <w:left w:w="15" w:type="dxa"/>
              <w:right w:w="15" w:type="dxa"/>
            </w:tcMar>
            <w:vAlign w:val="center"/>
          </w:tcPr>
          <w:p>
            <w:pPr>
              <w:widowControl/>
              <w:jc w:val="both"/>
              <w:rPr>
                <w:rFonts w:hint="default" w:ascii="Times New Roman" w:hAnsi="Times New Roman" w:eastAsia="仿宋" w:cs="Times New Roman"/>
                <w:color w:val="auto"/>
                <w:kern w:val="0"/>
                <w:sz w:val="24"/>
                <w:szCs w:val="24"/>
                <w:highlight w:val="none"/>
                <w:lang w:val="en-US" w:eastAsia="zh-CN" w:bidi="ar-SA"/>
              </w:rPr>
            </w:pPr>
            <w:r>
              <w:rPr>
                <w:rFonts w:hint="default" w:ascii="Times New Roman" w:hAnsi="Times New Roman" w:eastAsia="仿宋" w:cs="Times New Roman"/>
                <w:color w:val="auto"/>
                <w:kern w:val="0"/>
                <w:sz w:val="24"/>
                <w:szCs w:val="24"/>
                <w:highlight w:val="none"/>
                <w:lang w:val="en-US" w:eastAsia="zh-CN" w:bidi="ar-SA"/>
              </w:rPr>
              <w:t>水银电解槽法生产氯气过程中产生的废活性炭</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kern w:val="0"/>
                <w:sz w:val="24"/>
                <w:szCs w:val="24"/>
                <w:highlight w:val="none"/>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p>
        </w:tc>
        <w:tc>
          <w:tcPr>
            <w:tcW w:w="1362" w:type="dxa"/>
            <w:vMerge w:val="continue"/>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kern w:val="0"/>
                <w:sz w:val="24"/>
                <w:szCs w:val="24"/>
                <w:highlight w:val="none"/>
                <w:lang w:bidi="ar"/>
              </w:rPr>
            </w:pPr>
          </w:p>
        </w:tc>
        <w:tc>
          <w:tcPr>
            <w:tcW w:w="1176" w:type="dxa"/>
            <w:noWrap w:val="0"/>
            <w:tcMar>
              <w:top w:w="15" w:type="dxa"/>
              <w:left w:w="15" w:type="dxa"/>
              <w:right w:w="15" w:type="dxa"/>
            </w:tcMar>
            <w:vAlign w:val="center"/>
          </w:tcPr>
          <w:p>
            <w:pPr>
              <w:pStyle w:val="9"/>
              <w:widowControl w:val="0"/>
              <w:pBdr>
                <w:left w:val="none" w:color="auto" w:sz="0" w:space="0"/>
                <w:bottom w:val="none" w:color="auto" w:sz="0" w:space="0"/>
                <w:right w:val="none" w:color="auto" w:sz="0" w:space="0"/>
              </w:pBdr>
              <w:spacing w:before="0" w:beforeAutospacing="0" w:after="0" w:afterAutospacing="0" w:line="0" w:lineRule="atLeast"/>
              <w:ind w:firstLine="0" w:firstLineChars="0"/>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kern w:val="0"/>
                <w:sz w:val="24"/>
                <w:szCs w:val="24"/>
                <w:highlight w:val="none"/>
                <w:lang w:val="en-US" w:eastAsia="zh-CN" w:bidi="ar"/>
              </w:rPr>
              <w:t>261-054-29</w:t>
            </w:r>
          </w:p>
        </w:tc>
        <w:tc>
          <w:tcPr>
            <w:tcW w:w="4834" w:type="dxa"/>
            <w:noWrap w:val="0"/>
            <w:tcMar>
              <w:top w:w="15" w:type="dxa"/>
              <w:left w:w="15" w:type="dxa"/>
              <w:right w:w="15" w:type="dxa"/>
            </w:tcMar>
            <w:vAlign w:val="center"/>
          </w:tcPr>
          <w:p>
            <w:pPr>
              <w:widowControl/>
              <w:jc w:val="both"/>
              <w:rPr>
                <w:rFonts w:hint="default" w:ascii="Times New Roman" w:hAnsi="Times New Roman" w:eastAsia="仿宋" w:cs="Times New Roman"/>
                <w:color w:val="auto"/>
                <w:kern w:val="0"/>
                <w:sz w:val="24"/>
                <w:szCs w:val="24"/>
                <w:highlight w:val="none"/>
                <w:lang w:val="en-US" w:eastAsia="zh-CN" w:bidi="ar-SA"/>
              </w:rPr>
            </w:pPr>
            <w:r>
              <w:rPr>
                <w:rFonts w:hint="default" w:ascii="Times New Roman" w:hAnsi="Times New Roman" w:eastAsia="仿宋" w:cs="Times New Roman"/>
                <w:color w:val="auto"/>
                <w:kern w:val="0"/>
                <w:sz w:val="24"/>
                <w:szCs w:val="24"/>
                <w:highlight w:val="none"/>
                <w:lang w:val="en-US" w:eastAsia="zh-CN" w:bidi="ar-SA"/>
              </w:rPr>
              <w:t>卤素和卤素化学品生产过程中产生的含汞硫酸钡污泥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kern w:val="0"/>
                <w:sz w:val="24"/>
                <w:szCs w:val="24"/>
                <w:highlight w:val="none"/>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p>
        </w:tc>
        <w:tc>
          <w:tcPr>
            <w:tcW w:w="1362" w:type="dxa"/>
            <w:vMerge w:val="restart"/>
            <w:noWrap w:val="0"/>
            <w:tcMar>
              <w:top w:w="15" w:type="dxa"/>
              <w:left w:w="15" w:type="dxa"/>
              <w:right w:w="15" w:type="dxa"/>
            </w:tcMar>
            <w:vAlign w:val="center"/>
          </w:tcPr>
          <w:p>
            <w:pPr>
              <w:jc w:val="both"/>
              <w:rPr>
                <w:rFonts w:hint="default" w:ascii="Times New Roman" w:hAnsi="Times New Roman" w:eastAsia="仿宋" w:cs="Times New Roman"/>
                <w:color w:val="auto"/>
                <w:sz w:val="24"/>
                <w:szCs w:val="24"/>
                <w:highlight w:val="none"/>
                <w:lang w:val="en-US" w:eastAsia="zh-CN"/>
              </w:rPr>
            </w:pPr>
            <w:r>
              <w:rPr>
                <w:rFonts w:hint="default" w:ascii="Times New Roman" w:hAnsi="Times New Roman" w:eastAsia="仿宋" w:cs="Times New Roman"/>
                <w:color w:val="auto"/>
                <w:sz w:val="24"/>
                <w:szCs w:val="24"/>
                <w:highlight w:val="none"/>
              </w:rPr>
              <w:t>合成材料制造</w:t>
            </w:r>
          </w:p>
        </w:tc>
        <w:tc>
          <w:tcPr>
            <w:tcW w:w="1176" w:type="dxa"/>
            <w:noWrap w:val="0"/>
            <w:tcMar>
              <w:top w:w="15" w:type="dxa"/>
              <w:left w:w="15" w:type="dxa"/>
              <w:right w:w="15" w:type="dxa"/>
            </w:tcMar>
            <w:vAlign w:val="center"/>
          </w:tcPr>
          <w:p>
            <w:pPr>
              <w:pStyle w:val="9"/>
              <w:widowControl w:val="0"/>
              <w:pBdr>
                <w:left w:val="none" w:color="auto" w:sz="0" w:space="0"/>
                <w:bottom w:val="none" w:color="auto" w:sz="0" w:space="0"/>
                <w:right w:val="none" w:color="auto" w:sz="0" w:space="0"/>
              </w:pBdr>
              <w:spacing w:before="0" w:beforeAutospacing="0" w:after="0" w:afterAutospacing="0" w:line="0" w:lineRule="atLeast"/>
              <w:ind w:firstLine="0" w:firstLineChars="0"/>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kern w:val="0"/>
                <w:sz w:val="24"/>
                <w:szCs w:val="24"/>
                <w:highlight w:val="none"/>
                <w:lang w:val="en-US" w:eastAsia="zh-CN" w:bidi="ar"/>
              </w:rPr>
              <w:t>265-001-29</w:t>
            </w:r>
          </w:p>
        </w:tc>
        <w:tc>
          <w:tcPr>
            <w:tcW w:w="4834" w:type="dxa"/>
            <w:noWrap w:val="0"/>
            <w:tcMar>
              <w:top w:w="15" w:type="dxa"/>
              <w:left w:w="15" w:type="dxa"/>
              <w:right w:w="15" w:type="dxa"/>
            </w:tcMar>
            <w:vAlign w:val="center"/>
          </w:tcPr>
          <w:p>
            <w:pPr>
              <w:widowControl/>
              <w:jc w:val="both"/>
              <w:rPr>
                <w:rFonts w:hint="default" w:ascii="Times New Roman" w:hAnsi="Times New Roman" w:eastAsia="仿宋" w:cs="Times New Roman"/>
                <w:color w:val="auto"/>
                <w:kern w:val="0"/>
                <w:sz w:val="24"/>
                <w:szCs w:val="24"/>
                <w:highlight w:val="none"/>
                <w:lang w:val="en-US" w:eastAsia="zh-CN" w:bidi="ar-SA"/>
              </w:rPr>
            </w:pPr>
            <w:r>
              <w:rPr>
                <w:rFonts w:hint="default" w:ascii="Times New Roman" w:hAnsi="Times New Roman" w:eastAsia="仿宋" w:cs="Times New Roman"/>
                <w:color w:val="auto"/>
                <w:kern w:val="0"/>
                <w:sz w:val="24"/>
                <w:szCs w:val="24"/>
                <w:highlight w:val="none"/>
                <w:lang w:val="en-US" w:eastAsia="zh-CN" w:bidi="ar-SA"/>
              </w:rPr>
              <w:t>氯乙烯生产过程中含汞废水处理产生的废活性炭</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kern w:val="0"/>
                <w:sz w:val="24"/>
                <w:szCs w:val="24"/>
                <w:highlight w:val="none"/>
                <w:lang w:val="en-US" w:eastAsia="zh-CN" w:bidi="ar"/>
              </w:rPr>
              <w:t>T，C</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p>
        </w:tc>
        <w:tc>
          <w:tcPr>
            <w:tcW w:w="1362" w:type="dxa"/>
            <w:vMerge w:val="continue"/>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kern w:val="0"/>
                <w:sz w:val="24"/>
                <w:szCs w:val="24"/>
                <w:highlight w:val="none"/>
                <w:lang w:bidi="ar"/>
              </w:rPr>
            </w:pPr>
          </w:p>
        </w:tc>
        <w:tc>
          <w:tcPr>
            <w:tcW w:w="1176" w:type="dxa"/>
            <w:noWrap w:val="0"/>
            <w:tcMar>
              <w:top w:w="15" w:type="dxa"/>
              <w:left w:w="15" w:type="dxa"/>
              <w:right w:w="15" w:type="dxa"/>
            </w:tcMar>
            <w:vAlign w:val="center"/>
          </w:tcPr>
          <w:p>
            <w:pPr>
              <w:pStyle w:val="9"/>
              <w:widowControl w:val="0"/>
              <w:pBdr>
                <w:left w:val="none" w:color="auto" w:sz="0" w:space="0"/>
                <w:bottom w:val="none" w:color="auto" w:sz="0" w:space="0"/>
                <w:right w:val="none" w:color="auto" w:sz="0" w:space="0"/>
              </w:pBdr>
              <w:spacing w:before="0" w:beforeAutospacing="0" w:after="0" w:afterAutospacing="0" w:line="0" w:lineRule="atLeast"/>
              <w:ind w:firstLine="0" w:firstLineChars="0"/>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kern w:val="0"/>
                <w:sz w:val="24"/>
                <w:szCs w:val="24"/>
                <w:highlight w:val="none"/>
                <w:lang w:val="en-US" w:eastAsia="zh-CN" w:bidi="ar"/>
              </w:rPr>
              <w:t>265-002-29</w:t>
            </w:r>
          </w:p>
        </w:tc>
        <w:tc>
          <w:tcPr>
            <w:tcW w:w="4834" w:type="dxa"/>
            <w:noWrap w:val="0"/>
            <w:tcMar>
              <w:top w:w="15" w:type="dxa"/>
              <w:left w:w="15" w:type="dxa"/>
              <w:right w:w="15" w:type="dxa"/>
            </w:tcMar>
            <w:vAlign w:val="center"/>
          </w:tcPr>
          <w:p>
            <w:pPr>
              <w:widowControl/>
              <w:jc w:val="both"/>
              <w:rPr>
                <w:rFonts w:hint="default" w:ascii="Times New Roman" w:hAnsi="Times New Roman" w:eastAsia="仿宋" w:cs="Times New Roman"/>
                <w:color w:val="auto"/>
                <w:kern w:val="0"/>
                <w:sz w:val="24"/>
                <w:szCs w:val="24"/>
                <w:highlight w:val="none"/>
                <w:lang w:val="en-US" w:eastAsia="zh-CN" w:bidi="ar-SA"/>
              </w:rPr>
            </w:pPr>
            <w:r>
              <w:rPr>
                <w:rFonts w:hint="default" w:ascii="Times New Roman" w:hAnsi="Times New Roman" w:eastAsia="仿宋" w:cs="Times New Roman"/>
                <w:color w:val="auto"/>
                <w:kern w:val="0"/>
                <w:sz w:val="24"/>
                <w:szCs w:val="24"/>
                <w:highlight w:val="none"/>
                <w:lang w:val="en-US" w:eastAsia="zh-CN" w:bidi="ar-SA"/>
              </w:rPr>
              <w:t>氯乙烯生产过程中吸附汞产生的废活性炭</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kern w:val="0"/>
                <w:sz w:val="24"/>
                <w:szCs w:val="24"/>
                <w:highlight w:val="none"/>
                <w:lang w:val="en-US" w:eastAsia="zh-CN" w:bidi="ar"/>
              </w:rPr>
              <w:t>T，C</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p>
        </w:tc>
        <w:tc>
          <w:tcPr>
            <w:tcW w:w="1362" w:type="dxa"/>
            <w:vMerge w:val="continue"/>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kern w:val="0"/>
                <w:sz w:val="24"/>
                <w:szCs w:val="24"/>
                <w:highlight w:val="none"/>
                <w:lang w:bidi="ar"/>
              </w:rPr>
            </w:pPr>
          </w:p>
        </w:tc>
        <w:tc>
          <w:tcPr>
            <w:tcW w:w="1176" w:type="dxa"/>
            <w:noWrap w:val="0"/>
            <w:tcMar>
              <w:top w:w="15" w:type="dxa"/>
              <w:left w:w="15" w:type="dxa"/>
              <w:right w:w="15" w:type="dxa"/>
            </w:tcMar>
            <w:vAlign w:val="center"/>
          </w:tcPr>
          <w:p>
            <w:pPr>
              <w:pStyle w:val="9"/>
              <w:widowControl w:val="0"/>
              <w:pBdr>
                <w:left w:val="none" w:color="auto" w:sz="0" w:space="0"/>
                <w:bottom w:val="none" w:color="auto" w:sz="0" w:space="0"/>
                <w:right w:val="none" w:color="auto" w:sz="0" w:space="0"/>
              </w:pBdr>
              <w:spacing w:before="0" w:beforeAutospacing="0" w:after="0" w:afterAutospacing="0" w:line="0" w:lineRule="atLeast"/>
              <w:ind w:firstLine="0" w:firstLineChars="0"/>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kern w:val="0"/>
                <w:sz w:val="24"/>
                <w:szCs w:val="24"/>
                <w:highlight w:val="none"/>
                <w:lang w:val="en-US" w:eastAsia="zh-CN" w:bidi="ar"/>
              </w:rPr>
              <w:t>265-004-29</w:t>
            </w:r>
          </w:p>
        </w:tc>
        <w:tc>
          <w:tcPr>
            <w:tcW w:w="4834" w:type="dxa"/>
            <w:noWrap w:val="0"/>
            <w:tcMar>
              <w:top w:w="15" w:type="dxa"/>
              <w:left w:w="15" w:type="dxa"/>
              <w:right w:w="15" w:type="dxa"/>
            </w:tcMar>
            <w:vAlign w:val="center"/>
          </w:tcPr>
          <w:p>
            <w:pPr>
              <w:widowControl/>
              <w:jc w:val="both"/>
              <w:rPr>
                <w:rFonts w:hint="default" w:ascii="Times New Roman" w:hAnsi="Times New Roman" w:eastAsia="仿宋" w:cs="Times New Roman"/>
                <w:color w:val="auto"/>
                <w:kern w:val="0"/>
                <w:sz w:val="24"/>
                <w:szCs w:val="24"/>
                <w:highlight w:val="none"/>
                <w:lang w:val="en-US" w:eastAsia="zh-CN" w:bidi="ar-SA"/>
              </w:rPr>
            </w:pPr>
            <w:r>
              <w:rPr>
                <w:rFonts w:hint="default" w:ascii="Times New Roman" w:hAnsi="Times New Roman" w:eastAsia="仿宋" w:cs="Times New Roman"/>
                <w:color w:val="auto"/>
                <w:kern w:val="0"/>
                <w:sz w:val="24"/>
                <w:szCs w:val="24"/>
                <w:highlight w:val="none"/>
                <w:lang w:val="en-US" w:eastAsia="zh-CN" w:bidi="ar-SA"/>
              </w:rPr>
              <w:t>电石乙炔法生产氯乙烯单体过程中产生的废水处理污泥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kern w:val="0"/>
                <w:sz w:val="24"/>
                <w:szCs w:val="24"/>
                <w:highlight w:val="none"/>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p>
        </w:tc>
        <w:tc>
          <w:tcPr>
            <w:tcW w:w="1362" w:type="dxa"/>
            <w:vMerge w:val="restart"/>
            <w:noWrap w:val="0"/>
            <w:tcMar>
              <w:top w:w="15" w:type="dxa"/>
              <w:left w:w="15" w:type="dxa"/>
              <w:right w:w="15" w:type="dxa"/>
            </w:tcMar>
            <w:vAlign w:val="center"/>
          </w:tcPr>
          <w:p>
            <w:pPr>
              <w:spacing w:beforeLines="0" w:afterLines="0"/>
              <w:jc w:val="both"/>
              <w:rPr>
                <w:rFonts w:hint="default" w:ascii="Times New Roman" w:hAnsi="Times New Roman" w:eastAsia="仿宋" w:cs="Times New Roman"/>
                <w:color w:val="auto"/>
                <w:sz w:val="24"/>
                <w:szCs w:val="24"/>
                <w:highlight w:val="none"/>
                <w:lang w:val="en-US" w:eastAsia="zh-CN"/>
              </w:rPr>
            </w:pPr>
            <w:r>
              <w:rPr>
                <w:rFonts w:hint="default" w:ascii="Times New Roman" w:hAnsi="Times New Roman" w:eastAsia="仿宋" w:cs="Times New Roman"/>
                <w:color w:val="auto"/>
                <w:sz w:val="24"/>
                <w:szCs w:val="24"/>
                <w:highlight w:val="none"/>
              </w:rPr>
              <w:t>常用有色金属冶炼</w:t>
            </w:r>
          </w:p>
        </w:tc>
        <w:tc>
          <w:tcPr>
            <w:tcW w:w="1176" w:type="dxa"/>
            <w:noWrap w:val="0"/>
            <w:tcMar>
              <w:top w:w="15" w:type="dxa"/>
              <w:left w:w="15" w:type="dxa"/>
              <w:right w:w="15" w:type="dxa"/>
            </w:tcMar>
            <w:vAlign w:val="center"/>
          </w:tcPr>
          <w:p>
            <w:pPr>
              <w:pStyle w:val="9"/>
              <w:widowControl w:val="0"/>
              <w:pBdr>
                <w:left w:val="none" w:color="auto" w:sz="0" w:space="0"/>
                <w:bottom w:val="none" w:color="auto" w:sz="0" w:space="0"/>
                <w:right w:val="none" w:color="auto" w:sz="0" w:space="0"/>
              </w:pBdr>
              <w:spacing w:before="0" w:beforeAutospacing="0" w:after="0" w:afterAutospacing="0" w:line="0" w:lineRule="atLeast"/>
              <w:ind w:firstLine="0" w:firstLineChars="0"/>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kern w:val="0"/>
                <w:sz w:val="24"/>
                <w:szCs w:val="24"/>
                <w:highlight w:val="none"/>
                <w:lang w:val="en-US" w:eastAsia="zh-CN" w:bidi="ar"/>
              </w:rPr>
              <w:t>321-030-29</w:t>
            </w:r>
          </w:p>
        </w:tc>
        <w:tc>
          <w:tcPr>
            <w:tcW w:w="4834" w:type="dxa"/>
            <w:noWrap w:val="0"/>
            <w:tcMar>
              <w:top w:w="15" w:type="dxa"/>
              <w:left w:w="15" w:type="dxa"/>
              <w:right w:w="15" w:type="dxa"/>
            </w:tcMar>
            <w:vAlign w:val="center"/>
          </w:tcPr>
          <w:p>
            <w:pPr>
              <w:widowControl/>
              <w:jc w:val="both"/>
              <w:rPr>
                <w:rFonts w:hint="default" w:ascii="Times New Roman" w:hAnsi="Times New Roman" w:eastAsia="仿宋" w:cs="Times New Roman"/>
                <w:color w:val="auto"/>
                <w:kern w:val="0"/>
                <w:sz w:val="24"/>
                <w:szCs w:val="24"/>
                <w:highlight w:val="none"/>
                <w:lang w:val="en-US" w:eastAsia="zh-CN" w:bidi="ar-SA"/>
              </w:rPr>
            </w:pPr>
            <w:r>
              <w:rPr>
                <w:rFonts w:hint="default" w:ascii="Times New Roman" w:hAnsi="Times New Roman" w:eastAsia="仿宋" w:cs="Times New Roman"/>
                <w:color w:val="auto"/>
                <w:kern w:val="0"/>
                <w:sz w:val="24"/>
                <w:szCs w:val="24"/>
                <w:highlight w:val="none"/>
                <w:lang w:val="en-US" w:eastAsia="zh-CN" w:bidi="ar-SA"/>
              </w:rPr>
              <w:t>汞再生过程中集（除）尘装置收集的粉尘，汞再生工艺产生的废水处理污泥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kern w:val="0"/>
                <w:sz w:val="24"/>
                <w:szCs w:val="24"/>
                <w:highlight w:val="none"/>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p>
        </w:tc>
        <w:tc>
          <w:tcPr>
            <w:tcW w:w="1362" w:type="dxa"/>
            <w:vMerge w:val="continue"/>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kern w:val="0"/>
                <w:sz w:val="24"/>
                <w:szCs w:val="24"/>
                <w:highlight w:val="none"/>
                <w:lang w:bidi="ar"/>
              </w:rPr>
            </w:pPr>
          </w:p>
        </w:tc>
        <w:tc>
          <w:tcPr>
            <w:tcW w:w="1176" w:type="dxa"/>
            <w:noWrap w:val="0"/>
            <w:tcMar>
              <w:top w:w="15" w:type="dxa"/>
              <w:left w:w="15" w:type="dxa"/>
              <w:right w:w="15" w:type="dxa"/>
            </w:tcMar>
            <w:vAlign w:val="center"/>
          </w:tcPr>
          <w:p>
            <w:pPr>
              <w:pStyle w:val="9"/>
              <w:widowControl w:val="0"/>
              <w:pBdr>
                <w:left w:val="none" w:color="auto" w:sz="0" w:space="0"/>
                <w:bottom w:val="none" w:color="auto" w:sz="0" w:space="0"/>
                <w:right w:val="none" w:color="auto" w:sz="0" w:space="0"/>
              </w:pBdr>
              <w:spacing w:before="0" w:beforeAutospacing="0" w:after="0" w:afterAutospacing="0" w:line="0" w:lineRule="atLeast"/>
              <w:ind w:firstLine="0" w:firstLineChars="0"/>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kern w:val="0"/>
                <w:sz w:val="24"/>
                <w:szCs w:val="24"/>
                <w:highlight w:val="none"/>
                <w:lang w:val="en-US" w:eastAsia="zh-CN" w:bidi="ar"/>
              </w:rPr>
              <w:t>321-033-29</w:t>
            </w:r>
          </w:p>
        </w:tc>
        <w:tc>
          <w:tcPr>
            <w:tcW w:w="4834" w:type="dxa"/>
            <w:noWrap w:val="0"/>
            <w:tcMar>
              <w:top w:w="15" w:type="dxa"/>
              <w:left w:w="15" w:type="dxa"/>
              <w:right w:w="15" w:type="dxa"/>
            </w:tcMar>
            <w:vAlign w:val="center"/>
          </w:tcPr>
          <w:p>
            <w:pPr>
              <w:widowControl/>
              <w:jc w:val="both"/>
              <w:rPr>
                <w:rFonts w:hint="default" w:ascii="Times New Roman" w:hAnsi="Times New Roman" w:eastAsia="仿宋" w:cs="Times New Roman"/>
                <w:color w:val="auto"/>
                <w:kern w:val="0"/>
                <w:sz w:val="24"/>
                <w:szCs w:val="24"/>
                <w:highlight w:val="none"/>
                <w:lang w:val="en-US" w:eastAsia="zh-CN" w:bidi="ar-SA"/>
              </w:rPr>
            </w:pPr>
            <w:r>
              <w:rPr>
                <w:rFonts w:hint="default" w:ascii="Times New Roman" w:hAnsi="Times New Roman" w:eastAsia="仿宋" w:cs="Times New Roman"/>
                <w:color w:val="auto"/>
                <w:kern w:val="0"/>
                <w:sz w:val="24"/>
                <w:szCs w:val="24"/>
                <w:highlight w:val="none"/>
                <w:lang w:val="en-US" w:eastAsia="zh-CN" w:bidi="ar-SA"/>
              </w:rPr>
              <w:t>铅锌冶炼烟气净化产生的酸泥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kern w:val="0"/>
                <w:sz w:val="24"/>
                <w:szCs w:val="24"/>
                <w:highlight w:val="none"/>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p>
        </w:tc>
        <w:tc>
          <w:tcPr>
            <w:tcW w:w="1362" w:type="dxa"/>
            <w:vMerge w:val="continue"/>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kern w:val="0"/>
                <w:sz w:val="24"/>
                <w:szCs w:val="24"/>
                <w:highlight w:val="none"/>
                <w:lang w:bidi="ar"/>
              </w:rPr>
            </w:pPr>
          </w:p>
        </w:tc>
        <w:tc>
          <w:tcPr>
            <w:tcW w:w="1176" w:type="dxa"/>
            <w:noWrap w:val="0"/>
            <w:tcMar>
              <w:top w:w="15" w:type="dxa"/>
              <w:left w:w="15" w:type="dxa"/>
              <w:right w:w="15" w:type="dxa"/>
            </w:tcMar>
            <w:vAlign w:val="center"/>
          </w:tcPr>
          <w:p>
            <w:pPr>
              <w:pStyle w:val="9"/>
              <w:widowControl w:val="0"/>
              <w:pBdr>
                <w:left w:val="none" w:color="auto" w:sz="0" w:space="0"/>
                <w:bottom w:val="none" w:color="auto" w:sz="0" w:space="0"/>
                <w:right w:val="none" w:color="auto" w:sz="0" w:space="0"/>
              </w:pBdr>
              <w:spacing w:before="0" w:beforeAutospacing="0" w:after="0" w:afterAutospacing="0" w:line="0" w:lineRule="atLeast"/>
              <w:ind w:firstLine="0" w:firstLineChars="0"/>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kern w:val="0"/>
                <w:sz w:val="24"/>
                <w:szCs w:val="24"/>
                <w:highlight w:val="none"/>
                <w:lang w:val="en-US" w:eastAsia="zh-CN" w:bidi="ar"/>
              </w:rPr>
              <w:t>321-103-29</w:t>
            </w:r>
          </w:p>
        </w:tc>
        <w:tc>
          <w:tcPr>
            <w:tcW w:w="4834" w:type="dxa"/>
            <w:noWrap w:val="0"/>
            <w:tcMar>
              <w:top w:w="15" w:type="dxa"/>
              <w:left w:w="15" w:type="dxa"/>
              <w:right w:w="15" w:type="dxa"/>
            </w:tcMar>
            <w:vAlign w:val="center"/>
          </w:tcPr>
          <w:p>
            <w:pPr>
              <w:widowControl/>
              <w:jc w:val="both"/>
              <w:rPr>
                <w:rFonts w:hint="default" w:ascii="Times New Roman" w:hAnsi="Times New Roman" w:eastAsia="仿宋" w:cs="Times New Roman"/>
                <w:color w:val="auto"/>
                <w:kern w:val="0"/>
                <w:sz w:val="24"/>
                <w:szCs w:val="24"/>
                <w:highlight w:val="none"/>
                <w:lang w:val="en-US" w:eastAsia="zh-CN" w:bidi="ar-SA"/>
              </w:rPr>
            </w:pPr>
            <w:r>
              <w:rPr>
                <w:rFonts w:hint="default" w:ascii="Times New Roman" w:hAnsi="Times New Roman" w:eastAsia="仿宋" w:cs="Times New Roman"/>
                <w:color w:val="auto"/>
                <w:kern w:val="0"/>
                <w:sz w:val="24"/>
                <w:szCs w:val="24"/>
                <w:highlight w:val="none"/>
                <w:lang w:val="en-US" w:eastAsia="zh-CN" w:bidi="ar-SA"/>
              </w:rPr>
              <w:t>铜、锌、铅冶炼过程中烟气氯化汞法脱汞工艺产生的废甘汞</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kern w:val="0"/>
                <w:sz w:val="24"/>
                <w:szCs w:val="24"/>
                <w:highlight w:val="none"/>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p>
        </w:tc>
        <w:tc>
          <w:tcPr>
            <w:tcW w:w="1362"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sz w:val="24"/>
                <w:szCs w:val="24"/>
                <w:highlight w:val="none"/>
              </w:rPr>
              <w:t>照明器具制造</w:t>
            </w:r>
          </w:p>
        </w:tc>
        <w:tc>
          <w:tcPr>
            <w:tcW w:w="1176" w:type="dxa"/>
            <w:noWrap w:val="0"/>
            <w:tcMar>
              <w:top w:w="15" w:type="dxa"/>
              <w:left w:w="15" w:type="dxa"/>
              <w:right w:w="15" w:type="dxa"/>
            </w:tcMar>
            <w:vAlign w:val="center"/>
          </w:tcPr>
          <w:p>
            <w:pPr>
              <w:pStyle w:val="9"/>
              <w:widowControl w:val="0"/>
              <w:pBdr>
                <w:left w:val="none" w:color="auto" w:sz="0" w:space="0"/>
                <w:bottom w:val="none" w:color="auto" w:sz="0" w:space="0"/>
                <w:right w:val="none" w:color="auto" w:sz="0" w:space="0"/>
              </w:pBdr>
              <w:spacing w:before="0" w:beforeAutospacing="0" w:after="0" w:afterAutospacing="0" w:line="0" w:lineRule="atLeast"/>
              <w:ind w:firstLine="0" w:firstLineChars="0"/>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kern w:val="0"/>
                <w:sz w:val="24"/>
                <w:szCs w:val="24"/>
                <w:highlight w:val="none"/>
                <w:lang w:val="en-US" w:eastAsia="zh-CN" w:bidi="ar"/>
              </w:rPr>
              <w:t>387-001-29</w:t>
            </w:r>
          </w:p>
        </w:tc>
        <w:tc>
          <w:tcPr>
            <w:tcW w:w="4834" w:type="dxa"/>
            <w:noWrap w:val="0"/>
            <w:tcMar>
              <w:top w:w="15" w:type="dxa"/>
              <w:left w:w="15" w:type="dxa"/>
              <w:right w:w="15" w:type="dxa"/>
            </w:tcMar>
            <w:vAlign w:val="center"/>
          </w:tcPr>
          <w:p>
            <w:pPr>
              <w:widowControl/>
              <w:jc w:val="both"/>
              <w:rPr>
                <w:rFonts w:hint="default" w:ascii="Times New Roman" w:hAnsi="Times New Roman" w:eastAsia="仿宋" w:cs="Times New Roman"/>
                <w:color w:val="auto"/>
                <w:kern w:val="0"/>
                <w:sz w:val="24"/>
                <w:szCs w:val="24"/>
                <w:highlight w:val="none"/>
                <w:lang w:val="en-US" w:eastAsia="zh-CN" w:bidi="ar-SA"/>
              </w:rPr>
            </w:pPr>
            <w:r>
              <w:rPr>
                <w:rFonts w:hint="default" w:ascii="Times New Roman" w:hAnsi="Times New Roman" w:eastAsia="仿宋" w:cs="Times New Roman"/>
                <w:color w:val="auto"/>
                <w:kern w:val="0"/>
                <w:sz w:val="24"/>
                <w:szCs w:val="24"/>
                <w:highlight w:val="none"/>
                <w:lang w:val="en-US" w:eastAsia="zh-CN" w:bidi="ar-SA"/>
              </w:rPr>
              <w:t>电光源用固汞及含汞电光源生产过程中产生的废活性炭和废水处理污泥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kern w:val="0"/>
                <w:sz w:val="24"/>
                <w:szCs w:val="24"/>
                <w:highlight w:val="none"/>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p>
        </w:tc>
        <w:tc>
          <w:tcPr>
            <w:tcW w:w="1362" w:type="dxa"/>
            <w:noWrap w:val="0"/>
            <w:tcMar>
              <w:top w:w="15" w:type="dxa"/>
              <w:left w:w="15" w:type="dxa"/>
              <w:right w:w="15" w:type="dxa"/>
            </w:tcMar>
            <w:vAlign w:val="center"/>
          </w:tcPr>
          <w:p>
            <w:pPr>
              <w:spacing w:beforeLines="0" w:afterLines="0"/>
              <w:jc w:val="both"/>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sz w:val="24"/>
                <w:szCs w:val="24"/>
                <w:highlight w:val="none"/>
              </w:rPr>
              <w:t>通用仪器仪表制造</w:t>
            </w:r>
          </w:p>
        </w:tc>
        <w:tc>
          <w:tcPr>
            <w:tcW w:w="1176" w:type="dxa"/>
            <w:noWrap w:val="0"/>
            <w:tcMar>
              <w:top w:w="15" w:type="dxa"/>
              <w:left w:w="15" w:type="dxa"/>
              <w:right w:w="15" w:type="dxa"/>
            </w:tcMar>
            <w:vAlign w:val="center"/>
          </w:tcPr>
          <w:p>
            <w:pPr>
              <w:pStyle w:val="9"/>
              <w:widowControl w:val="0"/>
              <w:pBdr>
                <w:left w:val="none" w:color="auto" w:sz="0" w:space="0"/>
                <w:bottom w:val="none" w:color="auto" w:sz="0" w:space="0"/>
                <w:right w:val="none" w:color="auto" w:sz="0" w:space="0"/>
              </w:pBdr>
              <w:spacing w:before="0" w:beforeAutospacing="0" w:after="0" w:afterAutospacing="0" w:line="0" w:lineRule="atLeast"/>
              <w:ind w:firstLine="0" w:firstLineChars="0"/>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kern w:val="0"/>
                <w:sz w:val="24"/>
                <w:szCs w:val="24"/>
                <w:highlight w:val="none"/>
                <w:lang w:val="en-US" w:eastAsia="zh-CN" w:bidi="ar"/>
              </w:rPr>
              <w:t>401-001-29</w:t>
            </w:r>
          </w:p>
        </w:tc>
        <w:tc>
          <w:tcPr>
            <w:tcW w:w="4834" w:type="dxa"/>
            <w:noWrap w:val="0"/>
            <w:tcMar>
              <w:top w:w="15" w:type="dxa"/>
              <w:left w:w="15" w:type="dxa"/>
              <w:right w:w="15" w:type="dxa"/>
            </w:tcMar>
            <w:vAlign w:val="center"/>
          </w:tcPr>
          <w:p>
            <w:pPr>
              <w:widowControl/>
              <w:jc w:val="both"/>
              <w:rPr>
                <w:rFonts w:hint="default" w:ascii="Times New Roman" w:hAnsi="Times New Roman" w:eastAsia="仿宋" w:cs="Times New Roman"/>
                <w:color w:val="auto"/>
                <w:kern w:val="0"/>
                <w:sz w:val="24"/>
                <w:szCs w:val="24"/>
                <w:highlight w:val="none"/>
                <w:lang w:val="en-US" w:eastAsia="zh-CN" w:bidi="ar-SA"/>
              </w:rPr>
            </w:pPr>
            <w:r>
              <w:rPr>
                <w:rFonts w:hint="default" w:ascii="Times New Roman" w:hAnsi="Times New Roman" w:eastAsia="仿宋" w:cs="Times New Roman"/>
                <w:color w:val="auto"/>
                <w:kern w:val="0"/>
                <w:sz w:val="24"/>
                <w:szCs w:val="24"/>
                <w:highlight w:val="none"/>
                <w:lang w:val="en-US" w:eastAsia="zh-CN" w:bidi="ar-SA"/>
              </w:rPr>
              <w:t>含汞温度计生产过程中产生的废渣</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kern w:val="0"/>
                <w:sz w:val="24"/>
                <w:szCs w:val="24"/>
                <w:highlight w:val="none"/>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kern w:val="0"/>
                <w:sz w:val="24"/>
                <w:szCs w:val="24"/>
                <w:highlight w:val="none"/>
                <w:lang w:val="en-US" w:eastAsia="zh-CN" w:bidi="ar"/>
              </w:rPr>
              <w:t>HW30</w:t>
            </w:r>
          </w:p>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sz w:val="24"/>
                <w:szCs w:val="24"/>
                <w:highlight w:val="none"/>
              </w:rPr>
              <w:t>含铊废物</w:t>
            </w:r>
          </w:p>
        </w:tc>
        <w:tc>
          <w:tcPr>
            <w:tcW w:w="1362" w:type="dxa"/>
            <w:noWrap w:val="0"/>
            <w:tcMar>
              <w:top w:w="15" w:type="dxa"/>
              <w:left w:w="15" w:type="dxa"/>
              <w:right w:w="15" w:type="dxa"/>
            </w:tcMar>
            <w:vAlign w:val="center"/>
          </w:tcPr>
          <w:p>
            <w:pPr>
              <w:spacing w:beforeLines="0" w:afterLines="0"/>
              <w:jc w:val="both"/>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sz w:val="24"/>
                <w:szCs w:val="24"/>
                <w:highlight w:val="none"/>
              </w:rPr>
              <w:t>基础化学原料制造</w:t>
            </w:r>
          </w:p>
        </w:tc>
        <w:tc>
          <w:tcPr>
            <w:tcW w:w="1176" w:type="dxa"/>
            <w:noWrap w:val="0"/>
            <w:tcMar>
              <w:top w:w="15" w:type="dxa"/>
              <w:left w:w="15" w:type="dxa"/>
              <w:right w:w="15" w:type="dxa"/>
            </w:tcMar>
            <w:vAlign w:val="center"/>
          </w:tcPr>
          <w:p>
            <w:pPr>
              <w:pStyle w:val="9"/>
              <w:widowControl w:val="0"/>
              <w:pBdr>
                <w:left w:val="none" w:color="auto" w:sz="0" w:space="0"/>
                <w:bottom w:val="none" w:color="auto" w:sz="0" w:space="0"/>
                <w:right w:val="none" w:color="auto" w:sz="0" w:space="0"/>
              </w:pBdr>
              <w:spacing w:before="0" w:beforeAutospacing="0" w:after="0" w:afterAutospacing="0" w:line="0" w:lineRule="atLeast"/>
              <w:ind w:firstLine="0" w:firstLineChars="0"/>
              <w:rPr>
                <w:rFonts w:hint="default" w:ascii="Times New Roman" w:hAnsi="Times New Roman" w:eastAsia="仿宋" w:cs="Times New Roman"/>
                <w:color w:val="auto"/>
                <w:kern w:val="0"/>
                <w:sz w:val="24"/>
                <w:szCs w:val="24"/>
                <w:highlight w:val="none"/>
                <w:lang w:val="en-US" w:eastAsia="zh-CN" w:bidi="ar-SA"/>
              </w:rPr>
            </w:pPr>
            <w:r>
              <w:rPr>
                <w:rFonts w:hint="default" w:ascii="Times New Roman" w:hAnsi="Times New Roman" w:eastAsia="仿宋" w:cs="Times New Roman"/>
                <w:color w:val="auto"/>
                <w:sz w:val="24"/>
                <w:szCs w:val="24"/>
                <w:highlight w:val="none"/>
              </w:rPr>
              <w:t>261-055-30</w:t>
            </w:r>
          </w:p>
        </w:tc>
        <w:tc>
          <w:tcPr>
            <w:tcW w:w="4834" w:type="dxa"/>
            <w:noWrap w:val="0"/>
            <w:tcMar>
              <w:top w:w="15" w:type="dxa"/>
              <w:left w:w="15" w:type="dxa"/>
              <w:right w:w="15" w:type="dxa"/>
            </w:tcMar>
            <w:vAlign w:val="center"/>
          </w:tcPr>
          <w:p>
            <w:pPr>
              <w:widowControl/>
              <w:jc w:val="both"/>
              <w:rPr>
                <w:rFonts w:hint="default" w:ascii="Times New Roman" w:hAnsi="Times New Roman" w:eastAsia="仿宋" w:cs="Times New Roman"/>
                <w:color w:val="auto"/>
                <w:kern w:val="0"/>
                <w:sz w:val="24"/>
                <w:szCs w:val="24"/>
                <w:highlight w:val="none"/>
                <w:lang w:val="en-US" w:eastAsia="zh-CN" w:bidi="ar-SA"/>
              </w:rPr>
            </w:pPr>
            <w:r>
              <w:rPr>
                <w:rFonts w:hint="default" w:ascii="Times New Roman" w:hAnsi="Times New Roman" w:eastAsia="仿宋" w:cs="Times New Roman"/>
                <w:color w:val="auto"/>
                <w:kern w:val="0"/>
                <w:sz w:val="24"/>
                <w:szCs w:val="24"/>
                <w:highlight w:val="none"/>
                <w:lang w:val="en-US" w:eastAsia="zh-CN" w:bidi="ar-SA"/>
              </w:rPr>
              <w:t>铊及其化合物生产过程中产生的熔渣、集（除）尘装置收集的粉尘和废水处理污泥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kern w:val="0"/>
                <w:sz w:val="24"/>
                <w:szCs w:val="24"/>
                <w:highlight w:val="none"/>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HW33</w:t>
            </w:r>
          </w:p>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无机氰化物废物</w:t>
            </w:r>
          </w:p>
        </w:tc>
        <w:tc>
          <w:tcPr>
            <w:tcW w:w="1362"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贵金属矿采选</w:t>
            </w: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092-003-33</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采用氰化物进行黄金选矿过程中产生的氰化尾渣和含氰废水处理污泥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restart"/>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HW34</w:t>
            </w:r>
          </w:p>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废酸</w:t>
            </w:r>
          </w:p>
        </w:tc>
        <w:tc>
          <w:tcPr>
            <w:tcW w:w="1362" w:type="dxa"/>
            <w:vMerge w:val="restart"/>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sz w:val="24"/>
                <w:szCs w:val="24"/>
                <w:highlight w:val="none"/>
              </w:rPr>
              <w:t>非特定行业</w:t>
            </w: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900-300-34</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使用酸进行清洗产生的废酸液</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C，T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900-301-34</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使用硫酸进行酸性碳化产生的废酸液</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C，T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900-302-34</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使用硫酸进行酸蚀产生的废酸液</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C，T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900-303-34</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使用磷酸进行磷化产生的废酸液</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C，T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900-304-34</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使用酸进行电解除油、金属表面敏化产生的废酸液</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C，T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900-305-34</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使用硝酸剥落不合格镀层及挂架金属镀层产生的废酸液</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C，T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900-306-34</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使用硝酸进行钝化产生的废酸液</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C，T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900-307-34</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使用酸进行电解抛光处理产生的废酸液</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C，T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900-308-34</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使用酸进行催化（化学镀）产生的废酸液</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C，T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900-349-34</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生产、销售及使用过程中产生的失效、变质、不合格、淘汰、伪劣的强酸性擦洗粉、清洁剂、污迹去除剂以及其他强酸性废酸液和酸渣</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C，T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restart"/>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HW35</w:t>
            </w:r>
          </w:p>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废碱</w:t>
            </w:r>
          </w:p>
        </w:tc>
        <w:tc>
          <w:tcPr>
            <w:tcW w:w="1362"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精炼石油产品制造</w:t>
            </w: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251-015-35</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石油炼制过程产生的废碱液和碱渣</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C，T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sz w:val="24"/>
                <w:szCs w:val="24"/>
                <w:highlight w:val="none"/>
              </w:rPr>
              <w:t>基础化学原料制造</w:t>
            </w: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261-059-35</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氢氧化钙、氨水、氢氧化钠、氢氧化钾等的生产、配制中产生的废碱液、固态碱和碱渣</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C</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restart"/>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sz w:val="24"/>
                <w:szCs w:val="24"/>
                <w:highlight w:val="none"/>
              </w:rPr>
              <w:t>非特定行业</w:t>
            </w: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900-352-35</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使用碱进行清洗产生的废碱液</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C，T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900-353-35</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使用碱进行清洗除蜡、碱性除油、电解除油产生的废碱液</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C，T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900-354-35</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使用碱进行电镀阻挡层或抗蚀层的脱除产生的废碱液</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C，T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900-355-35</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使用碱进行氧化膜浸蚀产生的废碱液</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C，T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900-356-35</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使用碱溶液进行碱性清洗、图形显影产生的废碱液</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C，T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900-399-35</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生产、销售及使用过程中产生的失效、变质、不合格、淘汰、伪劣的强碱性擦洗粉、清洁剂、污迹去除剂以及其他强碱性废碱液、固态碱和碱渣</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C，T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restart"/>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HW36</w:t>
            </w:r>
          </w:p>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石棉废物</w:t>
            </w:r>
          </w:p>
        </w:tc>
        <w:tc>
          <w:tcPr>
            <w:tcW w:w="1362"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石棉及其他非金属矿采选</w:t>
            </w: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109-001-36</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石棉矿选矿过程中产生的废渣</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sz w:val="24"/>
                <w:szCs w:val="24"/>
                <w:highlight w:val="none"/>
              </w:rPr>
              <w:t>基础化学原料制造</w:t>
            </w: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261-060-36</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卤素和卤素化学品生产过程中电解装置拆换产生的含石棉废物</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sz w:val="24"/>
                <w:szCs w:val="24"/>
                <w:highlight w:val="none"/>
              </w:rPr>
              <w:t>石膏、水泥制品及类似制品制造</w:t>
            </w: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302-001-36</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石棉建材生产过程中产生的石棉尘、废石棉</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sz w:val="24"/>
                <w:szCs w:val="24"/>
                <w:highlight w:val="none"/>
              </w:rPr>
              <w:t>耐火材料制品制造</w:t>
            </w: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308-001-36</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石棉制品生产过程中产生的石棉尘、废石棉</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sz w:val="24"/>
                <w:szCs w:val="24"/>
                <w:highlight w:val="none"/>
              </w:rPr>
              <w:t>汽车零部件及配件制造</w:t>
            </w: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367-001-36</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车辆制动器衬片生产过程中产生的石棉废物</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sz w:val="24"/>
                <w:szCs w:val="24"/>
                <w:highlight w:val="none"/>
              </w:rPr>
              <w:t>船舶及相关装置制造</w:t>
            </w: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373-002-36</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拆船过程中产生的石棉废物</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restart"/>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sz w:val="24"/>
                <w:szCs w:val="24"/>
                <w:highlight w:val="none"/>
              </w:rPr>
              <w:t>非特定行业</w:t>
            </w: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900-030-36</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其他生产过程中产生的石棉废物</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900-031-36</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含有石棉的废绝缘材料、建筑废物</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900-032-36</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含有隔膜、热绝缘体等石棉材料的设施保养拆换及车辆制动器衬片的更换产生的石棉废物</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HW37</w:t>
            </w:r>
          </w:p>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有机磷化合物废物</w:t>
            </w:r>
          </w:p>
        </w:tc>
        <w:tc>
          <w:tcPr>
            <w:tcW w:w="1362"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基础化学原料制造</w:t>
            </w: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261-063-37</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除农药以外其他有机磷化合物生产过程中产生的废水处理污泥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HW39</w:t>
            </w:r>
          </w:p>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含酚废物</w:t>
            </w:r>
          </w:p>
        </w:tc>
        <w:tc>
          <w:tcPr>
            <w:tcW w:w="1362"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基础化学原料制造</w:t>
            </w: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261-071-39</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酚及酚类化合物生产过程中产生的废过滤吸附介质、废催化剂、精馏残余物</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restart"/>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HW45</w:t>
            </w:r>
          </w:p>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含有机卤化物废物</w:t>
            </w:r>
          </w:p>
        </w:tc>
        <w:tc>
          <w:tcPr>
            <w:tcW w:w="1362" w:type="dxa"/>
            <w:vMerge w:val="restart"/>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基础化学原料制造</w:t>
            </w: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261-081-45</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芳烃及其衍生物氯代反应过程中产生的废水处理污泥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p>
        </w:tc>
        <w:tc>
          <w:tcPr>
            <w:tcW w:w="1362" w:type="dxa"/>
            <w:vMerge w:val="continue"/>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kern w:val="0"/>
                <w:sz w:val="24"/>
                <w:szCs w:val="24"/>
                <w:highlight w:val="none"/>
                <w:lang w:bidi="ar"/>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261-084-45</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其他有机卤化物的生产过程（不包括卤化前的生产工段）中产生的残液、废过滤吸附介质、反应残余物、废水处理污泥、废催化剂（不包括上述</w:t>
            </w:r>
            <w:r>
              <w:rPr>
                <w:rStyle w:val="8"/>
                <w:rFonts w:hint="default" w:ascii="Times New Roman" w:hAnsi="Times New Roman" w:eastAsia="仿宋" w:cs="Times New Roman"/>
                <w:color w:val="auto"/>
                <w:sz w:val="24"/>
                <w:szCs w:val="24"/>
                <w:highlight w:val="none"/>
                <w:lang w:bidi="ar"/>
              </w:rPr>
              <w:t>HW04、HW06、HW11、HW12、HW13、HW39类别的废物）</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restart"/>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HW46</w:t>
            </w:r>
          </w:p>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含镍废物</w:t>
            </w:r>
          </w:p>
        </w:tc>
        <w:tc>
          <w:tcPr>
            <w:tcW w:w="1362"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基础化学原料制造</w:t>
            </w: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261-087-46</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镍化合物生产过程中产生的反应残余物及不合格、淘汰、废弃的产品</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sz w:val="24"/>
                <w:szCs w:val="24"/>
                <w:highlight w:val="none"/>
              </w:rPr>
              <w:t>电子制造</w:t>
            </w: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384-005-46</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镍氢电池生产过程中产生的废渣和废水处理污泥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sz w:val="24"/>
                <w:szCs w:val="24"/>
                <w:highlight w:val="none"/>
              </w:rPr>
              <w:t>非特定行业</w:t>
            </w: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900-037-46</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废弃的镍催化剂</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T，I</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restart"/>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HW48</w:t>
            </w:r>
          </w:p>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有色金属采选和冶炼废物</w:t>
            </w:r>
          </w:p>
        </w:tc>
        <w:tc>
          <w:tcPr>
            <w:tcW w:w="1362" w:type="dxa"/>
            <w:vMerge w:val="restart"/>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常用有色金属冶炼</w:t>
            </w: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321-003-48</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粗锌精炼加工过程中湿法除尘产生的废水处理污泥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left"/>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321-019-48</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铅锌冶炼过程中废水处理污泥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left"/>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321-0</w:t>
            </w:r>
            <w:r>
              <w:rPr>
                <w:rFonts w:hint="default" w:ascii="Times New Roman" w:hAnsi="Times New Roman" w:eastAsia="仿宋" w:cs="Times New Roman"/>
                <w:color w:val="auto"/>
                <w:kern w:val="0"/>
                <w:sz w:val="24"/>
                <w:szCs w:val="24"/>
                <w:highlight w:val="none"/>
                <w:lang w:val="en-US" w:eastAsia="zh-CN" w:bidi="ar"/>
              </w:rPr>
              <w:t>20</w:t>
            </w:r>
            <w:r>
              <w:rPr>
                <w:rFonts w:hint="default" w:ascii="Times New Roman" w:hAnsi="Times New Roman" w:eastAsia="仿宋" w:cs="Times New Roman"/>
                <w:color w:val="auto"/>
                <w:kern w:val="0"/>
                <w:sz w:val="24"/>
                <w:szCs w:val="24"/>
                <w:highlight w:val="none"/>
                <w:lang w:bidi="ar"/>
              </w:rPr>
              <w:t>-48</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铅锌冶炼过程中，阴极铅精炼产生的氧化铅渣及碱渣</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left"/>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321-0</w:t>
            </w:r>
            <w:r>
              <w:rPr>
                <w:rFonts w:hint="default" w:ascii="Times New Roman" w:hAnsi="Times New Roman" w:eastAsia="仿宋" w:cs="Times New Roman"/>
                <w:color w:val="auto"/>
                <w:kern w:val="0"/>
                <w:sz w:val="24"/>
                <w:szCs w:val="24"/>
                <w:highlight w:val="none"/>
                <w:lang w:val="en-US" w:eastAsia="zh-CN" w:bidi="ar"/>
              </w:rPr>
              <w:t>22</w:t>
            </w:r>
            <w:r>
              <w:rPr>
                <w:rFonts w:hint="default" w:ascii="Times New Roman" w:hAnsi="Times New Roman" w:eastAsia="仿宋" w:cs="Times New Roman"/>
                <w:color w:val="auto"/>
                <w:kern w:val="0"/>
                <w:sz w:val="24"/>
                <w:szCs w:val="24"/>
                <w:highlight w:val="none"/>
                <w:lang w:bidi="ar"/>
              </w:rPr>
              <w:t>-48</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铅锌冶炼烟气净化产生的污酸除砷处理过程产生的砷渣</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321-023-48</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电解铝生产过程电解槽阴极内衬维修、更换产生的废渣（大修渣）</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321-025-48</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电解铝生产过程产生的炭渣</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321-027-48</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铜再生过程中集（除）尘装置收集的粉尘和湿法除尘产生的废水处理污泥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321-028-48</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锌再生过程中集（除）尘装置收集的粉尘和湿法除尘产生的废水处理污泥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321-029-48</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铅再生过程中集（除）尘装置收集的粉尘和湿法除尘产生的废水处理污泥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sz w:val="24"/>
                <w:szCs w:val="24"/>
                <w:highlight w:val="none"/>
              </w:rPr>
              <w:t>稀有稀土金属冶炼</w:t>
            </w: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323-001-48</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仲钨酸铵生产过程中碱分解产生的碱煮渣（钨渣）、除钼过程中产生的除钼渣和废水处理污泥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restart"/>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HW49</w:t>
            </w:r>
          </w:p>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其他废物</w:t>
            </w:r>
          </w:p>
        </w:tc>
        <w:tc>
          <w:tcPr>
            <w:tcW w:w="1362" w:type="dxa"/>
            <w:vMerge w:val="restart"/>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非特定行业</w:t>
            </w: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900-042-49</w:t>
            </w:r>
          </w:p>
        </w:tc>
        <w:tc>
          <w:tcPr>
            <w:tcW w:w="4834" w:type="dxa"/>
            <w:vMerge w:val="restart"/>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环境事件及其处理过程中产生的沾染危险化学品、危险废物的废物</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T/C/I/R/In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left"/>
              <w:textAlignment w:val="center"/>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kern w:val="0"/>
                <w:sz w:val="24"/>
                <w:szCs w:val="24"/>
                <w:highlight w:val="none"/>
                <w:lang w:bidi="ar"/>
              </w:rPr>
              <w:t>900-044-49</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kern w:val="0"/>
                <w:sz w:val="24"/>
                <w:szCs w:val="24"/>
                <w:highlight w:val="none"/>
                <w:lang w:bidi="ar"/>
              </w:rPr>
              <w:t>废弃的镉镍电池、荧光粉和阴极射线管</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kern w:val="0"/>
                <w:sz w:val="24"/>
                <w:szCs w:val="24"/>
                <w:highlight w:val="none"/>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900-046-49</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离子交换装置（不包括饮用水、工业纯水和锅炉软化水制备装置）再生过程中产生的废水处理污泥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900-047-49</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生产、研究、开发、教学、环境检测（监测）活动中，化学和生物实验室（不包含感染性医学实验室及医疗机构化验室）产生的含氰、氟、重金属无机废液及无机废液处理产生的残渣、残液，含矿物油、有机溶剂、甲醛有机废液，废酸、废碱，具有危险特性的残留样品，以及沾染上述物质的一次性实验用品（不包括按实验室管理要求进行清洗后的废弃的烧杯、量器、漏斗等实验室用品）、包装物（不包括按实验室管理要求进行清洗后的试剂包装物、容器）、过滤吸附介质等</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T/C/I/R</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900-999-49</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被所有者申报废弃的，或未申报废弃但被非法排放、倾倒、利用、处置的，以及有关部门依法收缴或接收且需要销毁的列入《危险化学品目录》的危险化学品（不含该目录中仅具有“加压气体”物理危险性的危险化学品）</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T/C/I/R</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环境治理业</w:t>
            </w:r>
          </w:p>
        </w:tc>
        <w:tc>
          <w:tcPr>
            <w:tcW w:w="1176" w:type="dxa"/>
            <w:noWrap w:val="0"/>
            <w:tcMar>
              <w:top w:w="15" w:type="dxa"/>
              <w:left w:w="15" w:type="dxa"/>
              <w:right w:w="15" w:type="dxa"/>
            </w:tcMar>
            <w:vAlign w:val="center"/>
          </w:tcPr>
          <w:p>
            <w:pPr>
              <w:pStyle w:val="9"/>
              <w:widowControl w:val="0"/>
              <w:pBdr>
                <w:left w:val="none" w:color="auto" w:sz="0" w:space="0"/>
                <w:bottom w:val="none" w:color="auto" w:sz="0" w:space="0"/>
                <w:right w:val="none" w:color="auto" w:sz="0" w:space="0"/>
              </w:pBdr>
              <w:spacing w:before="0" w:beforeAutospacing="0" w:after="0" w:afterAutospacing="0" w:line="0" w:lineRule="atLeast"/>
              <w:ind w:firstLine="0" w:firstLineChars="0"/>
              <w:rPr>
                <w:rFonts w:hint="default" w:ascii="Times New Roman" w:hAnsi="Times New Roman" w:eastAsia="仿宋" w:cs="Times New Roman"/>
                <w:color w:val="auto"/>
                <w:kern w:val="0"/>
                <w:sz w:val="24"/>
                <w:szCs w:val="24"/>
                <w:highlight w:val="none"/>
                <w:lang w:val="en-US" w:eastAsia="zh-CN" w:bidi="ar-SA"/>
              </w:rPr>
            </w:pPr>
            <w:r>
              <w:rPr>
                <w:rFonts w:hint="default" w:ascii="Times New Roman" w:hAnsi="Times New Roman" w:eastAsia="仿宋" w:cs="Times New Roman"/>
                <w:color w:val="auto"/>
                <w:sz w:val="24"/>
                <w:szCs w:val="24"/>
                <w:highlight w:val="none"/>
              </w:rPr>
              <w:t>772-006-49</w:t>
            </w:r>
          </w:p>
        </w:tc>
        <w:tc>
          <w:tcPr>
            <w:tcW w:w="4834" w:type="dxa"/>
            <w:noWrap w:val="0"/>
            <w:tcMar>
              <w:top w:w="15" w:type="dxa"/>
              <w:left w:w="15" w:type="dxa"/>
              <w:right w:w="15" w:type="dxa"/>
            </w:tcMar>
            <w:vAlign w:val="center"/>
          </w:tcPr>
          <w:p>
            <w:pPr>
              <w:widowControl/>
              <w:jc w:val="both"/>
              <w:rPr>
                <w:rFonts w:hint="default" w:ascii="Times New Roman" w:hAnsi="Times New Roman" w:eastAsia="仿宋" w:cs="Times New Roman"/>
                <w:color w:val="auto"/>
                <w:kern w:val="0"/>
                <w:sz w:val="24"/>
                <w:szCs w:val="24"/>
                <w:highlight w:val="none"/>
                <w:lang w:val="en-US" w:eastAsia="zh-CN" w:bidi="ar-SA"/>
              </w:rPr>
            </w:pPr>
            <w:r>
              <w:rPr>
                <w:rFonts w:hint="default" w:ascii="Times New Roman" w:hAnsi="Times New Roman" w:eastAsia="仿宋" w:cs="Times New Roman"/>
                <w:color w:val="auto"/>
                <w:kern w:val="0"/>
                <w:sz w:val="24"/>
                <w:szCs w:val="24"/>
                <w:highlight w:val="none"/>
                <w:lang w:val="en-US" w:eastAsia="zh-CN" w:bidi="ar-SA"/>
              </w:rPr>
              <w:t>采用物理、化学、物理化学或生物方法处理或处置毒性或感染性危险废物过程中产生的废水处理污泥、残渣（液）</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restart"/>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HW50</w:t>
            </w:r>
          </w:p>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废催化剂</w:t>
            </w:r>
          </w:p>
        </w:tc>
        <w:tc>
          <w:tcPr>
            <w:tcW w:w="1362" w:type="dxa"/>
            <w:vMerge w:val="restart"/>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精炼石油产品制造</w:t>
            </w: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251-016-50</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石油产品加氢精制过程中产生的废催化剂</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251-017-50</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石油炼制中采用钝镍剂进行催化裂化产生的废催化剂</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251-018-50</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石油产品加氢裂化过程中产生的废催化剂</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251-019-50</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石油产品催化重整过程中产生的废催化剂</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restart"/>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261-151-50</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树脂、乳胶、增塑剂、胶水/胶合剂生产过程中合成、酯化、缩合等工序产生的废催化剂</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261-152-50</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有机溶剂生产过程中产生的废催化剂</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261-153-50</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丙烯腈合成过程中产生的废催化剂</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261-154-50</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聚乙烯合成过程中产生的废催化剂</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261-155-50</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聚丙烯合成过程中产生的废催化剂</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261-156-50</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烷烃脱氢过程中产生的废催化剂</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261-157-50</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乙苯脱氢生产苯乙烯过程中产生的废催化剂</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261-158-50</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采用烷基化反应（歧化）生产苯、二甲苯过程中产生的废催化剂</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261-159-50</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二甲苯临氢异构化反应过程中产生的废催化剂</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261-160-50</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乙烯氧化生产环氧乙烷过程中产生的废催化剂</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261-161-50</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硝基苯催化加氢法制备苯胺过程中产生的废催化剂</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261-162-50</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以乙烯和丙烯为原料，采用茂金属催化体系生产乙丙橡胶过程中产生的废催化剂</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261-163-50</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乙炔法生产醋酸乙烯酯过程中产生的废催化剂</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261-164-50</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甲醇和氨气催化合成、蒸馏制备甲胺过程中产生的废催化剂</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261-165-50</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催化重整生产高辛烷值汽油和轻芳烃过程中产生的废催化剂</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261-166-50</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采用碳酸二甲酯法生产甲苯二异氰酸酯过程中产生的废催化剂</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261-167-50</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合成气合成、甲烷氧化和液化石油气氧化生产甲醇过程中产生的废催化剂</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261-168-50</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甲苯氯化水解生产邻甲酚过程中产生的废催化剂</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261-169-50</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异丙苯催化脱氢生产α-甲基苯乙烯过程中产生的废催化剂</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261-170-50</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异丁烯和甲醇催化生产甲基叔丁基醚过程中产生的废催化剂</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261-171-50</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以甲醇为原料采用铁钼法生产甲醛过程中产生的废铁钼催化剂</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261-172-50</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邻二甲苯氧化法生产邻苯二甲酸酐过程中产生的废催化剂</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261-173-50</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二氧化硫氧化生产硫酸过程中产生的废催化剂</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261-174-50</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四氯乙烷催化脱氯化氢生产三氯乙烯过程中产生的废催化剂</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261-175-50</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苯氧化法生产顺丁烯二酸酐过程中产生的废催化剂</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261-176-50</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甲苯空气氧化生产苯甲酸过程中产生的废催化剂</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261-177-50</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羟丙腈氨化、加氢生产3-氨基-1-丙醇过程中产生的废催化剂</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261-178-50</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β-羟基丙腈催化加氢生产3-氨基-1-丙醇过程中产生的废催化剂</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261-179-50</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甲乙酮与氨催化加氢生产2-氨基丁烷过程中产生的废催化剂</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261-180-50</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苯酚和甲醇合成2,6-二甲基苯酚过程中产生的废催化剂</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261-181-50</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糠醛脱羰制备呋喃过程中产生的废催化剂</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261-182-50</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过氧化法生产环氧丙烷过程中产生的废催化剂</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261-183-50</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除农药以外其他有机磷化合物生产过程中产生的废催化剂</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sz w:val="24"/>
                <w:szCs w:val="24"/>
                <w:highlight w:val="none"/>
              </w:rPr>
              <w:t>农药制造</w:t>
            </w: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263-013-50</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化学合成农药生产过程中产生的废催化剂</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sz w:val="24"/>
                <w:szCs w:val="24"/>
                <w:highlight w:val="none"/>
              </w:rPr>
              <w:t>化学药品原料药制造</w:t>
            </w: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271-006-50</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化学合成原料药生产过程中产生的废催化剂</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sz w:val="24"/>
                <w:szCs w:val="24"/>
                <w:highlight w:val="none"/>
              </w:rPr>
              <w:t>兽用药品制造</w:t>
            </w: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275-009-50</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兽药生产过程中产生的废催化剂</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sz w:val="24"/>
                <w:szCs w:val="24"/>
                <w:highlight w:val="none"/>
              </w:rPr>
              <w:t>生物药品制品制造</w:t>
            </w: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276-006-50</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生物药品生产过程中产生的废催化剂</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sz w:val="24"/>
                <w:szCs w:val="24"/>
                <w:highlight w:val="none"/>
              </w:rPr>
              <w:t>环境治理业</w:t>
            </w: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772-007-50</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烟气脱硝过程中产生的废钒钛系催化剂</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sz w:val="24"/>
                <w:szCs w:val="24"/>
                <w:highlight w:val="none"/>
              </w:rPr>
              <w:t>非特定行业</w:t>
            </w: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900-049-50</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机动车和非道路移动机械尾气净化废催化剂</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bl>
    <w:p>
      <w:pPr>
        <w:spacing w:line="600" w:lineRule="exact"/>
        <w:rPr>
          <w:rFonts w:hint="default" w:ascii="Times New Roman" w:hAnsi="Times New Roman" w:eastAsia="仿宋" w:cs="Times New Roman"/>
          <w:snapToGrid w:val="0"/>
          <w:color w:val="auto"/>
          <w:kern w:val="0"/>
          <w:sz w:val="32"/>
          <w:szCs w:val="32"/>
        </w:rPr>
      </w:pPr>
    </w:p>
    <w:p/>
    <w:sectPr>
      <w:headerReference r:id="rId4" w:type="first"/>
      <w:headerReference r:id="rId3" w:type="default"/>
      <w:footerReference r:id="rId5" w:type="default"/>
      <w:footerReference r:id="rId6" w:type="even"/>
      <w:pgSz w:w="11906" w:h="16838"/>
      <w:pgMar w:top="1928" w:right="1418" w:bottom="1814" w:left="1418" w:header="851" w:footer="1474" w:gutter="0"/>
      <w:cols w:space="720" w:num="1"/>
      <w:titlePg/>
      <w:docGrid w:type="lines" w:linePitch="408"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小标宋_GBK">
    <w:panose1 w:val="03000509000000000000"/>
    <w:charset w:val="86"/>
    <w:family w:val="script"/>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jc w:val="right"/>
      <w:rPr>
        <w:rFonts w:hint="eastAsia"/>
      </w:rPr>
    </w:pPr>
    <w:r>
      <w:rPr>
        <w:sz w:val="32"/>
        <w:szCs w:val="32"/>
      </w:rPr>
      <w:t>—</w:t>
    </w:r>
    <w:r>
      <w:rPr>
        <w:rFonts w:hint="eastAsia"/>
        <w:sz w:val="32"/>
        <w:szCs w:val="32"/>
      </w:rPr>
      <w:t xml:space="preserve"> </w:t>
    </w:r>
    <w:r>
      <w:rPr>
        <w:rFonts w:hint="default" w:ascii="Times New Roman" w:hAnsi="Times New Roman" w:cs="Times New Roman"/>
        <w:sz w:val="32"/>
        <w:szCs w:val="32"/>
      </w:rPr>
      <w:fldChar w:fldCharType="begin"/>
    </w:r>
    <w:r>
      <w:rPr>
        <w:rFonts w:hint="default" w:ascii="Times New Roman" w:hAnsi="Times New Roman" w:cs="Times New Roman"/>
        <w:sz w:val="32"/>
        <w:szCs w:val="32"/>
      </w:rPr>
      <w:instrText xml:space="preserve"> PAGE   \* MERGEFORMAT </w:instrText>
    </w:r>
    <w:r>
      <w:rPr>
        <w:rFonts w:hint="default" w:ascii="Times New Roman" w:hAnsi="Times New Roman" w:cs="Times New Roman"/>
        <w:sz w:val="32"/>
        <w:szCs w:val="32"/>
      </w:rPr>
      <w:fldChar w:fldCharType="separate"/>
    </w:r>
    <w:r>
      <w:rPr>
        <w:rFonts w:hint="default" w:ascii="Times New Roman" w:hAnsi="Times New Roman" w:cs="Times New Roman"/>
        <w:sz w:val="32"/>
        <w:szCs w:val="32"/>
        <w:lang w:val="zh-CN"/>
      </w:rPr>
      <w:t>3</w:t>
    </w:r>
    <w:r>
      <w:rPr>
        <w:rFonts w:hint="default" w:ascii="Times New Roman" w:hAnsi="Times New Roman" w:cs="Times New Roman"/>
        <w:sz w:val="32"/>
        <w:szCs w:val="32"/>
      </w:rPr>
      <w:fldChar w:fldCharType="end"/>
    </w:r>
    <w:r>
      <w:rPr>
        <w:rFonts w:hint="eastAsia"/>
        <w:sz w:val="32"/>
        <w:szCs w:val="32"/>
      </w:rPr>
      <w:t xml:space="preserve"> </w:t>
    </w:r>
    <w:r>
      <w:rPr>
        <w:sz w:val="32"/>
        <w:szCs w:val="32"/>
      </w:rPr>
      <w:t>—</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32"/>
        <w:szCs w:val="32"/>
      </w:rPr>
      <w:t>—</w:t>
    </w:r>
    <w:r>
      <w:rPr>
        <w:rFonts w:hint="eastAsia"/>
        <w:sz w:val="32"/>
        <w:szCs w:val="32"/>
      </w:rPr>
      <w:t xml:space="preserve"> </w:t>
    </w:r>
    <w:r>
      <w:rPr>
        <w:rFonts w:hint="default" w:ascii="Times New Roman" w:hAnsi="Times New Roman" w:cs="Times New Roman"/>
        <w:sz w:val="32"/>
        <w:szCs w:val="32"/>
      </w:rPr>
      <w:fldChar w:fldCharType="begin"/>
    </w:r>
    <w:r>
      <w:rPr>
        <w:rFonts w:hint="default" w:ascii="Times New Roman" w:hAnsi="Times New Roman" w:cs="Times New Roman"/>
        <w:sz w:val="32"/>
        <w:szCs w:val="32"/>
      </w:rPr>
      <w:instrText xml:space="preserve"> PAGE   \* MERGEFORMAT </w:instrText>
    </w:r>
    <w:r>
      <w:rPr>
        <w:rFonts w:hint="default" w:ascii="Times New Roman" w:hAnsi="Times New Roman" w:cs="Times New Roman"/>
        <w:sz w:val="32"/>
        <w:szCs w:val="32"/>
      </w:rPr>
      <w:fldChar w:fldCharType="separate"/>
    </w:r>
    <w:r>
      <w:rPr>
        <w:rFonts w:hint="default" w:ascii="Times New Roman" w:hAnsi="Times New Roman" w:cs="Times New Roman"/>
        <w:sz w:val="32"/>
        <w:szCs w:val="32"/>
        <w:lang w:val="zh-CN"/>
      </w:rPr>
      <w:t>2</w:t>
    </w:r>
    <w:r>
      <w:rPr>
        <w:rFonts w:hint="default" w:ascii="Times New Roman" w:hAnsi="Times New Roman" w:cs="Times New Roman"/>
        <w:sz w:val="32"/>
        <w:szCs w:val="32"/>
      </w:rPr>
      <w:fldChar w:fldCharType="end"/>
    </w:r>
    <w:r>
      <w:rPr>
        <w:rFonts w:hint="eastAsia"/>
        <w:sz w:val="32"/>
        <w:szCs w:val="32"/>
      </w:rPr>
      <w:t xml:space="preserve"> </w:t>
    </w:r>
    <w:r>
      <w:rPr>
        <w:sz w:val="32"/>
        <w:szCs w:val="32"/>
      </w:rPr>
      <w:t>—</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B9B0D1C"/>
    <w:rsid w:val="7B9B0D1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qFormat="1"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30"/>
      <w:szCs w:val="30"/>
      <w:lang w:val="en-US" w:eastAsia="zh-CN" w:bidi="ar-SA"/>
    </w:rPr>
  </w:style>
  <w:style w:type="character" w:default="1" w:styleId="7">
    <w:name w:val="Default Paragraph Font"/>
    <w:semiHidden/>
    <w:uiPriority w:val="0"/>
  </w:style>
  <w:style w:type="table" w:default="1" w:styleId="6">
    <w:name w:val="Normal Table"/>
    <w:semiHidden/>
    <w:uiPriority w:val="0"/>
    <w:tblPr>
      <w:tblLayout w:type="fixed"/>
      <w:tblCellMar>
        <w:top w:w="0" w:type="dxa"/>
        <w:left w:w="108" w:type="dxa"/>
        <w:bottom w:w="0" w:type="dxa"/>
        <w:right w:w="108" w:type="dxa"/>
      </w:tblCellMar>
    </w:tblPr>
  </w:style>
  <w:style w:type="paragraph" w:customStyle="1" w:styleId="2">
    <w:name w:val="Default"/>
    <w:next w:val="3"/>
    <w:qFormat/>
    <w:uiPriority w:val="0"/>
    <w:pPr>
      <w:widowControl w:val="0"/>
      <w:autoSpaceDE w:val="0"/>
      <w:autoSpaceDN w:val="0"/>
      <w:adjustRightInd w:val="0"/>
    </w:pPr>
    <w:rPr>
      <w:rFonts w:ascii="方正小标宋_GBK" w:hAnsi="Calibri" w:eastAsia="方正小标宋_GBK" w:cs="方正小标宋_GBK"/>
      <w:color w:val="000000"/>
      <w:sz w:val="24"/>
      <w:szCs w:val="24"/>
      <w:lang w:val="en-US" w:eastAsia="zh-CN" w:bidi="ar-SA"/>
    </w:rPr>
  </w:style>
  <w:style w:type="paragraph" w:styleId="3">
    <w:name w:val="index 6"/>
    <w:basedOn w:val="1"/>
    <w:next w:val="1"/>
    <w:qFormat/>
    <w:uiPriority w:val="0"/>
    <w:pPr>
      <w:ind w:left="2100"/>
    </w:pPr>
    <w:rPr>
      <w:rFonts w:ascii="Times New Roman" w:hAnsi="Times New Roman" w:eastAsia="宋体"/>
    </w:rPr>
  </w:style>
  <w:style w:type="paragraph" w:styleId="4">
    <w:name w:val="footer"/>
    <w:basedOn w:val="1"/>
    <w:uiPriority w:val="0"/>
    <w:pPr>
      <w:tabs>
        <w:tab w:val="center" w:pos="4153"/>
        <w:tab w:val="right" w:pos="8306"/>
      </w:tabs>
      <w:snapToGrid w:val="0"/>
      <w:jc w:val="left"/>
    </w:pPr>
    <w:rPr>
      <w:sz w:val="18"/>
      <w:szCs w:val="18"/>
    </w:rPr>
  </w:style>
  <w:style w:type="paragraph" w:styleId="5">
    <w:name w:val="header"/>
    <w:basedOn w:val="1"/>
    <w:qFormat/>
    <w:uiPriority w:val="0"/>
    <w:pPr>
      <w:pBdr>
        <w:bottom w:val="single" w:color="auto" w:sz="6" w:space="1"/>
      </w:pBdr>
      <w:tabs>
        <w:tab w:val="center" w:pos="4153"/>
        <w:tab w:val="right" w:pos="8306"/>
      </w:tabs>
      <w:snapToGrid w:val="0"/>
      <w:jc w:val="center"/>
    </w:pPr>
    <w:rPr>
      <w:sz w:val="18"/>
      <w:szCs w:val="18"/>
    </w:rPr>
  </w:style>
  <w:style w:type="character" w:customStyle="1" w:styleId="8">
    <w:name w:val="font21"/>
    <w:basedOn w:val="7"/>
    <w:qFormat/>
    <w:uiPriority w:val="0"/>
    <w:rPr>
      <w:rFonts w:hint="eastAsia" w:ascii="仿宋" w:hAnsi="仿宋" w:eastAsia="仿宋" w:cs="仿宋"/>
      <w:color w:val="000000"/>
      <w:sz w:val="24"/>
      <w:szCs w:val="24"/>
      <w:u w:val="none"/>
    </w:rPr>
  </w:style>
  <w:style w:type="paragraph" w:customStyle="1" w:styleId="9">
    <w:name w:val="xl26"/>
    <w:basedOn w:val="1"/>
    <w:qFormat/>
    <w:uiPriority w:val="0"/>
    <w:pPr>
      <w:widowControl/>
      <w:pBdr>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kern w:val="0"/>
      <w:sz w:val="21"/>
      <w:szCs w:val="21"/>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Office_11.8.2.8361_F1E327BC-269C-435d-A152-05C5408002CA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2023-01-12T04:11:00Z</dcterms:created>
  <dc:creator>凌文婷</dc:creator>
  <cp:lastModifiedBy>凌文婷</cp:lastModifiedBy>
  <dcterms:modified xsi:type="dcterms:W3CDTF">2023-01-12T04:12:11Z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2052-11.8.2.8361</vt:lpwstr>
  </property>
</Properties>
</file>