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C9AA08">
      <w:pPr>
        <w:widowControl/>
        <w:spacing w:beforeLines="0" w:afterLines="0" w:line="600" w:lineRule="exact"/>
        <w:ind w:firstLine="0" w:firstLineChars="0"/>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w:t>
      </w:r>
    </w:p>
    <w:p w14:paraId="419B04E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p>
    <w:p w14:paraId="4C2E8B6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b w:val="0"/>
          <w:bCs w:val="0"/>
          <w:sz w:val="44"/>
          <w:szCs w:val="44"/>
          <w:lang w:val="en-US" w:eastAsia="zh-CN"/>
        </w:rPr>
      </w:pPr>
      <w:bookmarkStart w:id="0" w:name="_GoBack"/>
      <w:r>
        <w:rPr>
          <w:rFonts w:hint="default" w:ascii="Times New Roman" w:hAnsi="Times New Roman" w:eastAsia="方正小标宋_GBK" w:cs="Times New Roman"/>
          <w:b w:val="0"/>
          <w:bCs w:val="0"/>
          <w:sz w:val="44"/>
          <w:szCs w:val="44"/>
          <w:lang w:val="en-US" w:eastAsia="zh-CN"/>
        </w:rPr>
        <w:t>广西壮族自治区2024年度大气污染防治</w:t>
      </w:r>
    </w:p>
    <w:p w14:paraId="3ED4A65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b w:val="0"/>
          <w:bCs w:val="0"/>
          <w:sz w:val="44"/>
          <w:szCs w:val="44"/>
          <w:lang w:val="en-US" w:eastAsia="zh-CN"/>
        </w:rPr>
      </w:pPr>
      <w:r>
        <w:rPr>
          <w:rFonts w:hint="default" w:ascii="Times New Roman" w:hAnsi="Times New Roman" w:eastAsia="方正小标宋_GBK" w:cs="Times New Roman"/>
          <w:b w:val="0"/>
          <w:bCs w:val="0"/>
          <w:sz w:val="44"/>
          <w:szCs w:val="44"/>
          <w:lang w:val="en-US" w:eastAsia="zh-CN"/>
        </w:rPr>
        <w:t>资金转移支付区域绩效目标自评表</w:t>
      </w:r>
    </w:p>
    <w:bookmarkEnd w:id="0"/>
    <w:p w14:paraId="212F9791">
      <w:pPr>
        <w:pStyle w:val="2"/>
        <w:rPr>
          <w:rFonts w:hint="default" w:ascii="Times New Roman" w:hAnsi="Times New Roman" w:cs="Times New Roman"/>
          <w:lang w:val="en-US" w:eastAsia="zh-CN"/>
        </w:rPr>
      </w:pPr>
    </w:p>
    <w:tbl>
      <w:tblPr>
        <w:tblStyle w:val="4"/>
        <w:tblW w:w="92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78"/>
        <w:gridCol w:w="677"/>
        <w:gridCol w:w="753"/>
        <w:gridCol w:w="823"/>
        <w:gridCol w:w="2367"/>
        <w:gridCol w:w="823"/>
        <w:gridCol w:w="791"/>
        <w:gridCol w:w="2156"/>
      </w:tblGrid>
      <w:tr w14:paraId="7D81F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tcBorders>
              <w:top w:val="single" w:color="000000" w:sz="4" w:space="0"/>
              <w:left w:val="single" w:color="000000" w:sz="4" w:space="0"/>
              <w:bottom w:val="single" w:color="000000" w:sz="4" w:space="0"/>
              <w:right w:val="single" w:color="000000" w:sz="4" w:space="0"/>
            </w:tcBorders>
            <w:noWrap w:val="0"/>
            <w:vAlign w:val="center"/>
          </w:tcPr>
          <w:p w14:paraId="7659F28A">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转移支付</w:t>
            </w:r>
          </w:p>
        </w:tc>
        <w:tc>
          <w:tcPr>
            <w:tcW w:w="7713"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14:paraId="2F435440">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大气污染防治资金</w:t>
            </w:r>
          </w:p>
        </w:tc>
      </w:tr>
      <w:tr w14:paraId="5D7E41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tcBorders>
              <w:top w:val="single" w:color="000000" w:sz="4" w:space="0"/>
              <w:left w:val="single" w:color="000000" w:sz="4" w:space="0"/>
              <w:bottom w:val="single" w:color="000000" w:sz="4" w:space="0"/>
              <w:right w:val="single" w:color="000000" w:sz="4" w:space="0"/>
            </w:tcBorders>
            <w:noWrap w:val="0"/>
            <w:vAlign w:val="center"/>
          </w:tcPr>
          <w:p w14:paraId="575C91A7">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（项目）名称</w:t>
            </w:r>
          </w:p>
        </w:tc>
        <w:tc>
          <w:tcPr>
            <w:tcW w:w="7713"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14:paraId="3BCB4509">
            <w:pPr>
              <w:jc w:val="center"/>
              <w:rPr>
                <w:rFonts w:hint="default" w:ascii="Times New Roman" w:hAnsi="Times New Roman" w:eastAsia="宋体" w:cs="Times New Roman"/>
                <w:i w:val="0"/>
                <w:iCs w:val="0"/>
                <w:color w:val="000000"/>
                <w:sz w:val="18"/>
                <w:szCs w:val="18"/>
                <w:u w:val="none"/>
              </w:rPr>
            </w:pPr>
          </w:p>
        </w:tc>
      </w:tr>
      <w:tr w14:paraId="2B7ADA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tcBorders>
              <w:top w:val="single" w:color="000000" w:sz="4" w:space="0"/>
              <w:left w:val="single" w:color="000000" w:sz="4" w:space="0"/>
              <w:bottom w:val="single" w:color="000000" w:sz="4" w:space="0"/>
              <w:right w:val="single" w:color="000000" w:sz="4" w:space="0"/>
            </w:tcBorders>
            <w:noWrap w:val="0"/>
            <w:vAlign w:val="center"/>
          </w:tcPr>
          <w:p w14:paraId="5A3DAC14">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中央主管部门</w:t>
            </w:r>
          </w:p>
        </w:tc>
        <w:tc>
          <w:tcPr>
            <w:tcW w:w="7713" w:type="dxa"/>
            <w:gridSpan w:val="6"/>
            <w:tcBorders>
              <w:top w:val="single" w:color="000000" w:sz="4" w:space="0"/>
              <w:left w:val="single" w:color="000000" w:sz="4" w:space="0"/>
              <w:bottom w:val="single" w:color="000000" w:sz="4" w:space="0"/>
              <w:right w:val="single" w:color="000000" w:sz="4" w:space="0"/>
            </w:tcBorders>
            <w:noWrap w:val="0"/>
            <w:vAlign w:val="center"/>
          </w:tcPr>
          <w:p w14:paraId="08556AA7">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财政部、生态环境部</w:t>
            </w:r>
          </w:p>
        </w:tc>
      </w:tr>
      <w:tr w14:paraId="4E386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555" w:type="dxa"/>
            <w:gridSpan w:val="2"/>
            <w:tcBorders>
              <w:top w:val="single" w:color="000000" w:sz="4" w:space="0"/>
              <w:left w:val="single" w:color="000000" w:sz="4" w:space="0"/>
              <w:bottom w:val="single" w:color="000000" w:sz="4" w:space="0"/>
              <w:right w:val="single" w:color="000000" w:sz="4" w:space="0"/>
            </w:tcBorders>
            <w:noWrap w:val="0"/>
            <w:vAlign w:val="center"/>
          </w:tcPr>
          <w:p w14:paraId="547304AC">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地方主管部门</w:t>
            </w:r>
          </w:p>
        </w:tc>
        <w:tc>
          <w:tcPr>
            <w:tcW w:w="3943" w:type="dxa"/>
            <w:gridSpan w:val="3"/>
            <w:tcBorders>
              <w:top w:val="single" w:color="000000" w:sz="4" w:space="0"/>
              <w:left w:val="single" w:color="000000" w:sz="4" w:space="0"/>
              <w:bottom w:val="single" w:color="000000" w:sz="4" w:space="0"/>
              <w:right w:val="single" w:color="000000" w:sz="4" w:space="0"/>
            </w:tcBorders>
            <w:noWrap w:val="0"/>
            <w:vAlign w:val="center"/>
          </w:tcPr>
          <w:p w14:paraId="05895AD4">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广西壮族自治区生态环境厅</w:t>
            </w:r>
            <w:r>
              <w:rPr>
                <w:rFonts w:hint="eastAsia" w:ascii="Times New Roman" w:hAnsi="Times New Roman" w:cs="Times New Roman"/>
                <w:i w:val="0"/>
                <w:iCs w:val="0"/>
                <w:color w:val="000000"/>
                <w:kern w:val="0"/>
                <w:sz w:val="18"/>
                <w:szCs w:val="18"/>
                <w:u w:val="none"/>
                <w:lang w:val="en-US" w:eastAsia="zh-CN" w:bidi="ar"/>
              </w:rPr>
              <w:t>、</w:t>
            </w:r>
            <w:r>
              <w:rPr>
                <w:rFonts w:hint="default" w:ascii="Times New Roman" w:hAnsi="Times New Roman" w:eastAsia="宋体" w:cs="Times New Roman"/>
                <w:i w:val="0"/>
                <w:iCs w:val="0"/>
                <w:color w:val="000000"/>
                <w:kern w:val="0"/>
                <w:sz w:val="18"/>
                <w:szCs w:val="18"/>
                <w:u w:val="none"/>
                <w:lang w:val="en-US" w:eastAsia="zh-CN" w:bidi="ar"/>
              </w:rPr>
              <w:t>广西壮族自治区财政厅</w:t>
            </w:r>
          </w:p>
        </w:tc>
        <w:tc>
          <w:tcPr>
            <w:tcW w:w="1614" w:type="dxa"/>
            <w:gridSpan w:val="2"/>
            <w:tcBorders>
              <w:top w:val="single" w:color="000000" w:sz="4" w:space="0"/>
              <w:left w:val="single" w:color="000000" w:sz="4" w:space="0"/>
              <w:bottom w:val="single" w:color="000000" w:sz="4" w:space="0"/>
              <w:right w:val="single" w:color="000000" w:sz="4" w:space="0"/>
            </w:tcBorders>
            <w:noWrap w:val="0"/>
            <w:vAlign w:val="center"/>
          </w:tcPr>
          <w:p w14:paraId="0C501AC0">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资金使用单位</w:t>
            </w:r>
          </w:p>
        </w:tc>
        <w:tc>
          <w:tcPr>
            <w:tcW w:w="2156" w:type="dxa"/>
            <w:tcBorders>
              <w:top w:val="single" w:color="000000" w:sz="4" w:space="0"/>
              <w:left w:val="single" w:color="000000" w:sz="4" w:space="0"/>
              <w:bottom w:val="single" w:color="000000" w:sz="4" w:space="0"/>
              <w:right w:val="single" w:color="000000" w:sz="4" w:space="0"/>
            </w:tcBorders>
            <w:noWrap w:val="0"/>
            <w:vAlign w:val="center"/>
          </w:tcPr>
          <w:p w14:paraId="7E8E4371">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南宁市、柳州市、桂林市、梧州市、北海市、防城港市、</w:t>
            </w:r>
            <w:r>
              <w:rPr>
                <w:rFonts w:hint="eastAsia" w:ascii="Times New Roman" w:hAnsi="Times New Roman" w:cs="Times New Roman"/>
                <w:i w:val="0"/>
                <w:iCs w:val="0"/>
                <w:color w:val="000000"/>
                <w:kern w:val="0"/>
                <w:sz w:val="18"/>
                <w:szCs w:val="18"/>
                <w:u w:val="none"/>
                <w:lang w:val="en-US" w:eastAsia="zh-CN" w:bidi="ar"/>
              </w:rPr>
              <w:t>钦州市、</w:t>
            </w:r>
            <w:r>
              <w:rPr>
                <w:rFonts w:hint="default" w:ascii="Times New Roman" w:hAnsi="Times New Roman" w:eastAsia="宋体" w:cs="Times New Roman"/>
                <w:i w:val="0"/>
                <w:iCs w:val="0"/>
                <w:color w:val="000000"/>
                <w:kern w:val="0"/>
                <w:sz w:val="18"/>
                <w:szCs w:val="18"/>
                <w:u w:val="none"/>
                <w:lang w:val="en-US" w:eastAsia="zh-CN" w:bidi="ar"/>
              </w:rPr>
              <w:t>贵港市、玉林市、百色市、贺州市、河池市、</w:t>
            </w:r>
            <w:r>
              <w:rPr>
                <w:rFonts w:hint="eastAsia" w:ascii="Times New Roman" w:hAnsi="Times New Roman" w:cs="Times New Roman"/>
                <w:i w:val="0"/>
                <w:iCs w:val="0"/>
                <w:color w:val="000000"/>
                <w:kern w:val="0"/>
                <w:sz w:val="18"/>
                <w:szCs w:val="18"/>
                <w:u w:val="none"/>
                <w:lang w:val="en-US" w:eastAsia="zh-CN" w:bidi="ar"/>
              </w:rPr>
              <w:t>崇左</w:t>
            </w:r>
            <w:r>
              <w:rPr>
                <w:rFonts w:hint="default" w:ascii="Times New Roman" w:hAnsi="Times New Roman" w:eastAsia="宋体" w:cs="Times New Roman"/>
                <w:i w:val="0"/>
                <w:iCs w:val="0"/>
                <w:color w:val="000000"/>
                <w:kern w:val="0"/>
                <w:sz w:val="18"/>
                <w:szCs w:val="18"/>
                <w:u w:val="none"/>
                <w:lang w:val="en-US" w:eastAsia="zh-CN" w:bidi="ar"/>
              </w:rPr>
              <w:t>市</w:t>
            </w:r>
            <w:r>
              <w:rPr>
                <w:rFonts w:hint="eastAsia" w:ascii="Times New Roman" w:hAnsi="Times New Roman" w:cs="Times New Roman"/>
                <w:i w:val="0"/>
                <w:iCs w:val="0"/>
                <w:color w:val="000000"/>
                <w:kern w:val="0"/>
                <w:sz w:val="18"/>
                <w:szCs w:val="18"/>
                <w:u w:val="none"/>
                <w:lang w:val="en-US" w:eastAsia="zh-CN" w:bidi="ar"/>
              </w:rPr>
              <w:t>。</w:t>
            </w:r>
          </w:p>
        </w:tc>
      </w:tr>
      <w:tr w14:paraId="0D282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55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7BCB069E">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资金投入情况（万元）（10分）</w:t>
            </w: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202AA154">
            <w:pPr>
              <w:jc w:val="center"/>
              <w:rPr>
                <w:rFonts w:hint="default" w:ascii="Times New Roman" w:hAnsi="Times New Roman" w:eastAsia="宋体" w:cs="Times New Roman"/>
                <w:i w:val="0"/>
                <w:iCs w:val="0"/>
                <w:color w:val="000000"/>
                <w:sz w:val="18"/>
                <w:szCs w:val="18"/>
                <w:u w:val="none"/>
              </w:rPr>
            </w:pPr>
          </w:p>
        </w:tc>
        <w:tc>
          <w:tcPr>
            <w:tcW w:w="2367" w:type="dxa"/>
            <w:tcBorders>
              <w:top w:val="single" w:color="000000" w:sz="4" w:space="0"/>
              <w:left w:val="single" w:color="000000" w:sz="4" w:space="0"/>
              <w:bottom w:val="single" w:color="000000" w:sz="4" w:space="0"/>
              <w:right w:val="single" w:color="000000" w:sz="4" w:space="0"/>
            </w:tcBorders>
            <w:noWrap w:val="0"/>
            <w:vAlign w:val="center"/>
          </w:tcPr>
          <w:p w14:paraId="19CDF2F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全年预算数（A）</w:t>
            </w:r>
          </w:p>
        </w:tc>
        <w:tc>
          <w:tcPr>
            <w:tcW w:w="1614" w:type="dxa"/>
            <w:gridSpan w:val="2"/>
            <w:tcBorders>
              <w:top w:val="single" w:color="000000" w:sz="4" w:space="0"/>
              <w:left w:val="single" w:color="000000" w:sz="4" w:space="0"/>
              <w:bottom w:val="single" w:color="000000" w:sz="4" w:space="0"/>
              <w:right w:val="single" w:color="000000" w:sz="4" w:space="0"/>
            </w:tcBorders>
            <w:noWrap w:val="0"/>
            <w:vAlign w:val="center"/>
          </w:tcPr>
          <w:p w14:paraId="61930623">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全年执行数（B）</w:t>
            </w:r>
          </w:p>
        </w:tc>
        <w:tc>
          <w:tcPr>
            <w:tcW w:w="2156" w:type="dxa"/>
            <w:tcBorders>
              <w:top w:val="single" w:color="000000" w:sz="4" w:space="0"/>
              <w:left w:val="nil"/>
              <w:bottom w:val="single" w:color="000000" w:sz="4" w:space="0"/>
              <w:right w:val="single" w:color="000000" w:sz="4" w:space="0"/>
            </w:tcBorders>
            <w:noWrap w:val="0"/>
            <w:vAlign w:val="center"/>
          </w:tcPr>
          <w:p w14:paraId="26520B3E">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预算执行率（B/A）</w:t>
            </w:r>
          </w:p>
        </w:tc>
      </w:tr>
      <w:tr w14:paraId="490AC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0439AFC0">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252A56F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年度资金总额：</w:t>
            </w:r>
          </w:p>
        </w:tc>
        <w:tc>
          <w:tcPr>
            <w:tcW w:w="2367" w:type="dxa"/>
            <w:tcBorders>
              <w:top w:val="single" w:color="000000" w:sz="4" w:space="0"/>
              <w:left w:val="single" w:color="000000" w:sz="4" w:space="0"/>
              <w:bottom w:val="single" w:color="000000" w:sz="4" w:space="0"/>
              <w:right w:val="single" w:color="000000" w:sz="4" w:space="0"/>
            </w:tcBorders>
            <w:noWrap w:val="0"/>
            <w:vAlign w:val="center"/>
          </w:tcPr>
          <w:p w14:paraId="6916027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160982.71</w:t>
            </w:r>
          </w:p>
        </w:tc>
        <w:tc>
          <w:tcPr>
            <w:tcW w:w="1614" w:type="dxa"/>
            <w:gridSpan w:val="2"/>
            <w:tcBorders>
              <w:top w:val="single" w:color="000000" w:sz="4" w:space="0"/>
              <w:left w:val="single" w:color="000000" w:sz="4" w:space="0"/>
              <w:bottom w:val="single" w:color="000000" w:sz="4" w:space="0"/>
              <w:right w:val="single" w:color="000000" w:sz="4" w:space="0"/>
            </w:tcBorders>
            <w:noWrap w:val="0"/>
            <w:vAlign w:val="center"/>
          </w:tcPr>
          <w:p w14:paraId="6D276E70">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38</w:t>
            </w:r>
            <w:r>
              <w:rPr>
                <w:rFonts w:hint="eastAsia" w:ascii="Times New Roman" w:hAnsi="Times New Roman" w:cs="Times New Roman"/>
                <w:i w:val="0"/>
                <w:iCs w:val="0"/>
                <w:color w:val="000000"/>
                <w:kern w:val="0"/>
                <w:sz w:val="18"/>
                <w:szCs w:val="18"/>
                <w:u w:val="none"/>
                <w:lang w:val="en-US" w:eastAsia="zh-CN" w:bidi="ar"/>
              </w:rPr>
              <w:t>626.39</w:t>
            </w:r>
          </w:p>
        </w:tc>
        <w:tc>
          <w:tcPr>
            <w:tcW w:w="2156" w:type="dxa"/>
            <w:tcBorders>
              <w:top w:val="single" w:color="000000" w:sz="4" w:space="0"/>
              <w:left w:val="nil"/>
              <w:bottom w:val="single" w:color="000000" w:sz="4" w:space="0"/>
              <w:right w:val="single" w:color="000000" w:sz="4" w:space="0"/>
            </w:tcBorders>
            <w:noWrap w:val="0"/>
            <w:vAlign w:val="center"/>
          </w:tcPr>
          <w:p w14:paraId="53A7251B">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23.</w:t>
            </w:r>
            <w:r>
              <w:rPr>
                <w:rFonts w:hint="eastAsia" w:ascii="Times New Roman" w:hAnsi="Times New Roman" w:cs="Times New Roman"/>
                <w:i w:val="0"/>
                <w:iCs w:val="0"/>
                <w:color w:val="000000"/>
                <w:kern w:val="0"/>
                <w:sz w:val="18"/>
                <w:szCs w:val="18"/>
                <w:u w:val="none"/>
                <w:lang w:val="en-US" w:eastAsia="zh-CN" w:bidi="ar"/>
              </w:rPr>
              <w:t>99</w:t>
            </w:r>
            <w:r>
              <w:rPr>
                <w:rFonts w:hint="default" w:ascii="Times New Roman" w:hAnsi="Times New Roman" w:eastAsia="宋体" w:cs="Times New Roman"/>
                <w:i w:val="0"/>
                <w:iCs w:val="0"/>
                <w:color w:val="000000"/>
                <w:kern w:val="0"/>
                <w:sz w:val="18"/>
                <w:szCs w:val="18"/>
                <w:u w:val="none"/>
                <w:lang w:val="en-US" w:eastAsia="zh-CN" w:bidi="ar"/>
              </w:rPr>
              <w:t>%</w:t>
            </w:r>
          </w:p>
        </w:tc>
      </w:tr>
      <w:tr w14:paraId="624AB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9FA7352">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0AB2536D">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其中：中央财政资金</w:t>
            </w:r>
          </w:p>
        </w:tc>
        <w:tc>
          <w:tcPr>
            <w:tcW w:w="2367" w:type="dxa"/>
            <w:tcBorders>
              <w:top w:val="single" w:color="000000" w:sz="4" w:space="0"/>
              <w:left w:val="single" w:color="000000" w:sz="4" w:space="0"/>
              <w:bottom w:val="single" w:color="000000" w:sz="4" w:space="0"/>
              <w:right w:val="single" w:color="000000" w:sz="4" w:space="0"/>
            </w:tcBorders>
            <w:noWrap w:val="0"/>
            <w:vAlign w:val="center"/>
          </w:tcPr>
          <w:p w14:paraId="63457FC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35313</w:t>
            </w:r>
          </w:p>
        </w:tc>
        <w:tc>
          <w:tcPr>
            <w:tcW w:w="1614" w:type="dxa"/>
            <w:gridSpan w:val="2"/>
            <w:tcBorders>
              <w:top w:val="single" w:color="000000" w:sz="4" w:space="0"/>
              <w:left w:val="single" w:color="000000" w:sz="4" w:space="0"/>
              <w:bottom w:val="single" w:color="000000" w:sz="4" w:space="0"/>
              <w:right w:val="single" w:color="000000" w:sz="4" w:space="0"/>
            </w:tcBorders>
            <w:noWrap w:val="0"/>
            <w:vAlign w:val="center"/>
          </w:tcPr>
          <w:p w14:paraId="6751C042">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7256.73</w:t>
            </w:r>
            <w:r>
              <w:rPr>
                <w:rFonts w:hint="default" w:ascii="Times New Roman" w:hAnsi="Times New Roman" w:eastAsia="宋体" w:cs="Times New Roman"/>
                <w:i w:val="0"/>
                <w:iCs w:val="0"/>
                <w:color w:val="000000"/>
                <w:kern w:val="0"/>
                <w:sz w:val="18"/>
                <w:szCs w:val="18"/>
                <w:u w:val="none"/>
                <w:lang w:val="en-US" w:eastAsia="zh-CN" w:bidi="ar"/>
              </w:rPr>
              <w:t xml:space="preserve"> </w:t>
            </w:r>
          </w:p>
        </w:tc>
        <w:tc>
          <w:tcPr>
            <w:tcW w:w="2156" w:type="dxa"/>
            <w:tcBorders>
              <w:top w:val="single" w:color="000000" w:sz="4" w:space="0"/>
              <w:left w:val="nil"/>
              <w:bottom w:val="single" w:color="000000" w:sz="4" w:space="0"/>
              <w:right w:val="single" w:color="000000" w:sz="4" w:space="0"/>
            </w:tcBorders>
            <w:noWrap w:val="0"/>
            <w:vAlign w:val="center"/>
          </w:tcPr>
          <w:p w14:paraId="0FE79177">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20.55</w:t>
            </w:r>
            <w:r>
              <w:rPr>
                <w:rFonts w:hint="default" w:ascii="Times New Roman" w:hAnsi="Times New Roman" w:eastAsia="宋体" w:cs="Times New Roman"/>
                <w:i w:val="0"/>
                <w:iCs w:val="0"/>
                <w:color w:val="000000"/>
                <w:kern w:val="0"/>
                <w:sz w:val="18"/>
                <w:szCs w:val="18"/>
                <w:u w:val="none"/>
                <w:lang w:val="en-US" w:eastAsia="zh-CN" w:bidi="ar"/>
              </w:rPr>
              <w:t xml:space="preserve"> %</w:t>
            </w:r>
          </w:p>
        </w:tc>
      </w:tr>
      <w:tr w14:paraId="29645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EA9AB31">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0BC57C97">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地方资金</w:t>
            </w:r>
          </w:p>
        </w:tc>
        <w:tc>
          <w:tcPr>
            <w:tcW w:w="2367" w:type="dxa"/>
            <w:tcBorders>
              <w:top w:val="single" w:color="000000" w:sz="4" w:space="0"/>
              <w:left w:val="single" w:color="000000" w:sz="4" w:space="0"/>
              <w:bottom w:val="single" w:color="000000" w:sz="4" w:space="0"/>
              <w:right w:val="single" w:color="000000" w:sz="4" w:space="0"/>
            </w:tcBorders>
            <w:noWrap w:val="0"/>
            <w:vAlign w:val="center"/>
          </w:tcPr>
          <w:p w14:paraId="370A8050">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p>
        </w:tc>
        <w:tc>
          <w:tcPr>
            <w:tcW w:w="1614" w:type="dxa"/>
            <w:gridSpan w:val="2"/>
            <w:tcBorders>
              <w:top w:val="single" w:color="000000" w:sz="4" w:space="0"/>
              <w:left w:val="single" w:color="000000" w:sz="4" w:space="0"/>
              <w:bottom w:val="single" w:color="000000" w:sz="4" w:space="0"/>
              <w:right w:val="single" w:color="000000" w:sz="4" w:space="0"/>
            </w:tcBorders>
            <w:noWrap w:val="0"/>
            <w:vAlign w:val="center"/>
          </w:tcPr>
          <w:p w14:paraId="6E87D3BF">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p>
        </w:tc>
        <w:tc>
          <w:tcPr>
            <w:tcW w:w="2156" w:type="dxa"/>
            <w:tcBorders>
              <w:top w:val="single" w:color="000000" w:sz="4" w:space="0"/>
              <w:left w:val="nil"/>
              <w:bottom w:val="single" w:color="000000" w:sz="4" w:space="0"/>
              <w:right w:val="single" w:color="000000" w:sz="4" w:space="0"/>
            </w:tcBorders>
            <w:noWrap w:val="0"/>
            <w:vAlign w:val="center"/>
          </w:tcPr>
          <w:p w14:paraId="081DBEE0">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p>
        </w:tc>
      </w:tr>
      <w:tr w14:paraId="65EED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75C3E207">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20BF3B44">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其他资金</w:t>
            </w:r>
          </w:p>
        </w:tc>
        <w:tc>
          <w:tcPr>
            <w:tcW w:w="2367" w:type="dxa"/>
            <w:tcBorders>
              <w:top w:val="single" w:color="000000" w:sz="4" w:space="0"/>
              <w:left w:val="single" w:color="000000" w:sz="4" w:space="0"/>
              <w:bottom w:val="single" w:color="000000" w:sz="4" w:space="0"/>
              <w:right w:val="single" w:color="000000" w:sz="4" w:space="0"/>
            </w:tcBorders>
            <w:noWrap w:val="0"/>
            <w:vAlign w:val="center"/>
          </w:tcPr>
          <w:p w14:paraId="3F3F416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 xml:space="preserve">125669.71 </w:t>
            </w:r>
          </w:p>
        </w:tc>
        <w:tc>
          <w:tcPr>
            <w:tcW w:w="1614" w:type="dxa"/>
            <w:gridSpan w:val="2"/>
            <w:tcBorders>
              <w:top w:val="single" w:color="000000" w:sz="4" w:space="0"/>
              <w:left w:val="single" w:color="000000" w:sz="4" w:space="0"/>
              <w:bottom w:val="single" w:color="000000" w:sz="4" w:space="0"/>
              <w:right w:val="single" w:color="000000" w:sz="4" w:space="0"/>
            </w:tcBorders>
            <w:noWrap w:val="0"/>
            <w:vAlign w:val="center"/>
          </w:tcPr>
          <w:p w14:paraId="2C475F44">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31369.66</w:t>
            </w:r>
          </w:p>
        </w:tc>
        <w:tc>
          <w:tcPr>
            <w:tcW w:w="2156" w:type="dxa"/>
            <w:tcBorders>
              <w:top w:val="single" w:color="000000" w:sz="4" w:space="0"/>
              <w:left w:val="nil"/>
              <w:bottom w:val="single" w:color="000000" w:sz="4" w:space="0"/>
              <w:right w:val="single" w:color="000000" w:sz="4" w:space="0"/>
            </w:tcBorders>
            <w:noWrap w:val="0"/>
            <w:vAlign w:val="center"/>
          </w:tcPr>
          <w:p w14:paraId="188EBD6D">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24.</w:t>
            </w:r>
            <w:r>
              <w:rPr>
                <w:rFonts w:hint="eastAsia" w:ascii="Times New Roman" w:hAnsi="Times New Roman" w:cs="Times New Roman"/>
                <w:i w:val="0"/>
                <w:iCs w:val="0"/>
                <w:color w:val="000000"/>
                <w:kern w:val="0"/>
                <w:sz w:val="18"/>
                <w:szCs w:val="18"/>
                <w:u w:val="none"/>
                <w:lang w:val="en-US" w:eastAsia="zh-CN" w:bidi="ar"/>
              </w:rPr>
              <w:t>96</w:t>
            </w:r>
            <w:r>
              <w:rPr>
                <w:rFonts w:hint="eastAsia" w:ascii="Times New Roman" w:hAnsi="Times New Roman" w:eastAsia="宋体" w:cs="Times New Roman"/>
                <w:i w:val="0"/>
                <w:iCs w:val="0"/>
                <w:color w:val="000000"/>
                <w:kern w:val="0"/>
                <w:sz w:val="18"/>
                <w:szCs w:val="18"/>
                <w:u w:val="none"/>
                <w:lang w:val="en-US" w:eastAsia="zh-CN" w:bidi="ar"/>
              </w:rPr>
              <w:t>%</w:t>
            </w:r>
          </w:p>
        </w:tc>
      </w:tr>
      <w:tr w14:paraId="07457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155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7A133D8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资金管理情况</w:t>
            </w: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0C6EA538">
            <w:pPr>
              <w:jc w:val="center"/>
              <w:rPr>
                <w:rFonts w:hint="default" w:ascii="Times New Roman" w:hAnsi="Times New Roman" w:eastAsia="宋体" w:cs="Times New Roman"/>
                <w:i w:val="0"/>
                <w:iCs w:val="0"/>
                <w:color w:val="000000"/>
                <w:sz w:val="18"/>
                <w:szCs w:val="18"/>
                <w:u w:val="none"/>
              </w:rPr>
            </w:pP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1A4BC4A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情况说明</w:t>
            </w:r>
          </w:p>
        </w:tc>
        <w:tc>
          <w:tcPr>
            <w:tcW w:w="2156" w:type="dxa"/>
            <w:tcBorders>
              <w:top w:val="single" w:color="000000" w:sz="4" w:space="0"/>
              <w:left w:val="nil"/>
              <w:bottom w:val="single" w:color="000000" w:sz="4" w:space="0"/>
              <w:right w:val="single" w:color="000000" w:sz="4" w:space="0"/>
            </w:tcBorders>
            <w:noWrap w:val="0"/>
            <w:vAlign w:val="center"/>
          </w:tcPr>
          <w:p w14:paraId="0A50353E">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存在问题和改进措施</w:t>
            </w:r>
          </w:p>
        </w:tc>
      </w:tr>
      <w:tr w14:paraId="6B754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9"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21B73D7">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52E770AC">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分配科学性</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142115F1">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严格按照《大气污染防治资金管理办法》《中央生态环境资金项目管理规程（试行）》《中央大气污染防治资金广西管理实施细则（试行）》等制度原则进行分配。</w:t>
            </w:r>
          </w:p>
        </w:tc>
        <w:tc>
          <w:tcPr>
            <w:tcW w:w="2156" w:type="dxa"/>
            <w:tcBorders>
              <w:top w:val="single" w:color="000000" w:sz="4" w:space="0"/>
              <w:left w:val="nil"/>
              <w:bottom w:val="single" w:color="000000" w:sz="4" w:space="0"/>
              <w:right w:val="single" w:color="000000" w:sz="4" w:space="0"/>
            </w:tcBorders>
            <w:noWrap w:val="0"/>
            <w:vAlign w:val="center"/>
          </w:tcPr>
          <w:p w14:paraId="5304991A">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65891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91CF965">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4E9771AB">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下达及时性</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2A9920B7">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sz w:val="18"/>
                <w:szCs w:val="18"/>
                <w:u w:val="none"/>
              </w:rPr>
              <w:t>2024年11月15日收到提前批中央资金下达文件，2024年12月12日完成全部资金11129万元的分配下达；2024年6月24日收到第二批中央资金下达文件，2024年7月24日完成全部资金24184万元的分配下达；均在要求的30日之内完成资金分配下达工作。</w:t>
            </w:r>
          </w:p>
        </w:tc>
        <w:tc>
          <w:tcPr>
            <w:tcW w:w="2156" w:type="dxa"/>
            <w:tcBorders>
              <w:top w:val="single" w:color="000000" w:sz="4" w:space="0"/>
              <w:left w:val="nil"/>
              <w:bottom w:val="single" w:color="000000" w:sz="4" w:space="0"/>
              <w:right w:val="single" w:color="000000" w:sz="4" w:space="0"/>
            </w:tcBorders>
            <w:noWrap w:val="0"/>
            <w:vAlign w:val="center"/>
          </w:tcPr>
          <w:p w14:paraId="48D9B167">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00021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4DC806C">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7847A343">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拨付合规性</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75DB0F4A">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color w:val="000000"/>
                <w:kern w:val="0"/>
                <w:sz w:val="18"/>
                <w:szCs w:val="18"/>
                <w:lang w:eastAsia="zh-CN" w:bidi="ar"/>
              </w:rPr>
              <w:t>2024</w:t>
            </w:r>
            <w:r>
              <w:rPr>
                <w:rFonts w:ascii="Times New Roman" w:hAnsi="Times New Roman" w:eastAsia="宋体" w:cs="Times New Roman"/>
                <w:color w:val="000000"/>
                <w:kern w:val="0"/>
                <w:sz w:val="18"/>
                <w:szCs w:val="18"/>
                <w:lang w:bidi="ar"/>
              </w:rPr>
              <w:t>年中央</w:t>
            </w:r>
            <w:r>
              <w:rPr>
                <w:rFonts w:hint="eastAsia" w:ascii="Times New Roman" w:hAnsi="Times New Roman" w:cs="Times New Roman"/>
                <w:color w:val="000000"/>
                <w:kern w:val="0"/>
                <w:sz w:val="18"/>
                <w:szCs w:val="18"/>
                <w:lang w:val="en-US" w:eastAsia="zh-CN" w:bidi="ar"/>
              </w:rPr>
              <w:t>大气</w:t>
            </w:r>
            <w:r>
              <w:rPr>
                <w:rFonts w:ascii="Times New Roman" w:hAnsi="Times New Roman" w:eastAsia="宋体" w:cs="Times New Roman"/>
                <w:color w:val="000000"/>
                <w:kern w:val="0"/>
                <w:sz w:val="18"/>
                <w:szCs w:val="18"/>
                <w:lang w:bidi="ar"/>
              </w:rPr>
              <w:t>污染防治资金严格执行国库集中支付制度，未出现违规将资金从国库转入财政专户或支付到预算单位实有资金账户等问题。</w:t>
            </w:r>
          </w:p>
        </w:tc>
        <w:tc>
          <w:tcPr>
            <w:tcW w:w="2156" w:type="dxa"/>
            <w:tcBorders>
              <w:top w:val="single" w:color="000000" w:sz="4" w:space="0"/>
              <w:left w:val="nil"/>
              <w:bottom w:val="single" w:color="000000" w:sz="4" w:space="0"/>
              <w:right w:val="single" w:color="000000" w:sz="4" w:space="0"/>
            </w:tcBorders>
            <w:noWrap w:val="0"/>
            <w:vAlign w:val="center"/>
          </w:tcPr>
          <w:p w14:paraId="12CB9B0A">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1957A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5C312B7">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48770DD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使用规范性</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3931359E">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sz w:val="18"/>
                <w:szCs w:val="18"/>
                <w:u w:val="none"/>
                <w:lang w:val="en-US" w:eastAsia="zh-CN"/>
              </w:rPr>
              <w:t>严格按照《财政部关于印发大气污染防治资金管理办法的通知》（财资环〔2021〕46号）、《财政部关于修改大气污染防治资金管理办法的通知》（财资环〔2022〕106号）有关规定，结合广西实际情况，2024年大气污染防治资金广西用于支持能力建设项目10个，安排中央资金预算1746万元，占比5%，符合资金管理办法规定；支持工业污染治理项目37个（其中</w:t>
            </w:r>
            <w:r>
              <w:rPr>
                <w:rFonts w:hint="eastAsia" w:ascii="Times New Roman" w:hAnsi="Times New Roman" w:cs="Times New Roman"/>
                <w:i w:val="0"/>
                <w:iCs w:val="0"/>
                <w:color w:val="000000"/>
                <w:sz w:val="18"/>
                <w:szCs w:val="18"/>
                <w:u w:val="none"/>
                <w:lang w:val="en-US" w:eastAsia="zh-CN"/>
              </w:rPr>
              <w:t>工业锅炉</w:t>
            </w:r>
            <w:r>
              <w:rPr>
                <w:rFonts w:hint="default" w:ascii="Times New Roman" w:hAnsi="Times New Roman" w:eastAsia="宋体" w:cs="Times New Roman"/>
                <w:i w:val="0"/>
                <w:iCs w:val="0"/>
                <w:color w:val="000000"/>
                <w:sz w:val="18"/>
                <w:szCs w:val="18"/>
                <w:u w:val="none"/>
                <w:lang w:val="en-US" w:eastAsia="zh-CN"/>
              </w:rPr>
              <w:t>和炉窑综合整治项目8个，VOCs深度治理项目7个，钢铁行业超低排放改造项目12个，水泥超低排放改造项目6个，焦化行业超低排放改造项目2个，重点行业无组织排放治理项目2个），安排中央资金预算33567万元，占资金总额的95%，符合资金管理办法规定的使用方向。</w:t>
            </w:r>
          </w:p>
        </w:tc>
        <w:tc>
          <w:tcPr>
            <w:tcW w:w="2156" w:type="dxa"/>
            <w:tcBorders>
              <w:top w:val="single" w:color="000000" w:sz="4" w:space="0"/>
              <w:left w:val="nil"/>
              <w:bottom w:val="single" w:color="000000" w:sz="4" w:space="0"/>
              <w:right w:val="single" w:color="000000" w:sz="4" w:space="0"/>
            </w:tcBorders>
            <w:noWrap w:val="0"/>
            <w:vAlign w:val="center"/>
          </w:tcPr>
          <w:p w14:paraId="0C89FB1D">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711FF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B6C332B">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2633CE4A">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执行准确性</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163362A8">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各级中央大气污染防治资金严格按照下达预算的科目和项目执行，未出现截留、挤占、挪用或擅自调整等问题。各项目单位严格按照分配下达的中央大气污染防治资金执行，未发现执行数偏离预算数较多的问题。</w:t>
            </w:r>
            <w:r>
              <w:rPr>
                <w:rFonts w:hint="default" w:ascii="Times New Roman" w:hAnsi="Times New Roman"/>
                <w:color w:val="000000"/>
                <w:kern w:val="0"/>
                <w:sz w:val="18"/>
                <w:szCs w:val="18"/>
                <w:lang w:bidi="ar"/>
              </w:rPr>
              <w:t>但由于受市场大环境影响，水泥企业经营困难，水泥企业项目未能如期开工，部分项目方案前期工作不够扎实等原因，预算执行率偏低。</w:t>
            </w:r>
          </w:p>
        </w:tc>
        <w:tc>
          <w:tcPr>
            <w:tcW w:w="2156" w:type="dxa"/>
            <w:tcBorders>
              <w:top w:val="single" w:color="000000" w:sz="4" w:space="0"/>
              <w:left w:val="nil"/>
              <w:bottom w:val="single" w:color="000000" w:sz="4" w:space="0"/>
              <w:right w:val="single" w:color="000000" w:sz="4" w:space="0"/>
            </w:tcBorders>
            <w:noWrap w:val="0"/>
            <w:vAlign w:val="center"/>
          </w:tcPr>
          <w:p w14:paraId="7BB7E411">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存在问题：由于部分项目前期工作基础不扎实，耗费较多时间，导致项目实施及预算执行偏慢。</w:t>
            </w:r>
            <w:r>
              <w:rPr>
                <w:rFonts w:hint="eastAsia" w:ascii="Times New Roman" w:hAnsi="Times New Roman" w:cs="Times New Roman"/>
                <w:i w:val="0"/>
                <w:iCs w:val="0"/>
                <w:color w:val="000000"/>
                <w:kern w:val="0"/>
                <w:sz w:val="18"/>
                <w:szCs w:val="18"/>
                <w:u w:val="none"/>
                <w:lang w:val="en-US" w:eastAsia="zh-CN" w:bidi="ar"/>
              </w:rPr>
              <w:br w:type="textWrapping"/>
            </w:r>
            <w:r>
              <w:rPr>
                <w:rFonts w:hint="eastAsia" w:ascii="Times New Roman" w:hAnsi="Times New Roman" w:cs="Times New Roman"/>
                <w:i w:val="0"/>
                <w:iCs w:val="0"/>
                <w:color w:val="000000"/>
                <w:kern w:val="0"/>
                <w:sz w:val="18"/>
                <w:szCs w:val="18"/>
                <w:u w:val="none"/>
                <w:lang w:val="en-US" w:eastAsia="zh-CN" w:bidi="ar"/>
              </w:rPr>
              <w:t>改进措施：进一步夯实项目基础，加强部门间的统筹协调，加快推进项目实施，提高资金执行进度。</w:t>
            </w:r>
          </w:p>
        </w:tc>
      </w:tr>
      <w:tr w14:paraId="56644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89D17C8">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232A18DE">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预算绩效管理情况</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36CCD60E">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自治区生态环境厅严格按照中央文件下达的绩效目标组织项目实施，开展资金绩效运行监控和绩效自评，对提供材料的真实性、合法性、有效性负责。</w:t>
            </w:r>
          </w:p>
        </w:tc>
        <w:tc>
          <w:tcPr>
            <w:tcW w:w="2156" w:type="dxa"/>
            <w:tcBorders>
              <w:top w:val="single" w:color="000000" w:sz="4" w:space="0"/>
              <w:left w:val="nil"/>
              <w:bottom w:val="single" w:color="000000" w:sz="4" w:space="0"/>
              <w:right w:val="single" w:color="000000" w:sz="4" w:space="0"/>
            </w:tcBorders>
            <w:noWrap w:val="0"/>
            <w:vAlign w:val="center"/>
          </w:tcPr>
          <w:p w14:paraId="37EF32B4">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2C121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155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1DB8673D">
            <w:pPr>
              <w:jc w:val="center"/>
              <w:rPr>
                <w:rFonts w:hint="default" w:ascii="Times New Roman" w:hAnsi="Times New Roman" w:eastAsia="宋体" w:cs="Times New Roman"/>
                <w:i w:val="0"/>
                <w:iCs w:val="0"/>
                <w:color w:val="000000"/>
                <w:sz w:val="18"/>
                <w:szCs w:val="18"/>
                <w:u w:val="none"/>
              </w:rPr>
            </w:pPr>
          </w:p>
        </w:tc>
        <w:tc>
          <w:tcPr>
            <w:tcW w:w="1576" w:type="dxa"/>
            <w:gridSpan w:val="2"/>
            <w:tcBorders>
              <w:top w:val="single" w:color="000000" w:sz="4" w:space="0"/>
              <w:left w:val="single" w:color="000000" w:sz="4" w:space="0"/>
              <w:bottom w:val="single" w:color="000000" w:sz="4" w:space="0"/>
              <w:right w:val="single" w:color="000000" w:sz="4" w:space="0"/>
            </w:tcBorders>
            <w:noWrap w:val="0"/>
            <w:vAlign w:val="center"/>
          </w:tcPr>
          <w:p w14:paraId="17643746">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支出责任履行情况</w:t>
            </w:r>
          </w:p>
        </w:tc>
        <w:tc>
          <w:tcPr>
            <w:tcW w:w="3981" w:type="dxa"/>
            <w:gridSpan w:val="3"/>
            <w:tcBorders>
              <w:top w:val="single" w:color="000000" w:sz="4" w:space="0"/>
              <w:left w:val="single" w:color="000000" w:sz="4" w:space="0"/>
              <w:bottom w:val="single" w:color="000000" w:sz="4" w:space="0"/>
              <w:right w:val="single" w:color="000000" w:sz="4" w:space="0"/>
            </w:tcBorders>
            <w:noWrap w:val="0"/>
            <w:vAlign w:val="center"/>
          </w:tcPr>
          <w:p w14:paraId="69393BD2">
            <w:pPr>
              <w:keepNext w:val="0"/>
              <w:keepLines w:val="0"/>
              <w:widowControl/>
              <w:suppressLineNumbers w:val="0"/>
              <w:spacing w:line="240" w:lineRule="exact"/>
              <w:jc w:val="both"/>
              <w:textAlignment w:val="center"/>
              <w:rPr>
                <w:rFonts w:hint="default" w:ascii="Times New Roman" w:hAnsi="Times New Roman" w:eastAsia="宋体" w:cs="Times New Roman"/>
                <w:i w:val="0"/>
                <w:iCs w:val="0"/>
                <w:color w:val="000000"/>
                <w:sz w:val="18"/>
                <w:szCs w:val="18"/>
                <w:u w:val="none"/>
                <w:lang w:val="en-US"/>
              </w:rPr>
            </w:pPr>
            <w:r>
              <w:rPr>
                <w:rFonts w:hint="eastAsia" w:ascii="Times New Roman" w:hAnsi="Times New Roman"/>
                <w:color w:val="000000"/>
                <w:kern w:val="0"/>
                <w:sz w:val="18"/>
                <w:szCs w:val="18"/>
                <w:lang w:bidi="ar"/>
              </w:rPr>
              <w:t>中央大气污染防治资金属于中央和地方共同事权转移支付支出，2024年广西获得中央资金35313万元，省内安排资金125669.71万元，符合相关规定。</w:t>
            </w:r>
          </w:p>
        </w:tc>
        <w:tc>
          <w:tcPr>
            <w:tcW w:w="2156" w:type="dxa"/>
            <w:tcBorders>
              <w:top w:val="single" w:color="000000" w:sz="4" w:space="0"/>
              <w:left w:val="nil"/>
              <w:bottom w:val="single" w:color="000000" w:sz="4" w:space="0"/>
              <w:right w:val="single" w:color="000000" w:sz="4" w:space="0"/>
            </w:tcBorders>
            <w:noWrap w:val="0"/>
            <w:vAlign w:val="center"/>
          </w:tcPr>
          <w:p w14:paraId="0A2A7ACF">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28B36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878" w:type="dxa"/>
            <w:vMerge w:val="restart"/>
            <w:tcBorders>
              <w:top w:val="single" w:color="000000" w:sz="4" w:space="0"/>
              <w:left w:val="single" w:color="000000" w:sz="4" w:space="0"/>
              <w:bottom w:val="single" w:color="000000" w:sz="4" w:space="0"/>
              <w:right w:val="single" w:color="000000" w:sz="4" w:space="0"/>
            </w:tcBorders>
            <w:noWrap w:val="0"/>
            <w:vAlign w:val="center"/>
          </w:tcPr>
          <w:p w14:paraId="4E4ADC2B">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总体目标完成情况</w:t>
            </w:r>
          </w:p>
        </w:tc>
        <w:tc>
          <w:tcPr>
            <w:tcW w:w="4620" w:type="dxa"/>
            <w:gridSpan w:val="4"/>
            <w:tcBorders>
              <w:top w:val="single" w:color="000000" w:sz="4" w:space="0"/>
              <w:left w:val="single" w:color="000000" w:sz="4" w:space="0"/>
              <w:bottom w:val="single" w:color="000000" w:sz="4" w:space="0"/>
              <w:right w:val="single" w:color="000000" w:sz="4" w:space="0"/>
            </w:tcBorders>
            <w:noWrap w:val="0"/>
            <w:vAlign w:val="center"/>
          </w:tcPr>
          <w:p w14:paraId="63A82C64">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总体目标</w:t>
            </w:r>
          </w:p>
        </w:tc>
        <w:tc>
          <w:tcPr>
            <w:tcW w:w="3770" w:type="dxa"/>
            <w:gridSpan w:val="3"/>
            <w:tcBorders>
              <w:top w:val="single" w:color="000000" w:sz="4" w:space="0"/>
              <w:left w:val="single" w:color="000000" w:sz="4" w:space="0"/>
              <w:bottom w:val="single" w:color="000000" w:sz="4" w:space="0"/>
              <w:right w:val="single" w:color="000000" w:sz="4" w:space="0"/>
            </w:tcBorders>
            <w:noWrap w:val="0"/>
            <w:vAlign w:val="center"/>
          </w:tcPr>
          <w:p w14:paraId="1EF2EC39">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全年实际完成情况</w:t>
            </w:r>
          </w:p>
        </w:tc>
      </w:tr>
      <w:tr w14:paraId="178FE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846729">
            <w:pPr>
              <w:jc w:val="center"/>
              <w:rPr>
                <w:rFonts w:hint="default" w:ascii="Times New Roman" w:hAnsi="Times New Roman" w:eastAsia="宋体" w:cs="Times New Roman"/>
                <w:i w:val="0"/>
                <w:iCs w:val="0"/>
                <w:color w:val="000000"/>
                <w:sz w:val="18"/>
                <w:szCs w:val="18"/>
                <w:u w:val="none"/>
              </w:rPr>
            </w:pPr>
          </w:p>
        </w:tc>
        <w:tc>
          <w:tcPr>
            <w:tcW w:w="46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14:paraId="0C453D12">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目标1</w:t>
            </w:r>
            <w:r>
              <w:rPr>
                <w:rFonts w:hint="eastAsia" w:ascii="Times New Roman" w:hAnsi="Times New Roman" w:cs="Times New Roman"/>
                <w:i w:val="0"/>
                <w:iCs w:val="0"/>
                <w:color w:val="000000"/>
                <w:kern w:val="0"/>
                <w:sz w:val="18"/>
                <w:szCs w:val="18"/>
                <w:u w:val="none"/>
                <w:lang w:val="en-US" w:eastAsia="zh-CN" w:bidi="ar"/>
              </w:rPr>
              <w:t>:2024</w:t>
            </w:r>
            <w:r>
              <w:rPr>
                <w:rFonts w:hint="default" w:ascii="Times New Roman" w:hAnsi="Times New Roman" w:eastAsia="宋体" w:cs="Times New Roman"/>
                <w:i w:val="0"/>
                <w:iCs w:val="0"/>
                <w:color w:val="000000"/>
                <w:kern w:val="0"/>
                <w:sz w:val="18"/>
                <w:szCs w:val="18"/>
                <w:u w:val="none"/>
                <w:lang w:val="en-US" w:eastAsia="zh-CN" w:bidi="ar"/>
              </w:rPr>
              <w:t>年，PM</w:t>
            </w:r>
            <w:r>
              <w:rPr>
                <w:rFonts w:hint="default" w:ascii="Times New Roman" w:hAnsi="Times New Roman" w:eastAsia="宋体" w:cs="Times New Roman"/>
                <w:i w:val="0"/>
                <w:iCs w:val="0"/>
                <w:color w:val="000000"/>
                <w:kern w:val="0"/>
                <w:sz w:val="18"/>
                <w:szCs w:val="18"/>
                <w:u w:val="none"/>
                <w:vertAlign w:val="subscript"/>
                <w:lang w:val="en-US" w:eastAsia="zh-CN" w:bidi="ar"/>
              </w:rPr>
              <w:t>2.5</w:t>
            </w:r>
            <w:r>
              <w:rPr>
                <w:rFonts w:hint="default" w:ascii="Times New Roman" w:hAnsi="Times New Roman" w:eastAsia="宋体" w:cs="Times New Roman"/>
                <w:i w:val="0"/>
                <w:iCs w:val="0"/>
                <w:color w:val="000000"/>
                <w:kern w:val="0"/>
                <w:sz w:val="18"/>
                <w:szCs w:val="18"/>
                <w:u w:val="none"/>
                <w:lang w:val="en-US" w:eastAsia="zh-CN" w:bidi="ar"/>
              </w:rPr>
              <w:t>、空气质量优良率达到国家下达目标要求。</w:t>
            </w:r>
            <w:r>
              <w:rPr>
                <w:rFonts w:hint="default" w:ascii="Times New Roman" w:hAnsi="Times New Roman" w:eastAsia="宋体" w:cs="Times New Roman"/>
                <w:i w:val="0"/>
                <w:iCs w:val="0"/>
                <w:color w:val="000000"/>
                <w:kern w:val="0"/>
                <w:sz w:val="18"/>
                <w:szCs w:val="18"/>
                <w:u w:val="none"/>
                <w:lang w:val="en-US" w:eastAsia="zh-CN" w:bidi="ar"/>
              </w:rPr>
              <w:br w:type="textWrapping"/>
            </w:r>
            <w:r>
              <w:rPr>
                <w:rFonts w:hint="default" w:ascii="Times New Roman" w:hAnsi="Times New Roman" w:eastAsia="宋体" w:cs="Times New Roman"/>
                <w:i w:val="0"/>
                <w:iCs w:val="0"/>
                <w:color w:val="000000"/>
                <w:kern w:val="0"/>
                <w:sz w:val="18"/>
                <w:szCs w:val="18"/>
                <w:u w:val="none"/>
                <w:lang w:val="en-US" w:eastAsia="zh-CN" w:bidi="ar"/>
              </w:rPr>
              <w:t>目标2</w:t>
            </w:r>
            <w:r>
              <w:rPr>
                <w:rFonts w:hint="eastAsia" w:ascii="Times New Roman" w:hAnsi="Times New Roman" w:cs="Times New Roman"/>
                <w:i w:val="0"/>
                <w:iCs w:val="0"/>
                <w:color w:val="000000"/>
                <w:kern w:val="0"/>
                <w:sz w:val="18"/>
                <w:szCs w:val="18"/>
                <w:u w:val="none"/>
                <w:lang w:val="en-US" w:eastAsia="zh-CN" w:bidi="ar"/>
              </w:rPr>
              <w:t>:2024</w:t>
            </w:r>
            <w:r>
              <w:rPr>
                <w:rFonts w:hint="default" w:ascii="Times New Roman" w:hAnsi="Times New Roman" w:eastAsia="宋体" w:cs="Times New Roman"/>
                <w:i w:val="0"/>
                <w:iCs w:val="0"/>
                <w:color w:val="000000"/>
                <w:kern w:val="0"/>
                <w:sz w:val="18"/>
                <w:szCs w:val="18"/>
                <w:u w:val="none"/>
                <w:lang w:val="en-US" w:eastAsia="zh-CN" w:bidi="ar"/>
              </w:rPr>
              <w:t>年，氮氧化物、挥发性有机物减排达到国家下达目标要求。</w:t>
            </w:r>
          </w:p>
        </w:tc>
        <w:tc>
          <w:tcPr>
            <w:tcW w:w="377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14:paraId="0135682C">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目标1</w:t>
            </w:r>
            <w:r>
              <w:rPr>
                <w:rFonts w:hint="eastAsia" w:ascii="Times New Roman" w:hAnsi="Times New Roman" w:cs="Times New Roman"/>
                <w:i w:val="0"/>
                <w:iCs w:val="0"/>
                <w:color w:val="000000"/>
                <w:kern w:val="0"/>
                <w:sz w:val="18"/>
                <w:szCs w:val="18"/>
                <w:u w:val="none"/>
                <w:lang w:val="en-US" w:eastAsia="zh-CN" w:bidi="ar"/>
              </w:rPr>
              <w:t>:2024</w:t>
            </w:r>
            <w:r>
              <w:rPr>
                <w:rFonts w:hint="default" w:ascii="Times New Roman" w:hAnsi="Times New Roman" w:eastAsia="宋体" w:cs="Times New Roman"/>
                <w:i w:val="0"/>
                <w:iCs w:val="0"/>
                <w:color w:val="000000"/>
                <w:kern w:val="0"/>
                <w:sz w:val="18"/>
                <w:szCs w:val="18"/>
                <w:u w:val="none"/>
                <w:lang w:val="en-US" w:eastAsia="zh-CN" w:bidi="ar"/>
              </w:rPr>
              <w:t>年广西PM</w:t>
            </w:r>
            <w:r>
              <w:rPr>
                <w:rFonts w:hint="default" w:ascii="Times New Roman" w:hAnsi="Times New Roman" w:eastAsia="宋体" w:cs="Times New Roman"/>
                <w:i w:val="0"/>
                <w:iCs w:val="0"/>
                <w:color w:val="000000"/>
                <w:kern w:val="0"/>
                <w:sz w:val="18"/>
                <w:szCs w:val="18"/>
                <w:u w:val="none"/>
                <w:vertAlign w:val="subscript"/>
                <w:lang w:val="en-US" w:eastAsia="zh-CN" w:bidi="ar"/>
              </w:rPr>
              <w:t>2.5</w:t>
            </w:r>
            <w:r>
              <w:rPr>
                <w:rFonts w:hint="default" w:ascii="Times New Roman" w:hAnsi="Times New Roman" w:eastAsia="宋体" w:cs="Times New Roman"/>
                <w:i w:val="0"/>
                <w:iCs w:val="0"/>
                <w:color w:val="000000"/>
                <w:kern w:val="0"/>
                <w:sz w:val="18"/>
                <w:szCs w:val="18"/>
                <w:u w:val="none"/>
                <w:lang w:val="en-US" w:eastAsia="zh-CN" w:bidi="ar"/>
              </w:rPr>
              <w:t>平均浓度为2</w:t>
            </w:r>
            <w:r>
              <w:rPr>
                <w:rFonts w:hint="eastAsia" w:ascii="Times New Roman" w:hAnsi="Times New Roman" w:cs="Times New Roman"/>
                <w:i w:val="0"/>
                <w:iCs w:val="0"/>
                <w:color w:val="000000"/>
                <w:kern w:val="0"/>
                <w:sz w:val="18"/>
                <w:szCs w:val="18"/>
                <w:u w:val="none"/>
                <w:lang w:val="en-US" w:eastAsia="zh-CN" w:bidi="ar"/>
              </w:rPr>
              <w:t>5</w:t>
            </w:r>
            <w:r>
              <w:rPr>
                <w:rFonts w:hint="default" w:ascii="Times New Roman" w:hAnsi="Times New Roman" w:eastAsia="宋体" w:cs="Times New Roman"/>
                <w:i w:val="0"/>
                <w:iCs w:val="0"/>
                <w:color w:val="000000"/>
                <w:kern w:val="0"/>
                <w:sz w:val="18"/>
                <w:szCs w:val="18"/>
                <w:u w:val="none"/>
                <w:lang w:val="en-US" w:eastAsia="zh-CN" w:bidi="ar"/>
              </w:rPr>
              <w:t>.4微克/立方米（下达目标为27.</w:t>
            </w:r>
            <w:r>
              <w:rPr>
                <w:rFonts w:hint="eastAsia" w:ascii="Times New Roman" w:hAnsi="Times New Roman" w:cs="Times New Roman"/>
                <w:i w:val="0"/>
                <w:iCs w:val="0"/>
                <w:color w:val="000000"/>
                <w:kern w:val="0"/>
                <w:sz w:val="18"/>
                <w:szCs w:val="18"/>
                <w:u w:val="none"/>
                <w:lang w:val="en-US" w:eastAsia="zh-CN" w:bidi="ar"/>
              </w:rPr>
              <w:t>2</w:t>
            </w:r>
            <w:r>
              <w:rPr>
                <w:rFonts w:hint="default" w:ascii="Times New Roman" w:hAnsi="Times New Roman" w:eastAsia="宋体" w:cs="Times New Roman"/>
                <w:i w:val="0"/>
                <w:iCs w:val="0"/>
                <w:color w:val="000000"/>
                <w:kern w:val="0"/>
                <w:sz w:val="18"/>
                <w:szCs w:val="18"/>
                <w:u w:val="none"/>
                <w:lang w:val="en-US" w:eastAsia="zh-CN" w:bidi="ar"/>
              </w:rPr>
              <w:t>微克/立方米），空气质量优良天数比率达97.</w:t>
            </w:r>
            <w:r>
              <w:rPr>
                <w:rFonts w:hint="eastAsia" w:ascii="Times New Roman" w:hAnsi="Times New Roman" w:cs="Times New Roman"/>
                <w:i w:val="0"/>
                <w:iCs w:val="0"/>
                <w:color w:val="000000"/>
                <w:kern w:val="0"/>
                <w:sz w:val="18"/>
                <w:szCs w:val="18"/>
                <w:u w:val="none"/>
                <w:lang w:val="en-US" w:eastAsia="zh-CN" w:bidi="ar"/>
              </w:rPr>
              <w:t>1</w:t>
            </w:r>
            <w:r>
              <w:rPr>
                <w:rFonts w:hint="default" w:ascii="Times New Roman" w:hAnsi="Times New Roman" w:eastAsia="宋体" w:cs="Times New Roman"/>
                <w:i w:val="0"/>
                <w:iCs w:val="0"/>
                <w:color w:val="000000"/>
                <w:kern w:val="0"/>
                <w:sz w:val="18"/>
                <w:szCs w:val="18"/>
                <w:u w:val="none"/>
                <w:lang w:val="en-US" w:eastAsia="zh-CN" w:bidi="ar"/>
              </w:rPr>
              <w:t>%（下达目标为95.</w:t>
            </w:r>
            <w:r>
              <w:rPr>
                <w:rFonts w:hint="eastAsia" w:ascii="Times New Roman" w:hAnsi="Times New Roman" w:cs="Times New Roman"/>
                <w:i w:val="0"/>
                <w:iCs w:val="0"/>
                <w:color w:val="000000"/>
                <w:kern w:val="0"/>
                <w:sz w:val="18"/>
                <w:szCs w:val="18"/>
                <w:u w:val="none"/>
                <w:lang w:val="en-US" w:eastAsia="zh-CN" w:bidi="ar"/>
              </w:rPr>
              <w:t>9</w:t>
            </w:r>
            <w:r>
              <w:rPr>
                <w:rFonts w:hint="default" w:ascii="Times New Roman" w:hAnsi="Times New Roman" w:eastAsia="宋体" w:cs="Times New Roman"/>
                <w:i w:val="0"/>
                <w:iCs w:val="0"/>
                <w:color w:val="000000"/>
                <w:kern w:val="0"/>
                <w:sz w:val="18"/>
                <w:szCs w:val="18"/>
                <w:u w:val="none"/>
                <w:lang w:val="en-US" w:eastAsia="zh-CN" w:bidi="ar"/>
              </w:rPr>
              <w:t>%），优于国家下达的指标任务。</w:t>
            </w:r>
            <w:r>
              <w:rPr>
                <w:rFonts w:hint="default" w:ascii="Times New Roman" w:hAnsi="Times New Roman" w:eastAsia="宋体" w:cs="Times New Roman"/>
                <w:i w:val="0"/>
                <w:iCs w:val="0"/>
                <w:color w:val="000000"/>
                <w:kern w:val="0"/>
                <w:sz w:val="18"/>
                <w:szCs w:val="18"/>
                <w:u w:val="none"/>
                <w:lang w:val="en-US" w:eastAsia="zh-CN" w:bidi="ar"/>
              </w:rPr>
              <w:br w:type="textWrapping"/>
            </w:r>
            <w:r>
              <w:rPr>
                <w:rFonts w:hint="default" w:ascii="Times New Roman" w:hAnsi="Times New Roman" w:eastAsia="宋体" w:cs="Times New Roman"/>
                <w:i w:val="0"/>
                <w:iCs w:val="0"/>
                <w:color w:val="000000"/>
                <w:kern w:val="0"/>
                <w:sz w:val="18"/>
                <w:szCs w:val="18"/>
                <w:u w:val="none"/>
                <w:lang w:val="en-US" w:eastAsia="zh-CN" w:bidi="ar"/>
              </w:rPr>
              <w:t>目标2</w:t>
            </w:r>
            <w:r>
              <w:rPr>
                <w:rFonts w:hint="eastAsia" w:ascii="Times New Roman" w:hAnsi="Times New Roman" w:cs="Times New Roman"/>
                <w:i w:val="0"/>
                <w:iCs w:val="0"/>
                <w:color w:val="000000"/>
                <w:kern w:val="0"/>
                <w:sz w:val="18"/>
                <w:szCs w:val="18"/>
                <w:u w:val="none"/>
                <w:lang w:val="en-US" w:eastAsia="zh-CN" w:bidi="ar"/>
              </w:rPr>
              <w:t>:2024</w:t>
            </w:r>
            <w:r>
              <w:rPr>
                <w:rFonts w:hint="default" w:ascii="Times New Roman" w:hAnsi="Times New Roman" w:eastAsia="宋体" w:cs="Times New Roman"/>
                <w:i w:val="0"/>
                <w:iCs w:val="0"/>
                <w:color w:val="000000"/>
                <w:kern w:val="0"/>
                <w:sz w:val="18"/>
                <w:szCs w:val="18"/>
                <w:u w:val="none"/>
                <w:lang w:val="en-US" w:eastAsia="zh-CN" w:bidi="ar"/>
              </w:rPr>
              <w:t>年我区</w:t>
            </w:r>
            <w:r>
              <w:rPr>
                <w:rFonts w:hint="eastAsia" w:ascii="Times New Roman" w:hAnsi="Times New Roman" w:cs="Times New Roman"/>
                <w:i w:val="0"/>
                <w:iCs w:val="0"/>
                <w:color w:val="000000"/>
                <w:kern w:val="0"/>
                <w:sz w:val="18"/>
                <w:szCs w:val="18"/>
                <w:u w:val="none"/>
                <w:lang w:val="en-US" w:eastAsia="zh-CN" w:bidi="ar"/>
              </w:rPr>
              <w:t>氮氧化物</w:t>
            </w:r>
            <w:r>
              <w:rPr>
                <w:rFonts w:hint="default" w:ascii="Times New Roman" w:hAnsi="Times New Roman" w:eastAsia="宋体" w:cs="Times New Roman"/>
                <w:i w:val="0"/>
                <w:iCs w:val="0"/>
                <w:color w:val="000000"/>
                <w:kern w:val="0"/>
                <w:sz w:val="18"/>
                <w:szCs w:val="18"/>
                <w:u w:val="none"/>
                <w:lang w:val="en-US" w:eastAsia="zh-CN" w:bidi="ar"/>
              </w:rPr>
              <w:t>和</w:t>
            </w:r>
            <w:r>
              <w:rPr>
                <w:rFonts w:hint="eastAsia" w:ascii="Times New Roman" w:hAnsi="Times New Roman" w:cs="Times New Roman"/>
                <w:i w:val="0"/>
                <w:iCs w:val="0"/>
                <w:color w:val="000000"/>
                <w:kern w:val="0"/>
                <w:sz w:val="18"/>
                <w:szCs w:val="18"/>
                <w:u w:val="none"/>
                <w:lang w:val="en-US" w:eastAsia="zh-CN" w:bidi="ar"/>
              </w:rPr>
              <w:t>挥发性有机物</w:t>
            </w:r>
            <w:r>
              <w:rPr>
                <w:rFonts w:hint="default" w:ascii="Times New Roman" w:hAnsi="Times New Roman" w:eastAsia="宋体" w:cs="Times New Roman"/>
                <w:i w:val="0"/>
                <w:iCs w:val="0"/>
                <w:color w:val="000000"/>
                <w:kern w:val="0"/>
                <w:sz w:val="18"/>
                <w:szCs w:val="18"/>
                <w:u w:val="none"/>
                <w:lang w:val="en-US" w:eastAsia="zh-CN" w:bidi="ar"/>
              </w:rPr>
              <w:t>重点工程累计减排量分别</w:t>
            </w:r>
            <w:r>
              <w:rPr>
                <w:rFonts w:hint="eastAsia" w:ascii="Times New Roman" w:hAnsi="Times New Roman" w:cs="Times New Roman"/>
                <w:i w:val="0"/>
                <w:iCs w:val="0"/>
                <w:color w:val="000000"/>
                <w:kern w:val="0"/>
                <w:sz w:val="18"/>
                <w:szCs w:val="18"/>
                <w:u w:val="none"/>
                <w:lang w:val="en-US" w:eastAsia="zh-CN" w:bidi="ar"/>
              </w:rPr>
              <w:t>为</w:t>
            </w:r>
            <w:r>
              <w:rPr>
                <w:rFonts w:hint="default" w:ascii="Times New Roman" w:hAnsi="Times New Roman" w:eastAsia="宋体" w:cs="Times New Roman"/>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7186</w:t>
            </w:r>
            <w:r>
              <w:rPr>
                <w:rFonts w:hint="default" w:ascii="Times New Roman" w:hAnsi="Times New Roman" w:eastAsia="宋体" w:cs="Times New Roman"/>
                <w:i w:val="0"/>
                <w:iCs w:val="0"/>
                <w:color w:val="000000"/>
                <w:kern w:val="0"/>
                <w:sz w:val="18"/>
                <w:szCs w:val="18"/>
                <w:u w:val="none"/>
                <w:lang w:val="en-US" w:eastAsia="zh-CN" w:bidi="ar"/>
              </w:rPr>
              <w:t>吨（目标为</w:t>
            </w:r>
            <w:r>
              <w:rPr>
                <w:rFonts w:hint="eastAsia" w:ascii="Times New Roman" w:hAnsi="Times New Roman" w:cs="Times New Roman"/>
                <w:i w:val="0"/>
                <w:iCs w:val="0"/>
                <w:color w:val="000000"/>
                <w:kern w:val="0"/>
                <w:sz w:val="18"/>
                <w:szCs w:val="18"/>
                <w:u w:val="none"/>
                <w:lang w:val="en-US" w:eastAsia="zh-CN" w:bidi="ar"/>
              </w:rPr>
              <w:t>11520</w:t>
            </w:r>
            <w:r>
              <w:rPr>
                <w:rFonts w:hint="default" w:ascii="Times New Roman" w:hAnsi="Times New Roman" w:eastAsia="宋体" w:cs="Times New Roman"/>
                <w:i w:val="0"/>
                <w:iCs w:val="0"/>
                <w:color w:val="000000"/>
                <w:kern w:val="0"/>
                <w:sz w:val="18"/>
                <w:szCs w:val="18"/>
                <w:u w:val="none"/>
                <w:lang w:val="en-US" w:eastAsia="zh-CN" w:bidi="ar"/>
              </w:rPr>
              <w:t>吨）和</w:t>
            </w:r>
            <w:r>
              <w:rPr>
                <w:rFonts w:hint="eastAsia" w:ascii="Times New Roman" w:hAnsi="Times New Roman" w:cs="Times New Roman"/>
                <w:i w:val="0"/>
                <w:iCs w:val="0"/>
                <w:color w:val="000000"/>
                <w:kern w:val="0"/>
                <w:sz w:val="18"/>
                <w:szCs w:val="18"/>
                <w:u w:val="none"/>
                <w:lang w:val="en-US" w:eastAsia="zh-CN" w:bidi="ar"/>
              </w:rPr>
              <w:t>11514</w:t>
            </w:r>
            <w:r>
              <w:rPr>
                <w:rFonts w:hint="default" w:ascii="Times New Roman" w:hAnsi="Times New Roman" w:eastAsia="宋体" w:cs="Times New Roman"/>
                <w:i w:val="0"/>
                <w:iCs w:val="0"/>
                <w:color w:val="000000"/>
                <w:kern w:val="0"/>
                <w:sz w:val="18"/>
                <w:szCs w:val="18"/>
                <w:u w:val="none"/>
                <w:lang w:val="en-US" w:eastAsia="zh-CN" w:bidi="ar"/>
              </w:rPr>
              <w:t>吨（目标为</w:t>
            </w:r>
            <w:r>
              <w:rPr>
                <w:rFonts w:hint="eastAsia" w:ascii="Times New Roman" w:hAnsi="Times New Roman" w:cs="Times New Roman"/>
                <w:i w:val="0"/>
                <w:iCs w:val="0"/>
                <w:color w:val="000000"/>
                <w:kern w:val="0"/>
                <w:sz w:val="18"/>
                <w:szCs w:val="18"/>
                <w:u w:val="none"/>
                <w:lang w:val="en-US" w:eastAsia="zh-CN" w:bidi="ar"/>
              </w:rPr>
              <w:t>6960</w:t>
            </w:r>
            <w:r>
              <w:rPr>
                <w:rFonts w:hint="default" w:ascii="Times New Roman" w:hAnsi="Times New Roman" w:eastAsia="宋体" w:cs="Times New Roman"/>
                <w:i w:val="0"/>
                <w:iCs w:val="0"/>
                <w:color w:val="000000"/>
                <w:kern w:val="0"/>
                <w:sz w:val="18"/>
                <w:szCs w:val="18"/>
                <w:u w:val="none"/>
                <w:lang w:val="en-US" w:eastAsia="zh-CN" w:bidi="ar"/>
              </w:rPr>
              <w:t>吨），超额完成国家下达的任务。</w:t>
            </w:r>
          </w:p>
        </w:tc>
      </w:tr>
      <w:tr w14:paraId="612B5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753DC4BC">
            <w:pPr>
              <w:jc w:val="center"/>
              <w:rPr>
                <w:rFonts w:hint="default" w:ascii="Times New Roman" w:hAnsi="Times New Roman" w:eastAsia="宋体" w:cs="Times New Roman"/>
                <w:i w:val="0"/>
                <w:iCs w:val="0"/>
                <w:color w:val="000000"/>
                <w:sz w:val="18"/>
                <w:szCs w:val="18"/>
                <w:u w:val="none"/>
              </w:rPr>
            </w:pPr>
          </w:p>
        </w:tc>
        <w:tc>
          <w:tcPr>
            <w:tcW w:w="46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14:paraId="53010F30">
            <w:pPr>
              <w:jc w:val="center"/>
              <w:rPr>
                <w:rFonts w:hint="default" w:ascii="Times New Roman" w:hAnsi="Times New Roman" w:eastAsia="宋体" w:cs="Times New Roman"/>
                <w:i w:val="0"/>
                <w:iCs w:val="0"/>
                <w:color w:val="000000"/>
                <w:sz w:val="18"/>
                <w:szCs w:val="18"/>
                <w:u w:val="none"/>
              </w:rPr>
            </w:pPr>
          </w:p>
        </w:tc>
        <w:tc>
          <w:tcPr>
            <w:tcW w:w="37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14:paraId="177DBA0F">
            <w:pPr>
              <w:jc w:val="center"/>
              <w:rPr>
                <w:rFonts w:hint="default" w:ascii="Times New Roman" w:hAnsi="Times New Roman" w:eastAsia="宋体" w:cs="Times New Roman"/>
                <w:i w:val="0"/>
                <w:iCs w:val="0"/>
                <w:color w:val="000000"/>
                <w:sz w:val="18"/>
                <w:szCs w:val="18"/>
                <w:u w:val="none"/>
              </w:rPr>
            </w:pPr>
          </w:p>
        </w:tc>
      </w:tr>
      <w:tr w14:paraId="2C683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tcBorders>
              <w:top w:val="single" w:color="000000" w:sz="4" w:space="0"/>
              <w:left w:val="single" w:color="000000" w:sz="4" w:space="0"/>
              <w:bottom w:val="single" w:color="000000" w:sz="4" w:space="0"/>
              <w:right w:val="single" w:color="000000" w:sz="4" w:space="0"/>
            </w:tcBorders>
            <w:noWrap w:val="0"/>
            <w:vAlign w:val="center"/>
          </w:tcPr>
          <w:p w14:paraId="6D7FA6D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情况</w:t>
            </w:r>
          </w:p>
        </w:tc>
        <w:tc>
          <w:tcPr>
            <w:tcW w:w="4620" w:type="dxa"/>
            <w:gridSpan w:val="4"/>
            <w:tcBorders>
              <w:top w:val="single" w:color="000000" w:sz="4" w:space="0"/>
              <w:left w:val="single" w:color="000000" w:sz="4" w:space="0"/>
              <w:bottom w:val="single" w:color="000000" w:sz="4" w:space="0"/>
              <w:right w:val="single" w:color="000000" w:sz="4" w:space="0"/>
            </w:tcBorders>
            <w:noWrap w:val="0"/>
            <w:vAlign w:val="center"/>
          </w:tcPr>
          <w:p w14:paraId="21EE13FE">
            <w:pPr>
              <w:jc w:val="center"/>
              <w:rPr>
                <w:rFonts w:hint="default" w:ascii="Times New Roman" w:hAnsi="Times New Roman" w:eastAsia="宋体" w:cs="Times New Roman"/>
                <w:i w:val="0"/>
                <w:iCs w:val="0"/>
                <w:color w:val="000000"/>
                <w:sz w:val="18"/>
                <w:szCs w:val="18"/>
                <w:u w:val="none"/>
              </w:rPr>
            </w:pPr>
          </w:p>
        </w:tc>
        <w:tc>
          <w:tcPr>
            <w:tcW w:w="3770" w:type="dxa"/>
            <w:gridSpan w:val="3"/>
            <w:tcBorders>
              <w:top w:val="single" w:color="000000" w:sz="4" w:space="0"/>
              <w:left w:val="single" w:color="000000" w:sz="4" w:space="0"/>
              <w:bottom w:val="single" w:color="000000" w:sz="4" w:space="0"/>
              <w:right w:val="single" w:color="000000" w:sz="4" w:space="0"/>
            </w:tcBorders>
            <w:noWrap w:val="0"/>
            <w:vAlign w:val="center"/>
          </w:tcPr>
          <w:p w14:paraId="0280E2BB">
            <w:pPr>
              <w:jc w:val="center"/>
              <w:rPr>
                <w:rFonts w:hint="default" w:ascii="Times New Roman" w:hAnsi="Times New Roman" w:eastAsia="宋体" w:cs="Times New Roman"/>
                <w:i w:val="0"/>
                <w:iCs w:val="0"/>
                <w:color w:val="000000"/>
                <w:sz w:val="18"/>
                <w:szCs w:val="18"/>
                <w:u w:val="none"/>
              </w:rPr>
            </w:pPr>
          </w:p>
        </w:tc>
      </w:tr>
      <w:tr w14:paraId="001F5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restart"/>
            <w:tcBorders>
              <w:top w:val="single" w:color="000000" w:sz="4" w:space="0"/>
              <w:left w:val="single" w:color="000000" w:sz="4" w:space="0"/>
              <w:bottom w:val="single" w:color="000000" w:sz="4" w:space="0"/>
              <w:right w:val="single" w:color="000000" w:sz="4" w:space="0"/>
            </w:tcBorders>
            <w:noWrap w:val="0"/>
            <w:vAlign w:val="center"/>
          </w:tcPr>
          <w:p w14:paraId="06F791A2">
            <w:pPr>
              <w:keepNext w:val="0"/>
              <w:keepLines w:val="0"/>
              <w:widowControl/>
              <w:suppressLineNumbers w:val="0"/>
              <w:ind w:firstLineChars="0"/>
              <w:jc w:val="both"/>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绩效指标</w:t>
            </w:r>
          </w:p>
        </w:tc>
        <w:tc>
          <w:tcPr>
            <w:tcW w:w="677" w:type="dxa"/>
            <w:tcBorders>
              <w:top w:val="single" w:color="000000" w:sz="4" w:space="0"/>
              <w:left w:val="single" w:color="000000" w:sz="4" w:space="0"/>
              <w:bottom w:val="single" w:color="000000" w:sz="4" w:space="0"/>
              <w:right w:val="single" w:color="000000" w:sz="4" w:space="0"/>
            </w:tcBorders>
            <w:noWrap w:val="0"/>
            <w:vAlign w:val="center"/>
          </w:tcPr>
          <w:p w14:paraId="4AE77AFA">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一级</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14:paraId="315703EB">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二级</w:t>
            </w:r>
          </w:p>
        </w:tc>
        <w:tc>
          <w:tcPr>
            <w:tcW w:w="31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03F290C6">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三级指标</w:t>
            </w:r>
          </w:p>
        </w:tc>
        <w:tc>
          <w:tcPr>
            <w:tcW w:w="823" w:type="dxa"/>
            <w:vMerge w:val="restart"/>
            <w:tcBorders>
              <w:top w:val="single" w:color="000000" w:sz="4" w:space="0"/>
              <w:left w:val="single" w:color="000000" w:sz="4" w:space="0"/>
              <w:bottom w:val="single" w:color="000000" w:sz="4" w:space="0"/>
              <w:right w:val="single" w:color="000000" w:sz="4" w:space="0"/>
            </w:tcBorders>
            <w:noWrap w:val="0"/>
            <w:vAlign w:val="center"/>
          </w:tcPr>
          <w:p w14:paraId="7F062B81">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年度指标值</w:t>
            </w:r>
          </w:p>
        </w:tc>
        <w:tc>
          <w:tcPr>
            <w:tcW w:w="791" w:type="dxa"/>
            <w:vMerge w:val="restart"/>
            <w:tcBorders>
              <w:top w:val="single" w:color="000000" w:sz="4" w:space="0"/>
              <w:left w:val="single" w:color="000000" w:sz="4" w:space="0"/>
              <w:bottom w:val="single" w:color="000000" w:sz="4" w:space="0"/>
              <w:right w:val="single" w:color="000000" w:sz="4" w:space="0"/>
            </w:tcBorders>
            <w:noWrap w:val="0"/>
            <w:vAlign w:val="center"/>
          </w:tcPr>
          <w:p w14:paraId="11EE32ED">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全年完成值</w:t>
            </w:r>
          </w:p>
        </w:tc>
        <w:tc>
          <w:tcPr>
            <w:tcW w:w="2156" w:type="dxa"/>
            <w:vMerge w:val="restart"/>
            <w:tcBorders>
              <w:top w:val="single" w:color="000000" w:sz="4" w:space="0"/>
              <w:left w:val="nil"/>
              <w:bottom w:val="single" w:color="000000" w:sz="4" w:space="0"/>
              <w:right w:val="single" w:color="000000" w:sz="4" w:space="0"/>
            </w:tcBorders>
            <w:noWrap w:val="0"/>
            <w:vAlign w:val="center"/>
          </w:tcPr>
          <w:p w14:paraId="20EFA514">
            <w:pPr>
              <w:keepNext w:val="0"/>
              <w:keepLines w:val="0"/>
              <w:widowControl/>
              <w:suppressLineNumbers w:val="0"/>
              <w:spacing w:line="240" w:lineRule="exact"/>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未完成原因和改进措施</w:t>
            </w:r>
          </w:p>
        </w:tc>
      </w:tr>
      <w:tr w14:paraId="43467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E00B08">
            <w:pPr>
              <w:jc w:val="center"/>
              <w:rPr>
                <w:rFonts w:hint="default" w:ascii="Times New Roman" w:hAnsi="Times New Roman" w:eastAsia="宋体" w:cs="Times New Roman"/>
                <w:i w:val="0"/>
                <w:iCs w:val="0"/>
                <w:color w:val="000000"/>
                <w:sz w:val="18"/>
                <w:szCs w:val="18"/>
                <w:u w:val="none"/>
              </w:rPr>
            </w:pPr>
          </w:p>
        </w:tc>
        <w:tc>
          <w:tcPr>
            <w:tcW w:w="677" w:type="dxa"/>
            <w:tcBorders>
              <w:top w:val="single" w:color="000000" w:sz="4" w:space="0"/>
              <w:left w:val="single" w:color="000000" w:sz="4" w:space="0"/>
              <w:bottom w:val="single" w:color="000000" w:sz="4" w:space="0"/>
              <w:right w:val="single" w:color="000000" w:sz="4" w:space="0"/>
            </w:tcBorders>
            <w:noWrap w:val="0"/>
            <w:vAlign w:val="center"/>
          </w:tcPr>
          <w:p w14:paraId="02EC91A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指标</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14:paraId="59FBE77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指标</w:t>
            </w:r>
          </w:p>
        </w:tc>
        <w:tc>
          <w:tcPr>
            <w:tcW w:w="31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F45E9C5">
            <w:pPr>
              <w:jc w:val="center"/>
              <w:rPr>
                <w:rFonts w:hint="default" w:ascii="Times New Roman" w:hAnsi="Times New Roman" w:eastAsia="宋体" w:cs="Times New Roman"/>
                <w:i w:val="0"/>
                <w:iCs w:val="0"/>
                <w:color w:val="000000"/>
                <w:sz w:val="18"/>
                <w:szCs w:val="18"/>
                <w:u w:val="none"/>
              </w:rPr>
            </w:pPr>
          </w:p>
        </w:tc>
        <w:tc>
          <w:tcPr>
            <w:tcW w:w="8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6716E0">
            <w:pPr>
              <w:jc w:val="center"/>
              <w:rPr>
                <w:rFonts w:hint="default" w:ascii="Times New Roman" w:hAnsi="Times New Roman" w:eastAsia="宋体" w:cs="Times New Roman"/>
                <w:i w:val="0"/>
                <w:iCs w:val="0"/>
                <w:color w:val="000000"/>
                <w:sz w:val="18"/>
                <w:szCs w:val="18"/>
                <w:u w:val="none"/>
              </w:rPr>
            </w:pPr>
          </w:p>
        </w:tc>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709513">
            <w:pPr>
              <w:jc w:val="center"/>
              <w:rPr>
                <w:rFonts w:hint="default" w:ascii="Times New Roman" w:hAnsi="Times New Roman" w:eastAsia="宋体" w:cs="Times New Roman"/>
                <w:i w:val="0"/>
                <w:iCs w:val="0"/>
                <w:color w:val="000000"/>
                <w:sz w:val="18"/>
                <w:szCs w:val="18"/>
                <w:u w:val="none"/>
              </w:rPr>
            </w:pPr>
          </w:p>
        </w:tc>
        <w:tc>
          <w:tcPr>
            <w:tcW w:w="2156" w:type="dxa"/>
            <w:vMerge w:val="continue"/>
            <w:tcBorders>
              <w:top w:val="single" w:color="000000" w:sz="4" w:space="0"/>
              <w:left w:val="nil"/>
              <w:bottom w:val="single" w:color="000000" w:sz="4" w:space="0"/>
              <w:right w:val="single" w:color="000000" w:sz="4" w:space="0"/>
            </w:tcBorders>
            <w:noWrap w:val="0"/>
            <w:vAlign w:val="center"/>
          </w:tcPr>
          <w:p w14:paraId="3D8DAC88">
            <w:pPr>
              <w:jc w:val="center"/>
              <w:rPr>
                <w:rFonts w:hint="default" w:ascii="Times New Roman" w:hAnsi="Times New Roman" w:eastAsia="宋体" w:cs="Times New Roman"/>
                <w:i w:val="0"/>
                <w:iCs w:val="0"/>
                <w:color w:val="000000"/>
                <w:sz w:val="18"/>
                <w:szCs w:val="18"/>
                <w:u w:val="none"/>
              </w:rPr>
            </w:pPr>
          </w:p>
        </w:tc>
      </w:tr>
      <w:tr w14:paraId="75F38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9CFFDF">
            <w:pPr>
              <w:jc w:val="center"/>
              <w:rPr>
                <w:rFonts w:hint="default" w:ascii="Times New Roman" w:hAnsi="Times New Roman" w:eastAsia="宋体" w:cs="Times New Roman"/>
                <w:i w:val="0"/>
                <w:iCs w:val="0"/>
                <w:color w:val="000000"/>
                <w:sz w:val="18"/>
                <w:szCs w:val="18"/>
                <w:u w:val="none"/>
              </w:rPr>
            </w:pPr>
          </w:p>
        </w:tc>
        <w:tc>
          <w:tcPr>
            <w:tcW w:w="677" w:type="dxa"/>
            <w:vMerge w:val="restart"/>
            <w:tcBorders>
              <w:top w:val="single" w:color="000000" w:sz="4" w:space="0"/>
              <w:left w:val="single" w:color="000000" w:sz="4" w:space="0"/>
              <w:bottom w:val="single" w:color="000000" w:sz="4" w:space="0"/>
              <w:right w:val="single" w:color="000000" w:sz="4" w:space="0"/>
            </w:tcBorders>
            <w:noWrap w:val="0"/>
            <w:vAlign w:val="center"/>
          </w:tcPr>
          <w:p w14:paraId="1BB89E63">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产出指标（50分）</w:t>
            </w:r>
          </w:p>
        </w:tc>
        <w:tc>
          <w:tcPr>
            <w:tcW w:w="753" w:type="dxa"/>
            <w:vMerge w:val="restart"/>
            <w:tcBorders>
              <w:top w:val="single" w:color="000000" w:sz="4" w:space="0"/>
              <w:left w:val="single" w:color="000000" w:sz="4" w:space="0"/>
              <w:bottom w:val="single" w:color="000000" w:sz="4" w:space="0"/>
              <w:right w:val="single" w:color="000000" w:sz="4" w:space="0"/>
            </w:tcBorders>
            <w:noWrap w:val="0"/>
            <w:vAlign w:val="center"/>
          </w:tcPr>
          <w:p w14:paraId="5E57E74C">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数量指标</w:t>
            </w: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1EF2A82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燃煤锅炉超低排放改造规模（蒸吨）</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3C2C226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130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46CAA039">
            <w:pPr>
              <w:keepNext w:val="0"/>
              <w:keepLines w:val="0"/>
              <w:widowControl/>
              <w:suppressLineNumbers w:val="0"/>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 xml:space="preserve">130 </w:t>
            </w:r>
          </w:p>
        </w:tc>
        <w:tc>
          <w:tcPr>
            <w:tcW w:w="2156" w:type="dxa"/>
            <w:tcBorders>
              <w:top w:val="single" w:color="000000" w:sz="4" w:space="0"/>
              <w:left w:val="nil"/>
              <w:bottom w:val="single" w:color="000000" w:sz="4" w:space="0"/>
              <w:right w:val="single" w:color="000000" w:sz="4" w:space="0"/>
            </w:tcBorders>
            <w:noWrap w:val="0"/>
            <w:vAlign w:val="center"/>
          </w:tcPr>
          <w:p w14:paraId="62507051">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1E210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5FAEC2">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BA591FD">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134561">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0F350CC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钢铁企业超低排放改造规模（万吨）</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09A649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560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1943BEB">
            <w:pPr>
              <w:keepNext w:val="0"/>
              <w:keepLines w:val="0"/>
              <w:widowControl/>
              <w:suppressLineNumbers w:val="0"/>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 xml:space="preserve">560 </w:t>
            </w:r>
          </w:p>
        </w:tc>
        <w:tc>
          <w:tcPr>
            <w:tcW w:w="2156" w:type="dxa"/>
            <w:tcBorders>
              <w:top w:val="single" w:color="000000" w:sz="4" w:space="0"/>
              <w:left w:val="nil"/>
              <w:bottom w:val="single" w:color="000000" w:sz="4" w:space="0"/>
              <w:right w:val="single" w:color="000000" w:sz="4" w:space="0"/>
            </w:tcBorders>
            <w:noWrap w:val="0"/>
            <w:vAlign w:val="center"/>
          </w:tcPr>
          <w:p w14:paraId="44FBFA4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1CEC4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2BA9CD">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CCC3AA">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DBE723D">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30A093E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水泥行业超低排放改造规模（万吨）</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058FEB1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174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1BBBBEC4">
            <w:pPr>
              <w:keepNext w:val="0"/>
              <w:keepLines w:val="0"/>
              <w:widowControl/>
              <w:suppressLineNumbers w:val="0"/>
              <w:jc w:val="center"/>
              <w:textAlignment w:val="center"/>
              <w:rPr>
                <w:rFonts w:hint="default" w:ascii="Times New Roman" w:hAnsi="Times New Roman" w:eastAsia="宋体" w:cs="Times New Roman"/>
                <w:i w:val="0"/>
                <w:iCs w:val="0"/>
                <w:color w:val="auto"/>
                <w:sz w:val="18"/>
                <w:szCs w:val="18"/>
                <w:u w:val="none"/>
                <w:lang w:val="en-US"/>
              </w:rPr>
            </w:pPr>
            <w:r>
              <w:rPr>
                <w:rFonts w:hint="eastAsia" w:ascii="Times New Roman" w:hAnsi="Times New Roman" w:eastAsia="宋体" w:cs="Times New Roman"/>
                <w:i w:val="0"/>
                <w:iCs w:val="0"/>
                <w:color w:val="auto"/>
                <w:kern w:val="0"/>
                <w:sz w:val="18"/>
                <w:szCs w:val="18"/>
                <w:u w:val="none"/>
                <w:lang w:val="en-US" w:eastAsia="zh-CN" w:bidi="ar"/>
              </w:rPr>
              <w:t>248</w:t>
            </w:r>
          </w:p>
        </w:tc>
        <w:tc>
          <w:tcPr>
            <w:tcW w:w="2156" w:type="dxa"/>
            <w:tcBorders>
              <w:top w:val="single" w:color="000000" w:sz="4" w:space="0"/>
              <w:left w:val="nil"/>
              <w:bottom w:val="single" w:color="000000" w:sz="4" w:space="0"/>
              <w:right w:val="single" w:color="000000" w:sz="4" w:space="0"/>
            </w:tcBorders>
            <w:noWrap w:val="0"/>
            <w:vAlign w:val="center"/>
          </w:tcPr>
          <w:p w14:paraId="10AAD439">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524E3D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291412">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D611B74">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AEEA0F">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055E8892">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焦化行业超低排放改造规模（万吨）</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12657A1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350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74CA11B">
            <w:pPr>
              <w:keepNext w:val="0"/>
              <w:keepLines w:val="0"/>
              <w:widowControl/>
              <w:suppressLineNumbers w:val="0"/>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 xml:space="preserve">350 </w:t>
            </w:r>
          </w:p>
        </w:tc>
        <w:tc>
          <w:tcPr>
            <w:tcW w:w="2156" w:type="dxa"/>
            <w:tcBorders>
              <w:top w:val="single" w:color="000000" w:sz="4" w:space="0"/>
              <w:left w:val="nil"/>
              <w:bottom w:val="single" w:color="000000" w:sz="4" w:space="0"/>
              <w:right w:val="single" w:color="000000" w:sz="4" w:space="0"/>
            </w:tcBorders>
            <w:noWrap w:val="0"/>
            <w:vAlign w:val="center"/>
          </w:tcPr>
          <w:p w14:paraId="7C8F472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6F7AD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4FBD87">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741791">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2E87BE">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27622E16">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工业炉窑综合整治数量（台）</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61DFCD3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7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DF3C13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10 </w:t>
            </w:r>
          </w:p>
        </w:tc>
        <w:tc>
          <w:tcPr>
            <w:tcW w:w="2156" w:type="dxa"/>
            <w:tcBorders>
              <w:top w:val="single" w:color="000000" w:sz="4" w:space="0"/>
              <w:left w:val="nil"/>
              <w:bottom w:val="single" w:color="000000" w:sz="4" w:space="0"/>
              <w:right w:val="single" w:color="000000" w:sz="4" w:space="0"/>
            </w:tcBorders>
            <w:noWrap w:val="0"/>
            <w:vAlign w:val="center"/>
          </w:tcPr>
          <w:p w14:paraId="79F13FD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无</w:t>
            </w:r>
          </w:p>
        </w:tc>
      </w:tr>
      <w:tr w14:paraId="15468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E823BAC">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F85A35">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0C7E4A5">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1855D159">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挥发性有机物治理企业数量（个）</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0E241BC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6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6C6F4049">
            <w:pPr>
              <w:keepNext w:val="0"/>
              <w:keepLines w:val="0"/>
              <w:widowControl/>
              <w:suppressLineNumbers w:val="0"/>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 xml:space="preserve">7 </w:t>
            </w:r>
          </w:p>
        </w:tc>
        <w:tc>
          <w:tcPr>
            <w:tcW w:w="2156" w:type="dxa"/>
            <w:tcBorders>
              <w:top w:val="single" w:color="000000" w:sz="4" w:space="0"/>
              <w:left w:val="nil"/>
              <w:bottom w:val="single" w:color="000000" w:sz="4" w:space="0"/>
              <w:right w:val="single" w:color="000000" w:sz="4" w:space="0"/>
            </w:tcBorders>
            <w:noWrap w:val="0"/>
            <w:vAlign w:val="center"/>
          </w:tcPr>
          <w:p w14:paraId="675997CB">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28CC1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3628908">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A4238E">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37E0E20">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10F27A30">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18"/>
                <w:szCs w:val="18"/>
                <w:u w:val="none"/>
                <w:lang w:val="en-US" w:eastAsia="zh-CN" w:bidi="ar"/>
              </w:rPr>
            </w:pPr>
            <w:r>
              <w:rPr>
                <w:rFonts w:hint="eastAsia" w:ascii="Times New Roman" w:hAnsi="Times New Roman" w:eastAsia="宋体" w:cs="Times New Roman"/>
                <w:i w:val="0"/>
                <w:iCs w:val="0"/>
                <w:color w:val="000000"/>
                <w:kern w:val="0"/>
                <w:sz w:val="18"/>
                <w:szCs w:val="18"/>
                <w:u w:val="none"/>
                <w:lang w:val="en-US" w:eastAsia="zh-CN" w:bidi="ar"/>
              </w:rPr>
              <w:t>新增空气质量监测监管设备套数（套）</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181557A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 xml:space="preserve">50 </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62251BC">
            <w:pPr>
              <w:keepNext w:val="0"/>
              <w:keepLines w:val="0"/>
              <w:widowControl/>
              <w:suppressLineNumbers w:val="0"/>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 xml:space="preserve">50 </w:t>
            </w:r>
          </w:p>
        </w:tc>
        <w:tc>
          <w:tcPr>
            <w:tcW w:w="2156" w:type="dxa"/>
            <w:tcBorders>
              <w:top w:val="single" w:color="000000" w:sz="4" w:space="0"/>
              <w:left w:val="nil"/>
              <w:bottom w:val="single" w:color="000000" w:sz="4" w:space="0"/>
              <w:right w:val="single" w:color="000000" w:sz="4" w:space="0"/>
            </w:tcBorders>
            <w:noWrap w:val="0"/>
            <w:vAlign w:val="center"/>
          </w:tcPr>
          <w:p w14:paraId="05B9D03E">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77943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6521A2C1">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9971F73">
            <w:pPr>
              <w:jc w:val="center"/>
              <w:rPr>
                <w:rFonts w:hint="default" w:ascii="Times New Roman" w:hAnsi="Times New Roman" w:eastAsia="宋体" w:cs="Times New Roman"/>
                <w:i w:val="0"/>
                <w:iCs w:val="0"/>
                <w:color w:val="000000"/>
                <w:sz w:val="18"/>
                <w:szCs w:val="18"/>
                <w:u w:val="none"/>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14:paraId="6E7825DB">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质量指标</w:t>
            </w: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53FA4D0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项目验收合格率</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027F920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635AACE9">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w:t>
            </w:r>
          </w:p>
        </w:tc>
        <w:tc>
          <w:tcPr>
            <w:tcW w:w="2156" w:type="dxa"/>
            <w:tcBorders>
              <w:top w:val="single" w:color="000000" w:sz="4" w:space="0"/>
              <w:left w:val="nil"/>
              <w:bottom w:val="single" w:color="000000" w:sz="4" w:space="0"/>
              <w:right w:val="single" w:color="000000" w:sz="4" w:space="0"/>
            </w:tcBorders>
            <w:noWrap w:val="0"/>
            <w:vAlign w:val="center"/>
          </w:tcPr>
          <w:p w14:paraId="6A7F6F2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30B75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7"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EA0E8C">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6B22C8">
            <w:pPr>
              <w:jc w:val="center"/>
              <w:rPr>
                <w:rFonts w:hint="default" w:ascii="Times New Roman" w:hAnsi="Times New Roman" w:eastAsia="宋体" w:cs="Times New Roman"/>
                <w:i w:val="0"/>
                <w:iCs w:val="0"/>
                <w:color w:val="000000"/>
                <w:sz w:val="18"/>
                <w:szCs w:val="18"/>
                <w:u w:val="none"/>
              </w:rPr>
            </w:pPr>
          </w:p>
        </w:tc>
        <w:tc>
          <w:tcPr>
            <w:tcW w:w="753" w:type="dxa"/>
            <w:vMerge w:val="restart"/>
            <w:tcBorders>
              <w:top w:val="single" w:color="000000" w:sz="4" w:space="0"/>
              <w:left w:val="single" w:color="000000" w:sz="4" w:space="0"/>
              <w:bottom w:val="single" w:color="000000" w:sz="4" w:space="0"/>
              <w:right w:val="single" w:color="000000" w:sz="4" w:space="0"/>
            </w:tcBorders>
            <w:noWrap w:val="0"/>
            <w:vAlign w:val="center"/>
          </w:tcPr>
          <w:p w14:paraId="56AEF85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时效指标</w:t>
            </w: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4AE87D31">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项目开工率</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02028CA9">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34E0AB3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eastAsia" w:ascii="Times New Roman" w:hAnsi="Times New Roman" w:cs="Times New Roman"/>
                <w:i w:val="0"/>
                <w:iCs w:val="0"/>
                <w:color w:val="000000"/>
                <w:kern w:val="0"/>
                <w:sz w:val="18"/>
                <w:szCs w:val="18"/>
                <w:u w:val="none"/>
                <w:lang w:val="en-US" w:eastAsia="zh-CN" w:bidi="ar"/>
              </w:rPr>
              <w:t>85%</w:t>
            </w:r>
          </w:p>
        </w:tc>
        <w:tc>
          <w:tcPr>
            <w:tcW w:w="2156" w:type="dxa"/>
            <w:tcBorders>
              <w:top w:val="single" w:color="000000" w:sz="4" w:space="0"/>
              <w:left w:val="nil"/>
              <w:bottom w:val="single" w:color="000000" w:sz="4" w:space="0"/>
              <w:right w:val="single" w:color="000000" w:sz="4" w:space="0"/>
            </w:tcBorders>
            <w:noWrap w:val="0"/>
            <w:vAlign w:val="center"/>
          </w:tcPr>
          <w:p w14:paraId="7618F554">
            <w:pPr>
              <w:pStyle w:val="2"/>
              <w:numPr>
                <w:ilvl w:val="0"/>
                <w:numId w:val="0"/>
              </w:numPr>
              <w:spacing w:line="240" w:lineRule="auto"/>
              <w:jc w:val="both"/>
              <w:rPr>
                <w:rFonts w:hint="eastAsia" w:ascii="Times New Roman" w:hAnsi="Times New Roman"/>
                <w:color w:val="000000"/>
                <w:kern w:val="2"/>
                <w:sz w:val="18"/>
                <w:szCs w:val="18"/>
                <w:lang w:eastAsia="zh-CN" w:bidi="ar-SA"/>
              </w:rPr>
            </w:pPr>
            <w:r>
              <w:rPr>
                <w:rFonts w:hint="eastAsia" w:ascii="Times New Roman" w:hAnsi="Times New Roman"/>
                <w:color w:val="000000"/>
                <w:kern w:val="2"/>
                <w:sz w:val="18"/>
                <w:szCs w:val="18"/>
                <w:lang w:eastAsia="zh-CN" w:bidi="ar-SA"/>
              </w:rPr>
              <w:t>未完成原因：</w:t>
            </w:r>
          </w:p>
          <w:p w14:paraId="606AEFB4">
            <w:pPr>
              <w:pStyle w:val="2"/>
              <w:numPr>
                <w:ilvl w:val="0"/>
                <w:numId w:val="0"/>
              </w:numPr>
              <w:spacing w:line="240" w:lineRule="auto"/>
              <w:jc w:val="both"/>
              <w:rPr>
                <w:rFonts w:hint="default" w:ascii="Times New Roman" w:hAnsi="Times New Roman"/>
                <w:color w:val="000000"/>
                <w:kern w:val="2"/>
                <w:sz w:val="18"/>
                <w:szCs w:val="18"/>
                <w:lang w:bidi="ar-SA"/>
              </w:rPr>
            </w:pPr>
            <w:r>
              <w:rPr>
                <w:rFonts w:hint="eastAsia" w:ascii="Times New Roman" w:hAnsi="Times New Roman"/>
                <w:color w:val="000000"/>
                <w:kern w:val="2"/>
                <w:sz w:val="18"/>
                <w:szCs w:val="18"/>
                <w:lang w:eastAsia="zh-CN" w:bidi="ar-SA"/>
              </w:rPr>
              <w:t>一是</w:t>
            </w:r>
            <w:r>
              <w:rPr>
                <w:rFonts w:hint="default" w:ascii="Times New Roman" w:hAnsi="Times New Roman"/>
                <w:color w:val="000000"/>
                <w:kern w:val="2"/>
                <w:sz w:val="18"/>
                <w:szCs w:val="18"/>
                <w:lang w:bidi="ar-SA"/>
              </w:rPr>
              <w:t>受市场大环境影响，建材市场疲软，水泥企业经营困难，导致</w:t>
            </w:r>
            <w:r>
              <w:rPr>
                <w:rFonts w:hint="eastAsia" w:ascii="Times New Roman" w:hAnsi="Times New Roman"/>
                <w:color w:val="000000"/>
                <w:kern w:val="2"/>
                <w:sz w:val="18"/>
                <w:szCs w:val="18"/>
                <w:lang w:val="en-US" w:eastAsia="zh-CN" w:bidi="ar-SA"/>
              </w:rPr>
              <w:t>部分</w:t>
            </w:r>
            <w:r>
              <w:rPr>
                <w:rFonts w:hint="default" w:ascii="Times New Roman" w:hAnsi="Times New Roman"/>
                <w:color w:val="000000"/>
                <w:kern w:val="2"/>
                <w:sz w:val="18"/>
                <w:szCs w:val="18"/>
                <w:lang w:bidi="ar-SA"/>
              </w:rPr>
              <w:t>项目未能按时开工建设。</w:t>
            </w:r>
            <w:r>
              <w:rPr>
                <w:rFonts w:hint="eastAsia" w:ascii="Times New Roman" w:hAnsi="Times New Roman"/>
                <w:color w:val="000000"/>
                <w:kern w:val="2"/>
                <w:sz w:val="18"/>
                <w:szCs w:val="18"/>
                <w:lang w:eastAsia="zh-CN" w:bidi="ar-SA"/>
              </w:rPr>
              <w:t>二是</w:t>
            </w:r>
            <w:r>
              <w:rPr>
                <w:rFonts w:hint="default" w:ascii="Times New Roman" w:hAnsi="Times New Roman"/>
                <w:color w:val="000000"/>
                <w:kern w:val="2"/>
                <w:sz w:val="18"/>
                <w:szCs w:val="18"/>
                <w:lang w:bidi="ar-SA"/>
              </w:rPr>
              <w:t>项目方案前期工作不够扎实</w:t>
            </w:r>
            <w:r>
              <w:rPr>
                <w:rFonts w:hint="eastAsia" w:ascii="Times New Roman" w:hAnsi="Times New Roman"/>
                <w:color w:val="000000"/>
                <w:kern w:val="2"/>
                <w:sz w:val="18"/>
                <w:szCs w:val="18"/>
                <w:lang w:eastAsia="zh-CN" w:bidi="ar-SA"/>
              </w:rPr>
              <w:t>，</w:t>
            </w:r>
            <w:r>
              <w:rPr>
                <w:rFonts w:hint="default" w:ascii="Times New Roman" w:hAnsi="Times New Roman"/>
                <w:color w:val="000000"/>
                <w:kern w:val="2"/>
                <w:sz w:val="18"/>
                <w:szCs w:val="18"/>
                <w:lang w:bidi="ar-SA"/>
              </w:rPr>
              <w:t>资金下达后仍在多方讨论比对、优化调整，项目进展缓慢，导致</w:t>
            </w:r>
            <w:r>
              <w:rPr>
                <w:rFonts w:hint="eastAsia" w:ascii="Times New Roman" w:hAnsi="Times New Roman"/>
                <w:color w:val="000000"/>
                <w:kern w:val="2"/>
                <w:sz w:val="18"/>
                <w:szCs w:val="18"/>
                <w:lang w:val="en-US" w:eastAsia="zh-CN" w:bidi="ar-SA"/>
              </w:rPr>
              <w:t>部分</w:t>
            </w:r>
            <w:r>
              <w:rPr>
                <w:rFonts w:hint="default" w:ascii="Times New Roman" w:hAnsi="Times New Roman"/>
                <w:color w:val="000000"/>
                <w:kern w:val="2"/>
                <w:sz w:val="18"/>
                <w:szCs w:val="18"/>
                <w:lang w:bidi="ar-SA"/>
              </w:rPr>
              <w:t>项目未能按时开工。</w:t>
            </w:r>
          </w:p>
          <w:p w14:paraId="68611036">
            <w:r>
              <w:rPr>
                <w:rFonts w:ascii="Times New Roman" w:hAnsi="Times New Roman"/>
                <w:color w:val="000000"/>
                <w:kern w:val="2"/>
                <w:sz w:val="18"/>
                <w:szCs w:val="18"/>
                <w:lang w:bidi="ar-SA"/>
              </w:rPr>
              <w:t>改进措施</w:t>
            </w:r>
            <w:r>
              <w:rPr>
                <w:rFonts w:hint="eastAsia" w:ascii="Times New Roman" w:hAnsi="Times New Roman"/>
                <w:color w:val="000000"/>
                <w:kern w:val="2"/>
                <w:sz w:val="18"/>
                <w:szCs w:val="18"/>
                <w:lang w:eastAsia="zh-CN" w:bidi="ar-SA"/>
              </w:rPr>
              <w:t>：</w:t>
            </w:r>
          </w:p>
          <w:p w14:paraId="2478649A">
            <w:pPr>
              <w:pStyle w:val="2"/>
              <w:numPr>
                <w:ilvl w:val="0"/>
                <w:numId w:val="0"/>
              </w:numPr>
              <w:spacing w:line="240" w:lineRule="auto"/>
              <w:jc w:val="both"/>
              <w:rPr>
                <w:rFonts w:hint="eastAsia" w:eastAsia="宋体"/>
                <w:lang w:eastAsia="zh-CN"/>
              </w:rPr>
            </w:pPr>
            <w:r>
              <w:rPr>
                <w:rFonts w:hint="eastAsia" w:ascii="Times New Roman" w:hAnsi="Times New Roman"/>
                <w:color w:val="000000"/>
                <w:kern w:val="2"/>
                <w:sz w:val="18"/>
                <w:szCs w:val="18"/>
                <w:lang w:bidi="ar-SA"/>
              </w:rPr>
              <w:t>针对未能开工建设的项目，加大帮扶指导，尽快核实情况，按相关程序实施，</w:t>
            </w:r>
            <w:r>
              <w:rPr>
                <w:rFonts w:hint="eastAsia" w:ascii="Times New Roman" w:hAnsi="Times New Roman"/>
                <w:color w:val="000000"/>
                <w:kern w:val="2"/>
                <w:sz w:val="18"/>
                <w:szCs w:val="18"/>
                <w:lang w:eastAsia="zh-CN" w:bidi="ar-SA"/>
              </w:rPr>
              <w:t>指导企业倒排项目工期计划。督促项目所在设区市加强项目管理，责任落实到人，对于完成进度缓慢的地市单位进行督办通报。</w:t>
            </w:r>
          </w:p>
        </w:tc>
      </w:tr>
      <w:tr w14:paraId="5A7F5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6B99EB">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417D2F">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6456DC7">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66ADA19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项目完工率</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18124E4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≥50%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B2811F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eastAsia" w:ascii="Times New Roman" w:hAnsi="Times New Roman" w:cs="Times New Roman"/>
                <w:i w:val="0"/>
                <w:iCs w:val="0"/>
                <w:color w:val="000000"/>
                <w:kern w:val="0"/>
                <w:sz w:val="18"/>
                <w:szCs w:val="18"/>
                <w:u w:val="none"/>
                <w:lang w:val="en-US" w:eastAsia="zh-CN" w:bidi="ar"/>
              </w:rPr>
              <w:t>53%</w:t>
            </w:r>
          </w:p>
        </w:tc>
        <w:tc>
          <w:tcPr>
            <w:tcW w:w="2156" w:type="dxa"/>
            <w:tcBorders>
              <w:top w:val="single" w:color="000000" w:sz="4" w:space="0"/>
              <w:left w:val="nil"/>
              <w:bottom w:val="single" w:color="000000" w:sz="4" w:space="0"/>
              <w:right w:val="single" w:color="000000" w:sz="4" w:space="0"/>
            </w:tcBorders>
            <w:noWrap w:val="0"/>
            <w:vAlign w:val="center"/>
          </w:tcPr>
          <w:p w14:paraId="3E230B07">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229BA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ED9188">
            <w:pPr>
              <w:jc w:val="center"/>
              <w:rPr>
                <w:rFonts w:hint="default" w:ascii="Times New Roman" w:hAnsi="Times New Roman" w:eastAsia="宋体" w:cs="Times New Roman"/>
                <w:i w:val="0"/>
                <w:iCs w:val="0"/>
                <w:color w:val="000000"/>
                <w:sz w:val="18"/>
                <w:szCs w:val="18"/>
                <w:u w:val="none"/>
              </w:rPr>
            </w:pPr>
          </w:p>
        </w:tc>
        <w:tc>
          <w:tcPr>
            <w:tcW w:w="677" w:type="dxa"/>
            <w:vMerge w:val="restart"/>
            <w:tcBorders>
              <w:top w:val="single" w:color="000000" w:sz="4" w:space="0"/>
              <w:left w:val="single" w:color="000000" w:sz="4" w:space="0"/>
              <w:bottom w:val="single" w:color="000000" w:sz="4" w:space="0"/>
              <w:right w:val="single" w:color="000000" w:sz="4" w:space="0"/>
            </w:tcBorders>
            <w:noWrap w:val="0"/>
            <w:vAlign w:val="center"/>
          </w:tcPr>
          <w:p w14:paraId="2E5105B5">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效益指标（30分）</w:t>
            </w:r>
          </w:p>
        </w:tc>
        <w:tc>
          <w:tcPr>
            <w:tcW w:w="753" w:type="dxa"/>
            <w:vMerge w:val="restart"/>
            <w:tcBorders>
              <w:top w:val="single" w:color="000000" w:sz="4" w:space="0"/>
              <w:left w:val="single" w:color="000000" w:sz="4" w:space="0"/>
              <w:bottom w:val="single" w:color="000000" w:sz="4" w:space="0"/>
              <w:right w:val="single" w:color="000000" w:sz="4" w:space="0"/>
            </w:tcBorders>
            <w:noWrap w:val="0"/>
            <w:vAlign w:val="center"/>
          </w:tcPr>
          <w:p w14:paraId="205EFDD7">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生态效益指标</w:t>
            </w: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35C1FD59">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PM</w:t>
            </w:r>
            <w:r>
              <w:rPr>
                <w:rStyle w:val="6"/>
                <w:rFonts w:hint="default" w:ascii="Times New Roman" w:hAnsi="Times New Roman" w:cs="Times New Roman"/>
                <w:lang w:val="en-US" w:eastAsia="zh-CN" w:bidi="ar"/>
              </w:rPr>
              <w:t>2.5</w:t>
            </w:r>
            <w:r>
              <w:rPr>
                <w:rStyle w:val="7"/>
                <w:rFonts w:hint="default" w:ascii="Times New Roman" w:hAnsi="Times New Roman" w:cs="Times New Roman"/>
                <w:lang w:val="en-US" w:eastAsia="zh-CN" w:bidi="ar"/>
              </w:rPr>
              <w:t>浓度（微克/立方米）</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20B3B7D9">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≤27.</w:t>
            </w:r>
            <w:r>
              <w:rPr>
                <w:rFonts w:hint="eastAsia" w:ascii="Times New Roman" w:hAnsi="Times New Roman" w:cs="Times New Roman"/>
                <w:i w:val="0"/>
                <w:iCs w:val="0"/>
                <w:color w:val="000000"/>
                <w:kern w:val="0"/>
                <w:sz w:val="18"/>
                <w:szCs w:val="18"/>
                <w:u w:val="none"/>
                <w:lang w:val="en-US" w:eastAsia="zh-CN" w:bidi="ar"/>
              </w:rPr>
              <w:t>2</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4F34BF73">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default" w:ascii="Times New Roman" w:hAnsi="Times New Roman" w:eastAsia="宋体" w:cs="Times New Roman"/>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5.4</w:t>
            </w:r>
          </w:p>
        </w:tc>
        <w:tc>
          <w:tcPr>
            <w:tcW w:w="2156" w:type="dxa"/>
            <w:tcBorders>
              <w:top w:val="single" w:color="000000" w:sz="4" w:space="0"/>
              <w:left w:val="nil"/>
              <w:bottom w:val="single" w:color="000000" w:sz="4" w:space="0"/>
              <w:right w:val="single" w:color="000000" w:sz="4" w:space="0"/>
            </w:tcBorders>
            <w:noWrap w:val="0"/>
            <w:vAlign w:val="center"/>
          </w:tcPr>
          <w:p w14:paraId="1AD212DB">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76312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4AAD77">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C953C2">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97EB78">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400F92B5">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空气质量优良天数比率（%）</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23CC2D9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≥95.</w:t>
            </w:r>
            <w:r>
              <w:rPr>
                <w:rFonts w:hint="eastAsia" w:ascii="Times New Roman" w:hAnsi="Times New Roman" w:cs="Times New Roman"/>
                <w:i w:val="0"/>
                <w:iCs w:val="0"/>
                <w:color w:val="000000"/>
                <w:kern w:val="0"/>
                <w:sz w:val="18"/>
                <w:szCs w:val="18"/>
                <w:u w:val="none"/>
                <w:lang w:val="en-US" w:eastAsia="zh-CN" w:bidi="ar"/>
              </w:rPr>
              <w:t>9</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925D21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default" w:ascii="Times New Roman" w:hAnsi="Times New Roman" w:eastAsia="宋体" w:cs="Times New Roman"/>
                <w:i w:val="0"/>
                <w:iCs w:val="0"/>
                <w:color w:val="000000"/>
                <w:kern w:val="0"/>
                <w:sz w:val="18"/>
                <w:szCs w:val="18"/>
                <w:u w:val="none"/>
                <w:lang w:val="en-US" w:eastAsia="zh-CN" w:bidi="ar"/>
              </w:rPr>
              <w:t>97.</w:t>
            </w:r>
            <w:r>
              <w:rPr>
                <w:rFonts w:hint="eastAsia" w:ascii="Times New Roman" w:hAnsi="Times New Roman" w:cs="Times New Roman"/>
                <w:i w:val="0"/>
                <w:iCs w:val="0"/>
                <w:color w:val="000000"/>
                <w:kern w:val="0"/>
                <w:sz w:val="18"/>
                <w:szCs w:val="18"/>
                <w:u w:val="none"/>
                <w:lang w:val="en-US" w:eastAsia="zh-CN" w:bidi="ar"/>
              </w:rPr>
              <w:t>1</w:t>
            </w:r>
          </w:p>
        </w:tc>
        <w:tc>
          <w:tcPr>
            <w:tcW w:w="2156" w:type="dxa"/>
            <w:tcBorders>
              <w:top w:val="single" w:color="000000" w:sz="4" w:space="0"/>
              <w:left w:val="nil"/>
              <w:bottom w:val="single" w:color="000000" w:sz="4" w:space="0"/>
              <w:right w:val="single" w:color="000000" w:sz="4" w:space="0"/>
            </w:tcBorders>
            <w:noWrap w:val="0"/>
            <w:vAlign w:val="center"/>
          </w:tcPr>
          <w:p w14:paraId="33F1B090">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594BC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D136E5">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91D3470">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4D4DCD">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48A87CD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重污染天数比率（%）</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7121C71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≤0.0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1DEF512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0</w:t>
            </w:r>
          </w:p>
        </w:tc>
        <w:tc>
          <w:tcPr>
            <w:tcW w:w="2156" w:type="dxa"/>
            <w:tcBorders>
              <w:top w:val="single" w:color="000000" w:sz="4" w:space="0"/>
              <w:left w:val="nil"/>
              <w:bottom w:val="single" w:color="000000" w:sz="4" w:space="0"/>
              <w:right w:val="single" w:color="000000" w:sz="4" w:space="0"/>
            </w:tcBorders>
            <w:noWrap w:val="0"/>
            <w:vAlign w:val="center"/>
          </w:tcPr>
          <w:p w14:paraId="2AC90EF7">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0CB0E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14BDDA">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89B038">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36B042">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7AA1B4F2">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氮氧化物重点工程累计减排量（吨）</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4007B76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default" w:ascii="Times New Roman" w:hAnsi="Times New Roman" w:eastAsia="宋体" w:cs="Times New Roman"/>
                <w:i w:val="0"/>
                <w:iCs w:val="0"/>
                <w:color w:val="000000"/>
                <w:kern w:val="0"/>
                <w:sz w:val="18"/>
                <w:szCs w:val="18"/>
                <w:u w:val="none"/>
                <w:lang w:val="en-US" w:eastAsia="zh-CN" w:bidi="ar"/>
              </w:rPr>
              <w:t>≥</w:t>
            </w:r>
            <w:r>
              <w:rPr>
                <w:rFonts w:hint="eastAsia" w:ascii="Times New Roman" w:hAnsi="Times New Roman" w:cs="Times New Roman"/>
                <w:i w:val="0"/>
                <w:iCs w:val="0"/>
                <w:color w:val="000000"/>
                <w:kern w:val="0"/>
                <w:sz w:val="18"/>
                <w:szCs w:val="18"/>
                <w:u w:val="none"/>
                <w:lang w:val="en-US" w:eastAsia="zh-CN" w:bidi="ar"/>
              </w:rPr>
              <w:t>11520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8F07355">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default" w:ascii="Times New Roman" w:hAnsi="Times New Roman" w:eastAsia="宋体" w:cs="Times New Roman"/>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7186</w:t>
            </w:r>
          </w:p>
        </w:tc>
        <w:tc>
          <w:tcPr>
            <w:tcW w:w="2156" w:type="dxa"/>
            <w:tcBorders>
              <w:top w:val="single" w:color="000000" w:sz="4" w:space="0"/>
              <w:left w:val="nil"/>
              <w:bottom w:val="single" w:color="000000" w:sz="4" w:space="0"/>
              <w:right w:val="single" w:color="000000" w:sz="4" w:space="0"/>
            </w:tcBorders>
            <w:noWrap w:val="0"/>
            <w:vAlign w:val="center"/>
          </w:tcPr>
          <w:p w14:paraId="485DCF97">
            <w:pPr>
              <w:keepNext w:val="0"/>
              <w:keepLines w:val="0"/>
              <w:widowControl/>
              <w:suppressLineNumbers w:val="0"/>
              <w:jc w:val="both"/>
              <w:textAlignment w:val="center"/>
              <w:rPr>
                <w:rFonts w:hint="eastAsia" w:ascii="Times New Roman" w:hAnsi="Times New Roman" w:eastAsia="宋体" w:cs="Times New Roman"/>
                <w:i w:val="0"/>
                <w:iCs w:val="0"/>
                <w:color w:val="000000"/>
                <w:sz w:val="18"/>
                <w:szCs w:val="18"/>
                <w:u w:val="none"/>
                <w:lang w:val="en-US" w:eastAsia="zh-CN"/>
              </w:rPr>
            </w:pPr>
            <w:r>
              <w:rPr>
                <w:rFonts w:hint="eastAsia" w:ascii="Times New Roman" w:hAnsi="Times New Roman" w:cs="Times New Roman"/>
                <w:i w:val="0"/>
                <w:color w:val="000000"/>
                <w:kern w:val="0"/>
                <w:sz w:val="18"/>
                <w:szCs w:val="18"/>
                <w:u w:val="none"/>
                <w:lang w:val="en-US" w:eastAsia="zh-CN" w:bidi="ar"/>
              </w:rPr>
              <w:t>我区深入研判分析大气</w:t>
            </w:r>
            <w:r>
              <w:rPr>
                <w:rFonts w:hint="eastAsia" w:ascii="Times New Roman" w:hAnsi="Times New Roman"/>
                <w:color w:val="000000"/>
                <w:kern w:val="0"/>
                <w:sz w:val="18"/>
                <w:szCs w:val="18"/>
                <w:lang w:bidi="ar"/>
              </w:rPr>
              <w:t>主要污染物总量减排工作任务，系统谋划减排工程，</w:t>
            </w:r>
            <w:r>
              <w:rPr>
                <w:rFonts w:hint="eastAsia" w:ascii="Times New Roman" w:hAnsi="Times New Roman"/>
                <w:color w:val="000000"/>
                <w:kern w:val="0"/>
                <w:sz w:val="18"/>
                <w:szCs w:val="18"/>
                <w:lang w:eastAsia="zh-CN" w:bidi="ar"/>
              </w:rPr>
              <w:t>提出针对性的减排措施，全面推进科学治污和精准减排，超额完成该项指标。</w:t>
            </w:r>
          </w:p>
        </w:tc>
      </w:tr>
      <w:tr w14:paraId="573ED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E88DF6">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B747B9">
            <w:pPr>
              <w:jc w:val="center"/>
              <w:rPr>
                <w:rFonts w:hint="default" w:ascii="Times New Roman" w:hAnsi="Times New Roman" w:eastAsia="宋体" w:cs="Times New Roman"/>
                <w:i w:val="0"/>
                <w:iCs w:val="0"/>
                <w:color w:val="000000"/>
                <w:sz w:val="18"/>
                <w:szCs w:val="18"/>
                <w:u w:val="none"/>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135528">
            <w:pPr>
              <w:jc w:val="center"/>
              <w:rPr>
                <w:rFonts w:hint="default" w:ascii="Times New Roman" w:hAnsi="Times New Roman" w:eastAsia="宋体" w:cs="Times New Roman"/>
                <w:i w:val="0"/>
                <w:iCs w:val="0"/>
                <w:color w:val="000000"/>
                <w:sz w:val="18"/>
                <w:szCs w:val="18"/>
                <w:u w:val="none"/>
              </w:rPr>
            </w:pP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0CCEB0A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挥发性有机物重点工程累计减排量（吨）</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13BBC3C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default" w:ascii="Times New Roman" w:hAnsi="Times New Roman" w:eastAsia="宋体" w:cs="Times New Roman"/>
                <w:i w:val="0"/>
                <w:iCs w:val="0"/>
                <w:color w:val="000000"/>
                <w:kern w:val="0"/>
                <w:sz w:val="18"/>
                <w:szCs w:val="18"/>
                <w:u w:val="none"/>
                <w:lang w:val="en-US" w:eastAsia="zh-CN" w:bidi="ar"/>
              </w:rPr>
              <w:t>≥</w:t>
            </w:r>
            <w:r>
              <w:rPr>
                <w:rFonts w:hint="eastAsia" w:ascii="Times New Roman" w:hAnsi="Times New Roman" w:cs="Times New Roman"/>
                <w:i w:val="0"/>
                <w:iCs w:val="0"/>
                <w:color w:val="000000"/>
                <w:kern w:val="0"/>
                <w:sz w:val="18"/>
                <w:szCs w:val="18"/>
                <w:u w:val="none"/>
                <w:lang w:val="en-US" w:eastAsia="zh-CN" w:bidi="ar"/>
              </w:rPr>
              <w:t>6960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329AD58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lang w:val="en-US"/>
              </w:rPr>
            </w:pPr>
            <w:r>
              <w:rPr>
                <w:rFonts w:hint="eastAsia" w:ascii="Times New Roman" w:hAnsi="Times New Roman" w:cs="Times New Roman"/>
                <w:i w:val="0"/>
                <w:iCs w:val="0"/>
                <w:color w:val="000000"/>
                <w:kern w:val="0"/>
                <w:sz w:val="18"/>
                <w:szCs w:val="18"/>
                <w:u w:val="none"/>
                <w:lang w:val="en-US" w:eastAsia="zh-CN" w:bidi="ar"/>
              </w:rPr>
              <w:t>11514</w:t>
            </w:r>
          </w:p>
        </w:tc>
        <w:tc>
          <w:tcPr>
            <w:tcW w:w="2156" w:type="dxa"/>
            <w:tcBorders>
              <w:top w:val="single" w:color="000000" w:sz="4" w:space="0"/>
              <w:left w:val="nil"/>
              <w:bottom w:val="single" w:color="000000" w:sz="4" w:space="0"/>
              <w:right w:val="single" w:color="000000" w:sz="4" w:space="0"/>
            </w:tcBorders>
            <w:noWrap w:val="0"/>
            <w:vAlign w:val="center"/>
          </w:tcPr>
          <w:p w14:paraId="50305EB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color w:val="000000"/>
                <w:kern w:val="0"/>
                <w:sz w:val="18"/>
                <w:szCs w:val="18"/>
                <w:u w:val="none"/>
                <w:lang w:val="en-US" w:eastAsia="zh-CN" w:bidi="ar"/>
              </w:rPr>
              <w:t>我区深入研判分析大气</w:t>
            </w:r>
            <w:r>
              <w:rPr>
                <w:rFonts w:hint="eastAsia" w:ascii="Times New Roman" w:hAnsi="Times New Roman"/>
                <w:color w:val="000000"/>
                <w:kern w:val="0"/>
                <w:sz w:val="18"/>
                <w:szCs w:val="18"/>
                <w:lang w:bidi="ar"/>
              </w:rPr>
              <w:t>主要污染物总量减排工作任务，系统谋划减排工程，</w:t>
            </w:r>
            <w:r>
              <w:rPr>
                <w:rFonts w:hint="eastAsia" w:ascii="Times New Roman" w:hAnsi="Times New Roman"/>
                <w:color w:val="000000"/>
                <w:kern w:val="0"/>
                <w:sz w:val="18"/>
                <w:szCs w:val="18"/>
                <w:lang w:eastAsia="zh-CN" w:bidi="ar"/>
              </w:rPr>
              <w:t>提出针对性的减排措施，全面推进科学治污和精准减排，超额完成该项指标。</w:t>
            </w:r>
          </w:p>
        </w:tc>
      </w:tr>
      <w:tr w14:paraId="09766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A9485C">
            <w:pPr>
              <w:jc w:val="center"/>
              <w:rPr>
                <w:rFonts w:hint="default" w:ascii="Times New Roman" w:hAnsi="Times New Roman" w:eastAsia="宋体" w:cs="Times New Roman"/>
                <w:i w:val="0"/>
                <w:iCs w:val="0"/>
                <w:color w:val="000000"/>
                <w:sz w:val="18"/>
                <w:szCs w:val="18"/>
                <w:u w:val="none"/>
              </w:rPr>
            </w:pPr>
          </w:p>
        </w:tc>
        <w:tc>
          <w:tcPr>
            <w:tcW w:w="67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6427370">
            <w:pPr>
              <w:jc w:val="center"/>
              <w:rPr>
                <w:rFonts w:hint="default" w:ascii="Times New Roman" w:hAnsi="Times New Roman" w:eastAsia="宋体" w:cs="Times New Roman"/>
                <w:i w:val="0"/>
                <w:iCs w:val="0"/>
                <w:color w:val="000000"/>
                <w:sz w:val="18"/>
                <w:szCs w:val="18"/>
                <w:u w:val="none"/>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14:paraId="7C1883C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可持续指标</w:t>
            </w: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27EF67A1">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工程设施稳定运行率</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39715421">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316A337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2156" w:type="dxa"/>
            <w:tcBorders>
              <w:top w:val="single" w:color="000000" w:sz="4" w:space="0"/>
              <w:left w:val="nil"/>
              <w:bottom w:val="single" w:color="000000" w:sz="4" w:space="0"/>
              <w:right w:val="single" w:color="000000" w:sz="4" w:space="0"/>
            </w:tcBorders>
            <w:noWrap w:val="0"/>
            <w:vAlign w:val="center"/>
          </w:tcPr>
          <w:p w14:paraId="514139D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72EC0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878"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12F9AF">
            <w:pPr>
              <w:jc w:val="center"/>
              <w:rPr>
                <w:rFonts w:hint="default" w:ascii="Times New Roman" w:hAnsi="Times New Roman" w:eastAsia="宋体" w:cs="Times New Roman"/>
                <w:i w:val="0"/>
                <w:iCs w:val="0"/>
                <w:color w:val="000000"/>
                <w:sz w:val="18"/>
                <w:szCs w:val="18"/>
                <w:u w:val="none"/>
              </w:rPr>
            </w:pPr>
          </w:p>
        </w:tc>
        <w:tc>
          <w:tcPr>
            <w:tcW w:w="677" w:type="dxa"/>
            <w:tcBorders>
              <w:top w:val="single" w:color="000000" w:sz="4" w:space="0"/>
              <w:left w:val="single" w:color="000000" w:sz="4" w:space="0"/>
              <w:bottom w:val="single" w:color="000000" w:sz="4" w:space="0"/>
              <w:right w:val="single" w:color="000000" w:sz="4" w:space="0"/>
            </w:tcBorders>
            <w:noWrap w:val="0"/>
            <w:vAlign w:val="center"/>
          </w:tcPr>
          <w:p w14:paraId="05D94038">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满意度指标（10分）</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14:paraId="52E164D6">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服务对象满意度指标</w:t>
            </w:r>
          </w:p>
        </w:tc>
        <w:tc>
          <w:tcPr>
            <w:tcW w:w="3190" w:type="dxa"/>
            <w:gridSpan w:val="2"/>
            <w:tcBorders>
              <w:top w:val="single" w:color="000000" w:sz="4" w:space="0"/>
              <w:left w:val="single" w:color="000000" w:sz="4" w:space="0"/>
              <w:bottom w:val="single" w:color="000000" w:sz="4" w:space="0"/>
              <w:right w:val="single" w:color="000000" w:sz="4" w:space="0"/>
            </w:tcBorders>
            <w:noWrap w:val="0"/>
            <w:vAlign w:val="center"/>
          </w:tcPr>
          <w:p w14:paraId="3BADC760">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群众满意度</w:t>
            </w:r>
          </w:p>
        </w:tc>
        <w:tc>
          <w:tcPr>
            <w:tcW w:w="823" w:type="dxa"/>
            <w:tcBorders>
              <w:top w:val="single" w:color="000000" w:sz="4" w:space="0"/>
              <w:left w:val="single" w:color="000000" w:sz="4" w:space="0"/>
              <w:bottom w:val="single" w:color="000000" w:sz="4" w:space="0"/>
              <w:right w:val="single" w:color="000000" w:sz="4" w:space="0"/>
            </w:tcBorders>
            <w:noWrap w:val="0"/>
            <w:vAlign w:val="center"/>
          </w:tcPr>
          <w:p w14:paraId="4303ABF3">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≧90%</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513AAEA">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≧90%</w:t>
            </w:r>
          </w:p>
        </w:tc>
        <w:tc>
          <w:tcPr>
            <w:tcW w:w="2156" w:type="dxa"/>
            <w:tcBorders>
              <w:top w:val="single" w:color="000000" w:sz="4" w:space="0"/>
              <w:left w:val="nil"/>
              <w:bottom w:val="single" w:color="000000" w:sz="4" w:space="0"/>
              <w:right w:val="single" w:color="000000" w:sz="4" w:space="0"/>
            </w:tcBorders>
            <w:noWrap w:val="0"/>
            <w:vAlign w:val="center"/>
          </w:tcPr>
          <w:p w14:paraId="73CD605F">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eastAsia" w:ascii="Times New Roman" w:hAnsi="Times New Roman" w:cs="Times New Roman"/>
                <w:i w:val="0"/>
                <w:iCs w:val="0"/>
                <w:color w:val="000000"/>
                <w:kern w:val="0"/>
                <w:sz w:val="18"/>
                <w:szCs w:val="18"/>
                <w:u w:val="none"/>
                <w:lang w:val="en-US" w:eastAsia="zh-CN" w:bidi="ar"/>
              </w:rPr>
              <w:t>无</w:t>
            </w:r>
          </w:p>
        </w:tc>
      </w:tr>
      <w:tr w14:paraId="46831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878" w:type="dxa"/>
            <w:tcBorders>
              <w:top w:val="single" w:color="000000" w:sz="4" w:space="0"/>
              <w:left w:val="single" w:color="000000" w:sz="4" w:space="0"/>
              <w:bottom w:val="single" w:color="000000" w:sz="4" w:space="0"/>
              <w:right w:val="single" w:color="000000" w:sz="4" w:space="0"/>
            </w:tcBorders>
            <w:noWrap w:val="0"/>
            <w:vAlign w:val="center"/>
          </w:tcPr>
          <w:p w14:paraId="5CF274CD">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说明</w:t>
            </w:r>
          </w:p>
        </w:tc>
        <w:tc>
          <w:tcPr>
            <w:tcW w:w="8390" w:type="dxa"/>
            <w:gridSpan w:val="7"/>
            <w:tcBorders>
              <w:top w:val="single" w:color="000000" w:sz="4" w:space="0"/>
              <w:left w:val="single" w:color="000000" w:sz="4" w:space="0"/>
              <w:bottom w:val="single" w:color="000000" w:sz="4" w:space="0"/>
              <w:right w:val="single" w:color="000000" w:sz="4" w:space="0"/>
            </w:tcBorders>
            <w:noWrap w:val="0"/>
            <w:vAlign w:val="center"/>
          </w:tcPr>
          <w:p w14:paraId="30DE1B8E">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无。</w:t>
            </w:r>
          </w:p>
        </w:tc>
      </w:tr>
      <w:tr w14:paraId="4889A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268" w:type="dxa"/>
            <w:gridSpan w:val="8"/>
            <w:tcBorders>
              <w:top w:val="nil"/>
              <w:left w:val="nil"/>
              <w:bottom w:val="nil"/>
              <w:right w:val="nil"/>
            </w:tcBorders>
            <w:noWrap w:val="0"/>
            <w:vAlign w:val="center"/>
          </w:tcPr>
          <w:p w14:paraId="1D743468">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注：1.资金使用单位按项目绩效目标填报，主管部门汇总时按区域绩效目标填报。</w:t>
            </w:r>
          </w:p>
        </w:tc>
      </w:tr>
      <w:tr w14:paraId="0AD40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268" w:type="dxa"/>
            <w:gridSpan w:val="8"/>
            <w:tcBorders>
              <w:top w:val="nil"/>
              <w:left w:val="nil"/>
              <w:bottom w:val="nil"/>
              <w:right w:val="nil"/>
            </w:tcBorders>
            <w:noWrap w:val="0"/>
            <w:vAlign w:val="center"/>
          </w:tcPr>
          <w:p w14:paraId="274A1C10">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2.其他资金包括与中央财政资金、地方财政资金共同投入到同一项目的自有资金、社会资金，以及以前年度的结转结余资金等。</w:t>
            </w:r>
          </w:p>
        </w:tc>
      </w:tr>
      <w:tr w14:paraId="5342C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268" w:type="dxa"/>
            <w:gridSpan w:val="8"/>
            <w:tcBorders>
              <w:top w:val="nil"/>
              <w:left w:val="nil"/>
              <w:bottom w:val="nil"/>
              <w:right w:val="nil"/>
            </w:tcBorders>
            <w:noWrap w:val="0"/>
            <w:vAlign w:val="center"/>
          </w:tcPr>
          <w:p w14:paraId="7F8ADC0C">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3.全年执行数是指按照国库集中支付制度要求，支付到商品和劳务供应者或用款单位形成的实际支出。</w:t>
            </w:r>
          </w:p>
        </w:tc>
      </w:tr>
      <w:tr w14:paraId="31082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9268" w:type="dxa"/>
            <w:gridSpan w:val="8"/>
            <w:tcBorders>
              <w:top w:val="nil"/>
              <w:left w:val="nil"/>
              <w:bottom w:val="nil"/>
              <w:right w:val="nil"/>
            </w:tcBorders>
            <w:noWrap w:val="0"/>
            <w:vAlign w:val="center"/>
          </w:tcPr>
          <w:p w14:paraId="2B0E0879">
            <w:pPr>
              <w:keepNext w:val="0"/>
              <w:keepLines w:val="0"/>
              <w:widowControl/>
              <w:suppressLineNumbers w:val="0"/>
              <w:jc w:val="left"/>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4.定量指标。地方各级主管部门对资金使用单位填写的实际完成值汇总时，绝对值直接累加计算，相对值按照资金额度加权平均计算。</w:t>
            </w:r>
          </w:p>
        </w:tc>
      </w:tr>
    </w:tbl>
    <w:p w14:paraId="404AACA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416D6063-0AA1-411E-B454-BEC91FC7A12F}"/>
  </w:font>
  <w:font w:name="方正小标宋简体">
    <w:panose1 w:val="02000000000000000000"/>
    <w:charset w:val="86"/>
    <w:family w:val="auto"/>
    <w:pitch w:val="default"/>
    <w:sig w:usb0="00000001" w:usb1="08000000" w:usb2="00000000" w:usb3="00000000" w:csb0="00040000" w:csb1="00000000"/>
    <w:embedRegular r:id="rId2" w:fontKey="{18C6B920-E0E9-4EAB-A821-9EDA8BC421B9}"/>
  </w:font>
  <w:font w:name="方正小标宋_GBK">
    <w:panose1 w:val="02000000000000000000"/>
    <w:charset w:val="86"/>
    <w:family w:val="script"/>
    <w:pitch w:val="default"/>
    <w:sig w:usb0="A00002BF" w:usb1="38CF7CFA" w:usb2="00082016" w:usb3="00000000" w:csb0="00040001" w:csb1="00000000"/>
    <w:embedRegular r:id="rId3" w:fontKey="{984E18B5-4E8F-4CE6-9E55-AE2A72A548F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78470E"/>
    <w:rsid w:val="5E7847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font31"/>
    <w:basedOn w:val="5"/>
    <w:qFormat/>
    <w:uiPriority w:val="0"/>
    <w:rPr>
      <w:rFonts w:hint="eastAsia" w:ascii="宋体" w:hAnsi="宋体" w:eastAsia="宋体" w:cs="宋体"/>
      <w:color w:val="000000"/>
      <w:sz w:val="18"/>
      <w:szCs w:val="18"/>
      <w:u w:val="none"/>
      <w:vertAlign w:val="subscript"/>
    </w:rPr>
  </w:style>
  <w:style w:type="character" w:customStyle="1" w:styleId="7">
    <w:name w:val="font21"/>
    <w:basedOn w:val="5"/>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2025-04-17T08:02:00Z</dcterms:created>
  <dc:creator>叶子～</dc:creator>
  <cp:lastModifiedBy>叶子～</cp:lastModifiedBy>
  <dcterms:modified xsi:type="dcterms:W3CDTF">2025-04-17T08:02:42Z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F9E58BE08A8D4162A11D0041017CD1A2_11</vt:lpwstr>
  </property>
  <property fmtid="{D5CDD505-2E9C-101B-9397-08002B2CF9AE}" pid="4" name="KSOTemplateDocerSaveRecord">
    <vt:lpwstr>eyJoZGlkIjoiZTc1MTBlMjQ4YjgzZDhlZjk5NTcwMjkzNGNmNjk3ZTAiLCJ1c2VySWQiOiI1Mjc0MDc3ODYifQ==</vt:lpwstr>
  </property>
</Properties>
</file>