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3BA50D">
      <w:pPr>
        <w:spacing w:line="600" w:lineRule="exact"/>
        <w:ind w:firstLine="0" w:firstLineChars="0"/>
        <w:outlineLvl w:val="0"/>
        <w:rPr>
          <w:rFonts w:ascii="Times New Roman" w:hAnsi="Times New Roman" w:eastAsia="黑体" w:cs="Times New Roman"/>
          <w:bCs/>
          <w:sz w:val="32"/>
          <w:szCs w:val="32"/>
          <w:highlight w:val="none"/>
        </w:rPr>
      </w:pPr>
      <w:r>
        <w:rPr>
          <w:rFonts w:ascii="Times New Roman" w:hAnsi="Times New Roman" w:eastAsia="黑体" w:cs="Times New Roman"/>
          <w:bCs/>
          <w:sz w:val="32"/>
          <w:szCs w:val="32"/>
          <w:highlight w:val="none"/>
        </w:rPr>
        <w:t>附件</w:t>
      </w:r>
    </w:p>
    <w:tbl>
      <w:tblPr>
        <w:tblStyle w:val="4"/>
        <w:tblW w:w="94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709"/>
        <w:gridCol w:w="283"/>
        <w:gridCol w:w="879"/>
        <w:gridCol w:w="1057"/>
        <w:gridCol w:w="1438"/>
        <w:gridCol w:w="886"/>
        <w:gridCol w:w="653"/>
        <w:gridCol w:w="623"/>
        <w:gridCol w:w="2232"/>
      </w:tblGrid>
      <w:tr w14:paraId="17904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4" w:type="dxa"/>
            <w:gridSpan w:val="10"/>
            <w:tcBorders>
              <w:top w:val="nil"/>
              <w:left w:val="nil"/>
              <w:bottom w:val="single" w:color="auto" w:sz="4" w:space="0"/>
              <w:right w:val="nil"/>
            </w:tcBorders>
            <w:noWrap w:val="0"/>
            <w:vAlign w:val="top"/>
          </w:tcPr>
          <w:p w14:paraId="6DF2131F">
            <w:pPr>
              <w:tabs>
                <w:tab w:val="center" w:pos="6559"/>
              </w:tabs>
              <w:spacing w:line="520" w:lineRule="exact"/>
              <w:ind w:firstLine="0" w:firstLineChars="0"/>
              <w:jc w:val="center"/>
              <w:rPr>
                <w:rFonts w:ascii="Times New Roman" w:hAnsi="Times New Roman" w:eastAsia="方正小标宋_GBK" w:cs="Times New Roman"/>
                <w:kern w:val="0"/>
                <w:sz w:val="44"/>
                <w:szCs w:val="44"/>
                <w:highlight w:val="none"/>
              </w:rPr>
            </w:pPr>
            <w:bookmarkStart w:id="1" w:name="_GoBack"/>
            <w:r>
              <w:rPr>
                <w:rFonts w:hint="eastAsia" w:ascii="Times New Roman" w:hAnsi="Times New Roman" w:eastAsia="方正小标宋_GBK" w:cs="Times New Roman"/>
                <w:kern w:val="0"/>
                <w:sz w:val="44"/>
                <w:szCs w:val="44"/>
                <w:highlight w:val="none"/>
              </w:rPr>
              <w:t>广西壮族自治区2024年度水污染防治资金转移支付区域（项目）绩效目标自评表</w:t>
            </w:r>
          </w:p>
          <w:bookmarkEnd w:id="1"/>
          <w:p w14:paraId="35C9E799">
            <w:pPr>
              <w:tabs>
                <w:tab w:val="center" w:pos="6559"/>
              </w:tabs>
              <w:spacing w:line="520" w:lineRule="exact"/>
              <w:ind w:firstLine="0" w:firstLineChars="0"/>
              <w:jc w:val="center"/>
              <w:rPr>
                <w:rFonts w:ascii="Times New Roman" w:hAnsi="Times New Roman" w:eastAsia="宋体" w:cs="Times New Roman"/>
                <w:kern w:val="0"/>
                <w:sz w:val="22"/>
                <w:highlight w:val="none"/>
              </w:rPr>
            </w:pPr>
          </w:p>
        </w:tc>
      </w:tr>
      <w:tr w14:paraId="1779D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tcBorders>
              <w:top w:val="single" w:color="auto" w:sz="4" w:space="0"/>
            </w:tcBorders>
            <w:noWrap w:val="0"/>
            <w:vAlign w:val="center"/>
          </w:tcPr>
          <w:p w14:paraId="2A8AF1DC">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转移支付</w:t>
            </w:r>
          </w:p>
          <w:p w14:paraId="06A8A1B8">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（项目）名称</w:t>
            </w:r>
          </w:p>
        </w:tc>
        <w:tc>
          <w:tcPr>
            <w:tcW w:w="7768" w:type="dxa"/>
            <w:gridSpan w:val="7"/>
            <w:tcBorders>
              <w:top w:val="single" w:color="auto" w:sz="4" w:space="0"/>
            </w:tcBorders>
            <w:noWrap w:val="0"/>
            <w:vAlign w:val="center"/>
          </w:tcPr>
          <w:p w14:paraId="79748044">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水污染防治资金</w:t>
            </w:r>
          </w:p>
        </w:tc>
      </w:tr>
      <w:tr w14:paraId="5BFDD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noWrap w:val="0"/>
            <w:vAlign w:val="center"/>
          </w:tcPr>
          <w:p w14:paraId="35875FAB">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中央主管部门</w:t>
            </w:r>
          </w:p>
        </w:tc>
        <w:tc>
          <w:tcPr>
            <w:tcW w:w="7768" w:type="dxa"/>
            <w:gridSpan w:val="7"/>
            <w:noWrap w:val="0"/>
            <w:vAlign w:val="center"/>
          </w:tcPr>
          <w:p w14:paraId="11EEEA0F">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财政部、生态环境部</w:t>
            </w:r>
          </w:p>
        </w:tc>
      </w:tr>
      <w:tr w14:paraId="02453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noWrap w:val="0"/>
            <w:vAlign w:val="center"/>
          </w:tcPr>
          <w:p w14:paraId="7C37A864">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地方主管部门</w:t>
            </w:r>
          </w:p>
        </w:tc>
        <w:tc>
          <w:tcPr>
            <w:tcW w:w="3374" w:type="dxa"/>
            <w:gridSpan w:val="3"/>
            <w:noWrap w:val="0"/>
            <w:vAlign w:val="center"/>
          </w:tcPr>
          <w:p w14:paraId="075E19B3">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广西壮族自治区生态环境厅、广西壮族自治区财政厅</w:t>
            </w:r>
          </w:p>
        </w:tc>
        <w:tc>
          <w:tcPr>
            <w:tcW w:w="1539" w:type="dxa"/>
            <w:gridSpan w:val="2"/>
            <w:noWrap w:val="0"/>
            <w:vAlign w:val="center"/>
          </w:tcPr>
          <w:p w14:paraId="1DBC42E4">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资金使用单位</w:t>
            </w:r>
          </w:p>
        </w:tc>
        <w:tc>
          <w:tcPr>
            <w:tcW w:w="2855" w:type="dxa"/>
            <w:gridSpan w:val="2"/>
            <w:noWrap w:val="0"/>
            <w:vAlign w:val="center"/>
          </w:tcPr>
          <w:p w14:paraId="2EB0CF57">
            <w:pPr>
              <w:spacing w:line="240" w:lineRule="auto"/>
              <w:ind w:firstLine="0" w:firstLineChars="0"/>
              <w:jc w:val="center"/>
              <w:rPr>
                <w:rFonts w:hint="eastAsia" w:ascii="Times New Roman" w:hAnsi="Times New Roman" w:eastAsia="宋体" w:cs="Times New Roman"/>
                <w:kern w:val="0"/>
                <w:sz w:val="20"/>
                <w:szCs w:val="20"/>
                <w:lang w:eastAsia="zh-CN"/>
              </w:rPr>
            </w:pPr>
            <w:r>
              <w:rPr>
                <w:rFonts w:ascii="Times New Roman" w:hAnsi="Times New Roman" w:eastAsia="宋体" w:cs="Times New Roman"/>
                <w:kern w:val="0"/>
                <w:sz w:val="20"/>
                <w:szCs w:val="20"/>
              </w:rPr>
              <w:t>自治区生态环境厅</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南宁市、柳州市、桂林市、梧州市、北海市、钦州市、贵港市、百色市、河池市、来宾市、崇左市</w:t>
            </w:r>
          </w:p>
        </w:tc>
      </w:tr>
      <w:tr w14:paraId="1FBA2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restart"/>
            <w:noWrap w:val="0"/>
            <w:vAlign w:val="center"/>
          </w:tcPr>
          <w:p w14:paraId="6DE2307A">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资金情况（万元）</w:t>
            </w:r>
          </w:p>
        </w:tc>
        <w:tc>
          <w:tcPr>
            <w:tcW w:w="1936" w:type="dxa"/>
            <w:gridSpan w:val="2"/>
            <w:noWrap w:val="0"/>
            <w:vAlign w:val="center"/>
          </w:tcPr>
          <w:p w14:paraId="1EBAFB55">
            <w:pPr>
              <w:spacing w:line="240" w:lineRule="auto"/>
              <w:ind w:firstLine="0" w:firstLineChars="0"/>
              <w:rPr>
                <w:rFonts w:ascii="Times New Roman" w:hAnsi="Times New Roman" w:eastAsia="宋体" w:cs="Times New Roman"/>
                <w:kern w:val="0"/>
                <w:sz w:val="20"/>
                <w:szCs w:val="20"/>
              </w:rPr>
            </w:pPr>
          </w:p>
        </w:tc>
        <w:tc>
          <w:tcPr>
            <w:tcW w:w="1438" w:type="dxa"/>
            <w:noWrap w:val="0"/>
            <w:vAlign w:val="center"/>
          </w:tcPr>
          <w:p w14:paraId="08EF4023">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全年预算数（A）</w:t>
            </w:r>
          </w:p>
        </w:tc>
        <w:tc>
          <w:tcPr>
            <w:tcW w:w="2162" w:type="dxa"/>
            <w:gridSpan w:val="3"/>
            <w:noWrap w:val="0"/>
            <w:vAlign w:val="center"/>
          </w:tcPr>
          <w:p w14:paraId="1AC1FEF5">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全年执行数（B）</w:t>
            </w:r>
          </w:p>
        </w:tc>
        <w:tc>
          <w:tcPr>
            <w:tcW w:w="2232" w:type="dxa"/>
            <w:noWrap w:val="0"/>
            <w:vAlign w:val="center"/>
          </w:tcPr>
          <w:p w14:paraId="41ADDAC2">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预算执行率（B/A）</w:t>
            </w:r>
          </w:p>
        </w:tc>
      </w:tr>
      <w:tr w14:paraId="50D0F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707E09E7">
            <w:pPr>
              <w:spacing w:line="240" w:lineRule="auto"/>
              <w:ind w:firstLine="0" w:firstLineChars="0"/>
              <w:rPr>
                <w:rFonts w:ascii="Times New Roman" w:hAnsi="Times New Roman" w:eastAsia="宋体" w:cs="Times New Roman"/>
                <w:kern w:val="0"/>
                <w:sz w:val="20"/>
                <w:szCs w:val="20"/>
                <w:highlight w:val="none"/>
              </w:rPr>
            </w:pPr>
          </w:p>
        </w:tc>
        <w:tc>
          <w:tcPr>
            <w:tcW w:w="1936" w:type="dxa"/>
            <w:gridSpan w:val="2"/>
            <w:noWrap w:val="0"/>
            <w:vAlign w:val="center"/>
          </w:tcPr>
          <w:p w14:paraId="48DDE58A">
            <w:pPr>
              <w:spacing w:line="240" w:lineRule="auto"/>
              <w:ind w:firstLine="0" w:firstLineChars="0"/>
              <w:jc w:val="center"/>
              <w:rPr>
                <w:rFonts w:ascii="Times New Roman" w:hAnsi="Times New Roman" w:eastAsia="宋体" w:cs="Times New Roman"/>
                <w:kern w:val="0"/>
                <w:sz w:val="20"/>
                <w:szCs w:val="20"/>
                <w:highlight w:val="none"/>
              </w:rPr>
            </w:pPr>
            <w:r>
              <w:rPr>
                <w:rFonts w:ascii="Times New Roman" w:hAnsi="Times New Roman" w:eastAsia="宋体" w:cs="Times New Roman"/>
                <w:kern w:val="0"/>
                <w:sz w:val="20"/>
                <w:szCs w:val="20"/>
                <w:highlight w:val="none"/>
              </w:rPr>
              <w:t>年度资金总额：</w:t>
            </w:r>
          </w:p>
        </w:tc>
        <w:tc>
          <w:tcPr>
            <w:tcW w:w="1438" w:type="dxa"/>
            <w:noWrap w:val="0"/>
            <w:vAlign w:val="center"/>
          </w:tcPr>
          <w:p w14:paraId="6AC79D14">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37334.54</w:t>
            </w:r>
          </w:p>
        </w:tc>
        <w:tc>
          <w:tcPr>
            <w:tcW w:w="2162" w:type="dxa"/>
            <w:gridSpan w:val="3"/>
            <w:noWrap w:val="0"/>
            <w:vAlign w:val="center"/>
          </w:tcPr>
          <w:p w14:paraId="2A962F08">
            <w:pPr>
              <w:spacing w:line="240" w:lineRule="auto"/>
              <w:ind w:firstLine="0" w:firstLineChars="0"/>
              <w:jc w:val="center"/>
              <w:rPr>
                <w:rFonts w:hint="default" w:ascii="Times New Roman" w:hAnsi="Times New Roman" w:eastAsia="宋体" w:cs="Times New Roman"/>
                <w:kern w:val="0"/>
                <w:sz w:val="20"/>
                <w:szCs w:val="20"/>
                <w:highlight w:val="none"/>
                <w:lang w:val="en-US"/>
              </w:rPr>
            </w:pPr>
            <w:r>
              <w:rPr>
                <w:rFonts w:hint="eastAsia" w:ascii="Times New Roman" w:hAnsi="Times New Roman" w:eastAsia="宋体" w:cs="Times New Roman"/>
                <w:kern w:val="0"/>
                <w:sz w:val="20"/>
                <w:szCs w:val="20"/>
                <w:highlight w:val="none"/>
                <w:lang w:val="en-US" w:eastAsia="zh-CN"/>
              </w:rPr>
              <w:t>4859.66</w:t>
            </w:r>
          </w:p>
        </w:tc>
        <w:tc>
          <w:tcPr>
            <w:tcW w:w="2232" w:type="dxa"/>
            <w:noWrap w:val="0"/>
            <w:vAlign w:val="center"/>
          </w:tcPr>
          <w:p w14:paraId="32EF0DF5">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13.02%</w:t>
            </w:r>
          </w:p>
        </w:tc>
      </w:tr>
      <w:tr w14:paraId="6AA30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5F64E2DC">
            <w:pPr>
              <w:spacing w:line="240" w:lineRule="auto"/>
              <w:ind w:firstLine="0" w:firstLineChars="0"/>
              <w:rPr>
                <w:rFonts w:ascii="Times New Roman" w:hAnsi="Times New Roman" w:eastAsia="宋体" w:cs="Times New Roman"/>
                <w:kern w:val="0"/>
                <w:sz w:val="20"/>
                <w:szCs w:val="20"/>
                <w:highlight w:val="none"/>
              </w:rPr>
            </w:pPr>
          </w:p>
        </w:tc>
        <w:tc>
          <w:tcPr>
            <w:tcW w:w="1936" w:type="dxa"/>
            <w:gridSpan w:val="2"/>
            <w:noWrap w:val="0"/>
            <w:vAlign w:val="center"/>
          </w:tcPr>
          <w:p w14:paraId="45026CF2">
            <w:pPr>
              <w:spacing w:line="240" w:lineRule="auto"/>
              <w:ind w:firstLine="0" w:firstLineChars="0"/>
              <w:jc w:val="center"/>
              <w:rPr>
                <w:rFonts w:ascii="Times New Roman" w:hAnsi="Times New Roman" w:eastAsia="宋体" w:cs="Times New Roman"/>
                <w:kern w:val="0"/>
                <w:sz w:val="20"/>
                <w:szCs w:val="20"/>
                <w:highlight w:val="none"/>
              </w:rPr>
            </w:pPr>
            <w:r>
              <w:rPr>
                <w:rFonts w:ascii="Times New Roman" w:hAnsi="Times New Roman" w:eastAsia="宋体" w:cs="Times New Roman"/>
                <w:kern w:val="0"/>
                <w:sz w:val="20"/>
                <w:szCs w:val="20"/>
                <w:highlight w:val="none"/>
              </w:rPr>
              <w:t>其中：中央财政资金</w:t>
            </w:r>
          </w:p>
        </w:tc>
        <w:tc>
          <w:tcPr>
            <w:tcW w:w="1438" w:type="dxa"/>
            <w:noWrap w:val="0"/>
            <w:vAlign w:val="center"/>
          </w:tcPr>
          <w:p w14:paraId="20C9FD4E">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36396</w:t>
            </w:r>
          </w:p>
        </w:tc>
        <w:tc>
          <w:tcPr>
            <w:tcW w:w="2162" w:type="dxa"/>
            <w:gridSpan w:val="3"/>
            <w:noWrap w:val="0"/>
            <w:vAlign w:val="center"/>
          </w:tcPr>
          <w:p w14:paraId="3CF68E89">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4851</w:t>
            </w:r>
          </w:p>
        </w:tc>
        <w:tc>
          <w:tcPr>
            <w:tcW w:w="2232" w:type="dxa"/>
            <w:noWrap w:val="0"/>
            <w:vAlign w:val="center"/>
          </w:tcPr>
          <w:p w14:paraId="46D7C9B8">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13.33%</w:t>
            </w:r>
          </w:p>
        </w:tc>
      </w:tr>
      <w:tr w14:paraId="7656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558E9A97">
            <w:pPr>
              <w:spacing w:line="240" w:lineRule="auto"/>
              <w:ind w:firstLine="0" w:firstLineChars="0"/>
              <w:rPr>
                <w:rFonts w:ascii="Times New Roman" w:hAnsi="Times New Roman" w:eastAsia="宋体" w:cs="Times New Roman"/>
                <w:kern w:val="0"/>
                <w:sz w:val="20"/>
                <w:szCs w:val="20"/>
                <w:highlight w:val="none"/>
              </w:rPr>
            </w:pPr>
          </w:p>
        </w:tc>
        <w:tc>
          <w:tcPr>
            <w:tcW w:w="1936" w:type="dxa"/>
            <w:gridSpan w:val="2"/>
            <w:noWrap w:val="0"/>
            <w:vAlign w:val="center"/>
          </w:tcPr>
          <w:p w14:paraId="069D5A87">
            <w:pPr>
              <w:spacing w:line="240" w:lineRule="auto"/>
              <w:ind w:firstLine="0" w:firstLineChars="0"/>
              <w:rPr>
                <w:rFonts w:ascii="Times New Roman" w:hAnsi="Times New Roman" w:eastAsia="宋体" w:cs="Times New Roman"/>
                <w:kern w:val="0"/>
                <w:sz w:val="20"/>
                <w:szCs w:val="20"/>
                <w:highlight w:val="none"/>
              </w:rPr>
            </w:pPr>
            <w:r>
              <w:rPr>
                <w:rFonts w:ascii="Times New Roman" w:hAnsi="Times New Roman" w:eastAsia="宋体" w:cs="Times New Roman"/>
                <w:kern w:val="0"/>
                <w:sz w:val="20"/>
                <w:szCs w:val="20"/>
                <w:highlight w:val="none"/>
              </w:rPr>
              <w:t xml:space="preserve">       地方资金</w:t>
            </w:r>
          </w:p>
        </w:tc>
        <w:tc>
          <w:tcPr>
            <w:tcW w:w="1438" w:type="dxa"/>
            <w:noWrap w:val="0"/>
            <w:vAlign w:val="center"/>
          </w:tcPr>
          <w:p w14:paraId="752D9C8F">
            <w:pPr>
              <w:spacing w:line="240" w:lineRule="auto"/>
              <w:ind w:firstLine="0" w:firstLineChars="0"/>
              <w:jc w:val="center"/>
              <w:rPr>
                <w:rFonts w:hint="default"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938.54</w:t>
            </w:r>
          </w:p>
        </w:tc>
        <w:tc>
          <w:tcPr>
            <w:tcW w:w="2162" w:type="dxa"/>
            <w:gridSpan w:val="3"/>
            <w:noWrap w:val="0"/>
            <w:vAlign w:val="center"/>
          </w:tcPr>
          <w:p w14:paraId="38195125">
            <w:pPr>
              <w:spacing w:line="240" w:lineRule="auto"/>
              <w:ind w:firstLine="0" w:firstLineChars="0"/>
              <w:jc w:val="center"/>
              <w:rPr>
                <w:rFonts w:hint="eastAsia" w:ascii="Times New Roman" w:hAnsi="Times New Roman" w:eastAsia="宋体" w:cs="Times New Roman"/>
                <w:kern w:val="0"/>
                <w:sz w:val="20"/>
                <w:szCs w:val="20"/>
                <w:highlight w:val="none"/>
                <w:lang w:eastAsia="zh-CN"/>
              </w:rPr>
            </w:pPr>
            <w:r>
              <w:rPr>
                <w:rFonts w:hint="eastAsia" w:ascii="Times New Roman" w:hAnsi="Times New Roman" w:eastAsia="宋体" w:cs="Times New Roman"/>
                <w:kern w:val="0"/>
                <w:sz w:val="20"/>
                <w:szCs w:val="20"/>
                <w:highlight w:val="none"/>
                <w:lang w:val="en-US" w:eastAsia="zh-CN"/>
              </w:rPr>
              <w:t>8.66</w:t>
            </w:r>
          </w:p>
        </w:tc>
        <w:tc>
          <w:tcPr>
            <w:tcW w:w="2232" w:type="dxa"/>
            <w:noWrap w:val="0"/>
            <w:vAlign w:val="center"/>
          </w:tcPr>
          <w:p w14:paraId="16545E9F">
            <w:pPr>
              <w:spacing w:line="240" w:lineRule="auto"/>
              <w:ind w:firstLine="0" w:firstLineChars="0"/>
              <w:jc w:val="center"/>
              <w:rPr>
                <w:rFonts w:hint="eastAsia" w:ascii="Times New Roman" w:hAnsi="Times New Roman" w:eastAsia="宋体" w:cs="Times New Roman"/>
                <w:kern w:val="0"/>
                <w:sz w:val="20"/>
                <w:szCs w:val="20"/>
                <w:highlight w:val="none"/>
                <w:lang w:val="en-US" w:eastAsia="zh-CN"/>
              </w:rPr>
            </w:pPr>
            <w:r>
              <w:rPr>
                <w:rFonts w:hint="eastAsia" w:ascii="Times New Roman" w:hAnsi="Times New Roman" w:eastAsia="宋体" w:cs="Times New Roman"/>
                <w:kern w:val="0"/>
                <w:sz w:val="20"/>
                <w:szCs w:val="20"/>
                <w:highlight w:val="none"/>
                <w:lang w:val="en-US" w:eastAsia="zh-CN"/>
              </w:rPr>
              <w:t>0.92%</w:t>
            </w:r>
          </w:p>
        </w:tc>
      </w:tr>
      <w:tr w14:paraId="3628E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439DC3B3">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0DE21A8F">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 xml:space="preserve">        其他资金   </w:t>
            </w:r>
          </w:p>
        </w:tc>
        <w:tc>
          <w:tcPr>
            <w:tcW w:w="1438" w:type="dxa"/>
            <w:noWrap w:val="0"/>
            <w:vAlign w:val="center"/>
          </w:tcPr>
          <w:p w14:paraId="4BF2DCC2">
            <w:pPr>
              <w:spacing w:line="240" w:lineRule="auto"/>
              <w:ind w:firstLine="0" w:firstLineChars="0"/>
              <w:jc w:val="center"/>
              <w:rPr>
                <w:rFonts w:ascii="Times New Roman" w:hAnsi="Times New Roman" w:eastAsia="宋体" w:cs="Times New Roman"/>
                <w:kern w:val="0"/>
                <w:sz w:val="20"/>
                <w:szCs w:val="20"/>
              </w:rPr>
            </w:pPr>
          </w:p>
        </w:tc>
        <w:tc>
          <w:tcPr>
            <w:tcW w:w="2162" w:type="dxa"/>
            <w:gridSpan w:val="3"/>
            <w:noWrap w:val="0"/>
            <w:vAlign w:val="center"/>
          </w:tcPr>
          <w:p w14:paraId="74567DAA">
            <w:pPr>
              <w:spacing w:line="240" w:lineRule="auto"/>
              <w:ind w:firstLine="0" w:firstLineChars="0"/>
              <w:jc w:val="center"/>
              <w:rPr>
                <w:rFonts w:ascii="Times New Roman" w:hAnsi="Times New Roman" w:eastAsia="宋体" w:cs="Times New Roman"/>
                <w:kern w:val="0"/>
                <w:sz w:val="20"/>
                <w:szCs w:val="20"/>
              </w:rPr>
            </w:pPr>
          </w:p>
        </w:tc>
        <w:tc>
          <w:tcPr>
            <w:tcW w:w="2232" w:type="dxa"/>
            <w:noWrap w:val="0"/>
            <w:vAlign w:val="center"/>
          </w:tcPr>
          <w:p w14:paraId="2ACDD5F6">
            <w:pPr>
              <w:spacing w:line="240" w:lineRule="auto"/>
              <w:ind w:firstLine="0" w:firstLineChars="0"/>
              <w:jc w:val="center"/>
              <w:rPr>
                <w:rFonts w:ascii="Times New Roman" w:hAnsi="Times New Roman" w:eastAsia="宋体" w:cs="Times New Roman"/>
                <w:kern w:val="0"/>
                <w:sz w:val="20"/>
                <w:szCs w:val="20"/>
              </w:rPr>
            </w:pPr>
          </w:p>
        </w:tc>
      </w:tr>
      <w:tr w14:paraId="1E902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restart"/>
            <w:noWrap w:val="0"/>
            <w:vAlign w:val="center"/>
          </w:tcPr>
          <w:p w14:paraId="49FECBDF">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资金管理情况</w:t>
            </w:r>
          </w:p>
        </w:tc>
        <w:tc>
          <w:tcPr>
            <w:tcW w:w="1936" w:type="dxa"/>
            <w:gridSpan w:val="2"/>
            <w:noWrap w:val="0"/>
            <w:vAlign w:val="center"/>
          </w:tcPr>
          <w:p w14:paraId="4FD714ED">
            <w:pPr>
              <w:spacing w:line="240" w:lineRule="auto"/>
              <w:ind w:firstLine="0" w:firstLineChars="0"/>
              <w:rPr>
                <w:rFonts w:ascii="Times New Roman" w:hAnsi="Times New Roman" w:eastAsia="宋体" w:cs="Times New Roman"/>
                <w:kern w:val="0"/>
                <w:sz w:val="20"/>
                <w:szCs w:val="20"/>
              </w:rPr>
            </w:pPr>
          </w:p>
        </w:tc>
        <w:tc>
          <w:tcPr>
            <w:tcW w:w="3600" w:type="dxa"/>
            <w:gridSpan w:val="4"/>
            <w:noWrap w:val="0"/>
            <w:vAlign w:val="center"/>
          </w:tcPr>
          <w:p w14:paraId="0D8063A2">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情况说明</w:t>
            </w:r>
          </w:p>
        </w:tc>
        <w:tc>
          <w:tcPr>
            <w:tcW w:w="2232" w:type="dxa"/>
            <w:noWrap w:val="0"/>
            <w:vAlign w:val="center"/>
          </w:tcPr>
          <w:p w14:paraId="1A1BA5D8">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存在问题和改进措施</w:t>
            </w:r>
          </w:p>
        </w:tc>
      </w:tr>
      <w:tr w14:paraId="277BE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026F1C57">
            <w:pPr>
              <w:spacing w:line="240" w:lineRule="auto"/>
              <w:ind w:firstLine="0" w:firstLineChars="0"/>
              <w:rPr>
                <w:rFonts w:ascii="Times New Roman" w:hAnsi="Times New Roman" w:eastAsia="宋体" w:cs="Times New Roman"/>
                <w:kern w:val="0"/>
                <w:sz w:val="20"/>
                <w:szCs w:val="20"/>
                <w:highlight w:val="none"/>
              </w:rPr>
            </w:pPr>
          </w:p>
        </w:tc>
        <w:tc>
          <w:tcPr>
            <w:tcW w:w="1936" w:type="dxa"/>
            <w:gridSpan w:val="2"/>
            <w:noWrap w:val="0"/>
            <w:vAlign w:val="center"/>
          </w:tcPr>
          <w:p w14:paraId="05DDE860">
            <w:pPr>
              <w:spacing w:line="240" w:lineRule="auto"/>
              <w:ind w:firstLine="0" w:firstLineChars="0"/>
              <w:rPr>
                <w:rFonts w:ascii="Times New Roman" w:hAnsi="Times New Roman" w:eastAsia="宋体" w:cs="Times New Roman"/>
                <w:kern w:val="0"/>
                <w:sz w:val="20"/>
                <w:szCs w:val="20"/>
                <w:highlight w:val="none"/>
              </w:rPr>
            </w:pPr>
            <w:r>
              <w:rPr>
                <w:rFonts w:ascii="Times New Roman" w:hAnsi="Times New Roman" w:eastAsia="宋体" w:cs="Times New Roman"/>
                <w:kern w:val="0"/>
                <w:sz w:val="20"/>
                <w:szCs w:val="20"/>
                <w:highlight w:val="none"/>
              </w:rPr>
              <w:t>分配科学性</w:t>
            </w:r>
          </w:p>
        </w:tc>
        <w:tc>
          <w:tcPr>
            <w:tcW w:w="3600" w:type="dxa"/>
            <w:gridSpan w:val="4"/>
            <w:noWrap w:val="0"/>
            <w:vAlign w:val="center"/>
          </w:tcPr>
          <w:p w14:paraId="0D440AA4">
            <w:pPr>
              <w:spacing w:line="240" w:lineRule="auto"/>
              <w:ind w:firstLine="0" w:firstLineChars="0"/>
              <w:rPr>
                <w:rFonts w:ascii="Times New Roman" w:hAnsi="Times New Roman" w:eastAsia="宋体" w:cs="Times New Roman"/>
                <w:kern w:val="0"/>
                <w:sz w:val="20"/>
                <w:szCs w:val="20"/>
                <w:highlight w:val="none"/>
              </w:rPr>
            </w:pPr>
            <w:r>
              <w:rPr>
                <w:rFonts w:hint="default" w:ascii="Times New Roman" w:hAnsi="Times New Roman" w:eastAsia="宋体" w:cs="Times New Roman"/>
                <w:kern w:val="0"/>
                <w:sz w:val="20"/>
                <w:szCs w:val="20"/>
                <w:highlight w:val="none"/>
                <w:lang w:val="en-US" w:eastAsia="zh-CN"/>
              </w:rPr>
              <w:t>严格按照《</w:t>
            </w:r>
            <w:r>
              <w:rPr>
                <w:rFonts w:hint="eastAsia" w:ascii="Times New Roman" w:hAnsi="Times New Roman" w:eastAsia="宋体" w:cs="Times New Roman"/>
                <w:kern w:val="0"/>
                <w:sz w:val="20"/>
                <w:szCs w:val="20"/>
                <w:highlight w:val="none"/>
                <w:lang w:val="en-US" w:eastAsia="zh-CN"/>
              </w:rPr>
              <w:t>水污染防治资金管理办法</w:t>
            </w:r>
            <w:r>
              <w:rPr>
                <w:rFonts w:hint="default" w:ascii="Times New Roman" w:hAnsi="Times New Roman" w:eastAsia="宋体" w:cs="Times New Roman"/>
                <w:kern w:val="0"/>
                <w:sz w:val="20"/>
                <w:szCs w:val="20"/>
                <w:highlight w:val="none"/>
                <w:lang w:val="en-US" w:eastAsia="zh-CN"/>
              </w:rPr>
              <w:t>》《</w:t>
            </w:r>
            <w:r>
              <w:rPr>
                <w:rFonts w:hint="eastAsia" w:ascii="Times New Roman" w:hAnsi="Times New Roman" w:eastAsia="宋体" w:cs="Times New Roman"/>
                <w:kern w:val="0"/>
                <w:sz w:val="20"/>
                <w:szCs w:val="20"/>
                <w:highlight w:val="none"/>
                <w:lang w:val="en-US" w:eastAsia="zh-CN"/>
              </w:rPr>
              <w:t>中央生态环境资金项目管理规程</w:t>
            </w:r>
            <w:r>
              <w:rPr>
                <w:rFonts w:hint="default" w:ascii="Times New Roman" w:hAnsi="Times New Roman" w:eastAsia="宋体" w:cs="Times New Roman"/>
                <w:kern w:val="0"/>
                <w:sz w:val="20"/>
                <w:szCs w:val="20"/>
                <w:highlight w:val="none"/>
                <w:lang w:val="en-US" w:eastAsia="zh-CN"/>
              </w:rPr>
              <w:t>》等制度原则进行分配。</w:t>
            </w:r>
          </w:p>
        </w:tc>
        <w:tc>
          <w:tcPr>
            <w:tcW w:w="2232" w:type="dxa"/>
            <w:noWrap w:val="0"/>
            <w:vAlign w:val="center"/>
          </w:tcPr>
          <w:p w14:paraId="5166C4A8">
            <w:pPr>
              <w:spacing w:line="240" w:lineRule="auto"/>
              <w:ind w:firstLine="0" w:firstLineChars="0"/>
              <w:jc w:val="center"/>
              <w:rPr>
                <w:rFonts w:ascii="Times New Roman" w:hAnsi="Times New Roman" w:eastAsia="宋体" w:cs="Times New Roman"/>
                <w:kern w:val="0"/>
                <w:sz w:val="20"/>
                <w:szCs w:val="20"/>
                <w:highlight w:val="none"/>
              </w:rPr>
            </w:pPr>
            <w:r>
              <w:rPr>
                <w:rFonts w:ascii="Times New Roman" w:hAnsi="Times New Roman" w:eastAsia="宋体" w:cs="Times New Roman"/>
                <w:kern w:val="0"/>
                <w:sz w:val="20"/>
                <w:szCs w:val="20"/>
                <w:highlight w:val="none"/>
              </w:rPr>
              <w:t>无</w:t>
            </w:r>
          </w:p>
        </w:tc>
      </w:tr>
      <w:tr w14:paraId="52E2D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1DBC07F5">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054BB827">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下达及时性</w:t>
            </w:r>
          </w:p>
        </w:tc>
        <w:tc>
          <w:tcPr>
            <w:tcW w:w="3600" w:type="dxa"/>
            <w:gridSpan w:val="4"/>
            <w:noWrap w:val="0"/>
            <w:vAlign w:val="center"/>
          </w:tcPr>
          <w:p w14:paraId="593F0B03">
            <w:pPr>
              <w:spacing w:line="240" w:lineRule="auto"/>
              <w:ind w:firstLine="0" w:firstLineChars="0"/>
              <w:rPr>
                <w:rFonts w:ascii="Times New Roman" w:hAnsi="Times New Roman" w:eastAsia="宋体" w:cs="Times New Roman"/>
                <w:kern w:val="0"/>
                <w:sz w:val="20"/>
                <w:szCs w:val="20"/>
                <w:highlight w:val="none"/>
              </w:rPr>
            </w:pPr>
            <w:r>
              <w:rPr>
                <w:rFonts w:hint="eastAsia" w:ascii="Times New Roman" w:hAnsi="Times New Roman" w:eastAsia="宋体" w:cs="Times New Roman"/>
                <w:kern w:val="0"/>
                <w:sz w:val="20"/>
                <w:szCs w:val="20"/>
                <w:highlight w:val="none"/>
              </w:rPr>
              <w:t>2023年11月8日收到财政部下达第一批资金，202</w:t>
            </w:r>
            <w:r>
              <w:rPr>
                <w:rFonts w:hint="eastAsia" w:ascii="Times New Roman" w:hAnsi="Times New Roman" w:eastAsia="宋体" w:cs="Times New Roman"/>
                <w:kern w:val="0"/>
                <w:sz w:val="20"/>
                <w:szCs w:val="20"/>
                <w:highlight w:val="none"/>
                <w:lang w:val="en-US" w:eastAsia="zh-CN"/>
              </w:rPr>
              <w:t>3</w:t>
            </w:r>
            <w:r>
              <w:rPr>
                <w:rFonts w:hint="eastAsia" w:ascii="Times New Roman" w:hAnsi="Times New Roman" w:eastAsia="宋体" w:cs="Times New Roman"/>
                <w:kern w:val="0"/>
                <w:sz w:val="20"/>
                <w:szCs w:val="20"/>
                <w:highlight w:val="none"/>
              </w:rPr>
              <w:t>年12月8日完成资金下达（其中3775万元编入2024年自治区生态环境厅本级部门预算）；2024年6月20日收到财政部下达第二批资金，2024年7月19日完成第二批资金下达（追加自治区生态环境厅本级部门预算1686万元）。均在规定时限内（收到文件30日内）下达资金。</w:t>
            </w:r>
          </w:p>
        </w:tc>
        <w:tc>
          <w:tcPr>
            <w:tcW w:w="2232" w:type="dxa"/>
            <w:noWrap w:val="0"/>
            <w:vAlign w:val="center"/>
          </w:tcPr>
          <w:p w14:paraId="3A23364C">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5021A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6BC636CB">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24DC9707">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拨付合规性</w:t>
            </w:r>
          </w:p>
        </w:tc>
        <w:tc>
          <w:tcPr>
            <w:tcW w:w="3600" w:type="dxa"/>
            <w:gridSpan w:val="4"/>
            <w:noWrap w:val="0"/>
            <w:vAlign w:val="center"/>
          </w:tcPr>
          <w:p w14:paraId="0404301E">
            <w:pPr>
              <w:spacing w:line="240" w:lineRule="auto"/>
              <w:ind w:firstLine="0" w:firstLineChars="0"/>
              <w:jc w:val="both"/>
              <w:rPr>
                <w:rFonts w:ascii="Times New Roman" w:hAnsi="Times New Roman" w:eastAsia="宋体" w:cs="Times New Roman"/>
                <w:kern w:val="0"/>
                <w:sz w:val="20"/>
                <w:szCs w:val="20"/>
              </w:rPr>
            </w:pPr>
            <w:r>
              <w:rPr>
                <w:rFonts w:ascii="Times New Roman" w:hAnsi="Times New Roman" w:eastAsia="宋体" w:cs="Times New Roman"/>
                <w:kern w:val="0"/>
                <w:sz w:val="20"/>
                <w:szCs w:val="20"/>
              </w:rPr>
              <w:t>202</w:t>
            </w:r>
            <w:r>
              <w:rPr>
                <w:rFonts w:hint="eastAsia" w:ascii="Times New Roman" w:hAnsi="Times New Roman" w:eastAsia="仿宋" w:cs="Times New Roman"/>
                <w:kern w:val="0"/>
                <w:sz w:val="20"/>
                <w:szCs w:val="20"/>
                <w:lang w:val="en-US" w:eastAsia="zh-CN"/>
              </w:rPr>
              <w:t>4</w:t>
            </w:r>
            <w:r>
              <w:rPr>
                <w:rFonts w:ascii="Times New Roman" w:hAnsi="Times New Roman" w:eastAsia="宋体" w:cs="Times New Roman"/>
                <w:kern w:val="0"/>
                <w:sz w:val="20"/>
                <w:szCs w:val="20"/>
              </w:rPr>
              <w:t>年中央水污染防治资金严格执行国库集中支付制度，未出现违规将资金从国库转入财政专户或支付到预算单位实有资金账户等问题。</w:t>
            </w:r>
          </w:p>
        </w:tc>
        <w:tc>
          <w:tcPr>
            <w:tcW w:w="2232" w:type="dxa"/>
            <w:noWrap w:val="0"/>
            <w:vAlign w:val="center"/>
          </w:tcPr>
          <w:p w14:paraId="29DBC91C">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52144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70BC6B6E">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0B50F7C2">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使用规范性</w:t>
            </w:r>
          </w:p>
        </w:tc>
        <w:tc>
          <w:tcPr>
            <w:tcW w:w="3600" w:type="dxa"/>
            <w:gridSpan w:val="4"/>
            <w:noWrap w:val="0"/>
            <w:vAlign w:val="center"/>
          </w:tcPr>
          <w:p w14:paraId="7B9EF62B">
            <w:pPr>
              <w:spacing w:line="240" w:lineRule="auto"/>
              <w:ind w:firstLine="0" w:firstLineChars="0"/>
              <w:jc w:val="both"/>
              <w:rPr>
                <w:rFonts w:hint="eastAsia" w:ascii="Times New Roman" w:hAnsi="Times New Roman" w:eastAsia="宋体" w:cs="Times New Roman"/>
                <w:kern w:val="0"/>
                <w:sz w:val="20"/>
                <w:szCs w:val="20"/>
                <w:highlight w:val="none"/>
                <w:lang w:eastAsia="zh-CN"/>
              </w:rPr>
            </w:pPr>
            <w:r>
              <w:rPr>
                <w:rFonts w:hint="eastAsia" w:ascii="Times New Roman" w:hAnsi="Times New Roman" w:eastAsia="宋体" w:cs="Times New Roman"/>
                <w:kern w:val="0"/>
                <w:sz w:val="20"/>
                <w:szCs w:val="20"/>
                <w:highlight w:val="none"/>
              </w:rPr>
              <w:t>严格按照中央水污染防治资金管理办法，开展重点流域水环境治理、饮用水水源地规范化建设或整治、地下水生态环境状况调查评估和地下水污染防控与修复，符合中央水污染防治资金管理办法规定；同时加强资金管理，专款专用，切实提高资金使用效益。结合广西实际情况，2024年水污染防治资金用于支持饮用水水源地保护项目14个，安排中央资金预算25049万元，占资金总额的68.82%；重点流域水污染防治项目4个，安排中央资金预算5886万元，占资金总额的16.17%；地下水污染防治项目5个，安排中央资金预算5461万元，占资金总额的15.00%，符合资金管理办法规定的使用方向。</w:t>
            </w:r>
          </w:p>
        </w:tc>
        <w:tc>
          <w:tcPr>
            <w:tcW w:w="2232" w:type="dxa"/>
            <w:noWrap w:val="0"/>
            <w:vAlign w:val="center"/>
          </w:tcPr>
          <w:p w14:paraId="16EA1D72">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04B75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55C3040E">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625E856F">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执行准确性</w:t>
            </w:r>
          </w:p>
        </w:tc>
        <w:tc>
          <w:tcPr>
            <w:tcW w:w="3600" w:type="dxa"/>
            <w:gridSpan w:val="4"/>
            <w:noWrap w:val="0"/>
            <w:vAlign w:val="center"/>
          </w:tcPr>
          <w:p w14:paraId="362F65DE">
            <w:pPr>
              <w:spacing w:line="240" w:lineRule="auto"/>
              <w:ind w:firstLine="0" w:firstLineChars="0"/>
              <w:jc w:val="both"/>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各项目单位严格按照分配下达的中央水污染防治资金执行，未发现执行数偏离预算数问题。</w:t>
            </w:r>
          </w:p>
        </w:tc>
        <w:tc>
          <w:tcPr>
            <w:tcW w:w="2232" w:type="dxa"/>
            <w:noWrap w:val="0"/>
            <w:vAlign w:val="center"/>
          </w:tcPr>
          <w:p w14:paraId="21D68D51">
            <w:pPr>
              <w:spacing w:line="240" w:lineRule="auto"/>
              <w:ind w:firstLine="0" w:firstLineChars="0"/>
              <w:jc w:val="both"/>
              <w:rPr>
                <w:rFonts w:ascii="Times New Roman" w:hAnsi="Times New Roman" w:eastAsia="宋体" w:cs="Times New Roman"/>
                <w:kern w:val="0"/>
                <w:sz w:val="20"/>
                <w:szCs w:val="20"/>
              </w:rPr>
            </w:pPr>
            <w:r>
              <w:rPr>
                <w:rFonts w:ascii="Times New Roman" w:hAnsi="Times New Roman" w:eastAsia="宋体" w:cs="Times New Roman"/>
                <w:kern w:val="0"/>
                <w:sz w:val="20"/>
                <w:szCs w:val="20"/>
              </w:rPr>
              <w:t>由于项目前期工作基础不扎实，</w:t>
            </w:r>
            <w:r>
              <w:rPr>
                <w:rFonts w:hint="eastAsia" w:ascii="Times New Roman" w:hAnsi="Times New Roman" w:eastAsia="宋体" w:cs="Times New Roman"/>
                <w:kern w:val="0"/>
                <w:sz w:val="20"/>
                <w:szCs w:val="20"/>
                <w:lang w:eastAsia="zh-CN"/>
              </w:rPr>
              <w:t>提级论证涉及多层级和部门导致前期工作周期延长，耗费较多时间，项目实施及预算执行缓慢</w:t>
            </w:r>
            <w:r>
              <w:rPr>
                <w:rFonts w:ascii="Times New Roman" w:hAnsi="Times New Roman" w:eastAsia="宋体" w:cs="Times New Roman"/>
                <w:kern w:val="0"/>
                <w:sz w:val="20"/>
                <w:szCs w:val="20"/>
              </w:rPr>
              <w:t>。</w:t>
            </w:r>
            <w:r>
              <w:rPr>
                <w:rFonts w:ascii="Times New Roman" w:hAnsi="Times New Roman" w:eastAsia="宋体" w:cs="Times New Roman"/>
                <w:kern w:val="0"/>
                <w:sz w:val="20"/>
                <w:szCs w:val="20"/>
              </w:rPr>
              <w:br w:type="textWrapping"/>
            </w:r>
            <w:r>
              <w:rPr>
                <w:rFonts w:ascii="Times New Roman" w:hAnsi="Times New Roman" w:eastAsia="宋体" w:cs="Times New Roman"/>
                <w:kern w:val="0"/>
                <w:sz w:val="20"/>
                <w:szCs w:val="20"/>
              </w:rPr>
              <w:t>改进措施：</w:t>
            </w:r>
            <w:r>
              <w:rPr>
                <w:rFonts w:hint="eastAsia" w:ascii="Times New Roman" w:hAnsi="Times New Roman" w:eastAsia="宋体" w:cs="Times New Roman"/>
                <w:kern w:val="0"/>
                <w:sz w:val="20"/>
                <w:szCs w:val="20"/>
                <w:lang w:val="en-US" w:eastAsia="zh-CN"/>
              </w:rPr>
              <w:t>进一步</w:t>
            </w:r>
            <w:r>
              <w:rPr>
                <w:rFonts w:ascii="Times New Roman" w:hAnsi="Times New Roman" w:eastAsia="宋体" w:cs="Times New Roman"/>
                <w:kern w:val="0"/>
                <w:sz w:val="20"/>
                <w:szCs w:val="20"/>
              </w:rPr>
              <w:t>夯实项目基础，</w:t>
            </w:r>
            <w:r>
              <w:rPr>
                <w:rFonts w:hint="eastAsia" w:ascii="Times New Roman" w:hAnsi="Times New Roman" w:eastAsia="宋体" w:cs="Times New Roman"/>
                <w:kern w:val="0"/>
                <w:sz w:val="20"/>
                <w:szCs w:val="20"/>
                <w:lang w:val="en-US" w:eastAsia="zh-CN"/>
              </w:rPr>
              <w:t>加强部门间的</w:t>
            </w:r>
            <w:r>
              <w:rPr>
                <w:rFonts w:ascii="Times New Roman" w:hAnsi="Times New Roman" w:eastAsia="宋体" w:cs="Times New Roman"/>
                <w:kern w:val="0"/>
                <w:sz w:val="20"/>
                <w:szCs w:val="20"/>
              </w:rPr>
              <w:t>统筹协调，加快</w:t>
            </w:r>
            <w:r>
              <w:rPr>
                <w:rFonts w:hint="eastAsia" w:ascii="Times New Roman" w:hAnsi="Times New Roman" w:eastAsia="宋体" w:cs="Times New Roman"/>
                <w:kern w:val="0"/>
                <w:sz w:val="20"/>
                <w:szCs w:val="20"/>
                <w:lang w:val="en-US" w:eastAsia="zh-CN"/>
              </w:rPr>
              <w:t>推进项目实施，提高</w:t>
            </w:r>
            <w:r>
              <w:rPr>
                <w:rFonts w:ascii="Times New Roman" w:hAnsi="Times New Roman" w:eastAsia="宋体" w:cs="Times New Roman"/>
                <w:kern w:val="0"/>
                <w:sz w:val="20"/>
                <w:szCs w:val="20"/>
              </w:rPr>
              <w:t>资金</w:t>
            </w:r>
            <w:r>
              <w:rPr>
                <w:rFonts w:hint="eastAsia" w:ascii="Times New Roman" w:hAnsi="Times New Roman" w:eastAsia="宋体" w:cs="Times New Roman"/>
                <w:kern w:val="0"/>
                <w:sz w:val="20"/>
                <w:szCs w:val="20"/>
                <w:lang w:val="en-US" w:eastAsia="zh-CN"/>
              </w:rPr>
              <w:t>执行进度</w:t>
            </w:r>
            <w:r>
              <w:rPr>
                <w:rFonts w:ascii="Times New Roman" w:hAnsi="Times New Roman" w:eastAsia="宋体" w:cs="Times New Roman"/>
                <w:kern w:val="0"/>
                <w:sz w:val="20"/>
                <w:szCs w:val="20"/>
              </w:rPr>
              <w:t>。</w:t>
            </w:r>
          </w:p>
        </w:tc>
      </w:tr>
      <w:tr w14:paraId="32A78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1716" w:type="dxa"/>
            <w:gridSpan w:val="3"/>
            <w:vMerge w:val="continue"/>
            <w:noWrap w:val="0"/>
            <w:vAlign w:val="center"/>
          </w:tcPr>
          <w:p w14:paraId="1B489833">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00381BDA">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预算绩效管理情况</w:t>
            </w:r>
          </w:p>
        </w:tc>
        <w:tc>
          <w:tcPr>
            <w:tcW w:w="3600" w:type="dxa"/>
            <w:gridSpan w:val="4"/>
            <w:noWrap w:val="0"/>
            <w:vAlign w:val="center"/>
          </w:tcPr>
          <w:p w14:paraId="2D658767">
            <w:pPr>
              <w:pStyle w:val="3"/>
              <w:spacing w:line="240" w:lineRule="auto"/>
              <w:ind w:firstLine="0" w:firstLineChars="0"/>
              <w:rPr>
                <w:rFonts w:eastAsia="宋体"/>
                <w:sz w:val="20"/>
                <w:szCs w:val="20"/>
              </w:rPr>
            </w:pPr>
            <w:r>
              <w:rPr>
                <w:rFonts w:eastAsia="宋体"/>
                <w:kern w:val="0"/>
                <w:sz w:val="20"/>
                <w:szCs w:val="20"/>
              </w:rPr>
              <w:t>严格按照中央文件下达的绩效目标组织项目实施，开展资金绩效运行监控和绩效自评，对提供材料的真实性、合法性、有效性负责。</w:t>
            </w:r>
          </w:p>
        </w:tc>
        <w:tc>
          <w:tcPr>
            <w:tcW w:w="2232" w:type="dxa"/>
            <w:noWrap w:val="0"/>
            <w:vAlign w:val="center"/>
          </w:tcPr>
          <w:p w14:paraId="0C56D755">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5D86E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6" w:type="dxa"/>
            <w:gridSpan w:val="3"/>
            <w:vMerge w:val="continue"/>
            <w:noWrap w:val="0"/>
            <w:vAlign w:val="center"/>
          </w:tcPr>
          <w:p w14:paraId="1966744F">
            <w:pPr>
              <w:spacing w:line="240" w:lineRule="auto"/>
              <w:ind w:firstLine="0" w:firstLineChars="0"/>
              <w:rPr>
                <w:rFonts w:ascii="Times New Roman" w:hAnsi="Times New Roman" w:eastAsia="宋体" w:cs="Times New Roman"/>
                <w:kern w:val="0"/>
                <w:sz w:val="20"/>
                <w:szCs w:val="20"/>
              </w:rPr>
            </w:pPr>
          </w:p>
        </w:tc>
        <w:tc>
          <w:tcPr>
            <w:tcW w:w="1936" w:type="dxa"/>
            <w:gridSpan w:val="2"/>
            <w:noWrap w:val="0"/>
            <w:vAlign w:val="center"/>
          </w:tcPr>
          <w:p w14:paraId="25319726">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支出责任履行情况</w:t>
            </w:r>
          </w:p>
        </w:tc>
        <w:tc>
          <w:tcPr>
            <w:tcW w:w="3600" w:type="dxa"/>
            <w:gridSpan w:val="4"/>
            <w:noWrap w:val="0"/>
            <w:vAlign w:val="center"/>
          </w:tcPr>
          <w:p w14:paraId="1684F219">
            <w:pPr>
              <w:pStyle w:val="3"/>
              <w:spacing w:line="240" w:lineRule="auto"/>
              <w:ind w:left="0" w:firstLine="0" w:firstLineChars="0"/>
              <w:rPr>
                <w:rFonts w:eastAsia="宋体"/>
                <w:kern w:val="0"/>
                <w:sz w:val="20"/>
                <w:szCs w:val="20"/>
                <w:highlight w:val="none"/>
              </w:rPr>
            </w:pPr>
            <w:r>
              <w:rPr>
                <w:rFonts w:hint="default" w:ascii="Times New Roman" w:hAnsi="Times New Roman" w:eastAsia="宋体" w:cs="Times New Roman"/>
                <w:color w:val="auto"/>
                <w:kern w:val="0"/>
                <w:sz w:val="20"/>
                <w:szCs w:val="20"/>
                <w:highlight w:val="none"/>
                <w:lang w:val="en-US" w:eastAsia="zh-CN" w:bidi="ar-SA"/>
              </w:rPr>
              <w:t>中央</w:t>
            </w:r>
            <w:r>
              <w:rPr>
                <w:rFonts w:hint="default" w:eastAsia="宋体" w:cs="Times New Roman"/>
                <w:color w:val="auto"/>
                <w:kern w:val="0"/>
                <w:sz w:val="20"/>
                <w:szCs w:val="20"/>
                <w:highlight w:val="none"/>
                <w:lang w:val="en-US" w:eastAsia="zh-CN" w:bidi="ar-SA"/>
              </w:rPr>
              <w:t>水</w:t>
            </w:r>
            <w:r>
              <w:rPr>
                <w:rFonts w:hint="default" w:ascii="Times New Roman" w:hAnsi="Times New Roman" w:eastAsia="宋体" w:cs="Times New Roman"/>
                <w:color w:val="auto"/>
                <w:kern w:val="0"/>
                <w:sz w:val="20"/>
                <w:szCs w:val="20"/>
                <w:highlight w:val="none"/>
                <w:lang w:val="en-US" w:eastAsia="zh-CN" w:bidi="ar-SA"/>
              </w:rPr>
              <w:t>污染防治资金属于中央</w:t>
            </w:r>
            <w:r>
              <w:rPr>
                <w:rFonts w:hint="eastAsia" w:eastAsia="宋体" w:cs="Times New Roman"/>
                <w:color w:val="auto"/>
                <w:kern w:val="0"/>
                <w:sz w:val="20"/>
                <w:szCs w:val="20"/>
                <w:highlight w:val="none"/>
                <w:lang w:val="en-US" w:eastAsia="zh-CN" w:bidi="ar-SA"/>
              </w:rPr>
              <w:t>专项</w:t>
            </w:r>
            <w:r>
              <w:rPr>
                <w:rFonts w:hint="default" w:ascii="Times New Roman" w:hAnsi="Times New Roman" w:eastAsia="宋体" w:cs="Times New Roman"/>
                <w:color w:val="auto"/>
                <w:kern w:val="0"/>
                <w:sz w:val="20"/>
                <w:szCs w:val="20"/>
                <w:highlight w:val="none"/>
                <w:lang w:val="en-US" w:eastAsia="zh-CN" w:bidi="ar-SA"/>
              </w:rPr>
              <w:t>转移支付支出，202</w:t>
            </w:r>
            <w:r>
              <w:rPr>
                <w:rFonts w:hint="eastAsia" w:eastAsia="宋体" w:cs="Times New Roman"/>
                <w:color w:val="auto"/>
                <w:kern w:val="0"/>
                <w:sz w:val="20"/>
                <w:szCs w:val="20"/>
                <w:highlight w:val="none"/>
                <w:lang w:val="en-US" w:eastAsia="zh-CN" w:bidi="ar-SA"/>
              </w:rPr>
              <w:t>4</w:t>
            </w:r>
            <w:r>
              <w:rPr>
                <w:rFonts w:hint="default" w:ascii="Times New Roman" w:hAnsi="Times New Roman" w:eastAsia="宋体" w:cs="Times New Roman"/>
                <w:color w:val="auto"/>
                <w:kern w:val="0"/>
                <w:sz w:val="20"/>
                <w:szCs w:val="20"/>
                <w:highlight w:val="none"/>
                <w:lang w:val="en-US" w:eastAsia="zh-CN" w:bidi="ar-SA"/>
              </w:rPr>
              <w:t>年广西获得中央资金</w:t>
            </w:r>
            <w:r>
              <w:rPr>
                <w:rFonts w:hint="eastAsia" w:eastAsia="宋体"/>
                <w:kern w:val="0"/>
                <w:sz w:val="20"/>
                <w:szCs w:val="20"/>
                <w:highlight w:val="none"/>
                <w:lang w:val="en-US" w:eastAsia="zh-CN"/>
              </w:rPr>
              <w:t>36396</w:t>
            </w:r>
            <w:r>
              <w:rPr>
                <w:rFonts w:hint="default" w:ascii="Times New Roman" w:hAnsi="Times New Roman" w:eastAsia="宋体" w:cs="Times New Roman"/>
                <w:color w:val="auto"/>
                <w:kern w:val="0"/>
                <w:sz w:val="20"/>
                <w:szCs w:val="20"/>
                <w:highlight w:val="none"/>
                <w:lang w:val="en-US" w:eastAsia="zh-CN" w:bidi="ar-SA"/>
              </w:rPr>
              <w:t>万元，地方财政配套</w:t>
            </w:r>
            <w:r>
              <w:rPr>
                <w:rFonts w:hint="eastAsia" w:eastAsia="宋体" w:cs="Times New Roman"/>
                <w:color w:val="auto"/>
                <w:kern w:val="0"/>
                <w:sz w:val="20"/>
                <w:szCs w:val="20"/>
                <w:highlight w:val="none"/>
                <w:lang w:val="en-US" w:eastAsia="zh-CN" w:bidi="ar-SA"/>
              </w:rPr>
              <w:t>938.54</w:t>
            </w:r>
            <w:r>
              <w:rPr>
                <w:rFonts w:hint="default" w:ascii="Times New Roman" w:hAnsi="Times New Roman" w:eastAsia="宋体" w:cs="Times New Roman"/>
                <w:color w:val="auto"/>
                <w:kern w:val="0"/>
                <w:sz w:val="20"/>
                <w:szCs w:val="20"/>
                <w:highlight w:val="none"/>
                <w:lang w:val="en-US" w:eastAsia="zh-CN" w:bidi="ar-SA"/>
              </w:rPr>
              <w:t>万元。</w:t>
            </w:r>
          </w:p>
        </w:tc>
        <w:tc>
          <w:tcPr>
            <w:tcW w:w="2232" w:type="dxa"/>
            <w:noWrap w:val="0"/>
            <w:vAlign w:val="center"/>
          </w:tcPr>
          <w:p w14:paraId="66D957D2">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3B17C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24" w:type="dxa"/>
            <w:vMerge w:val="restart"/>
            <w:noWrap w:val="0"/>
            <w:vAlign w:val="center"/>
          </w:tcPr>
          <w:p w14:paraId="12AEB168">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总体</w:t>
            </w:r>
          </w:p>
          <w:p w14:paraId="52893950">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目标</w:t>
            </w:r>
          </w:p>
          <w:p w14:paraId="4BD034F1">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完成</w:t>
            </w:r>
          </w:p>
          <w:p w14:paraId="444F9B39">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情况</w:t>
            </w:r>
          </w:p>
        </w:tc>
        <w:tc>
          <w:tcPr>
            <w:tcW w:w="4366" w:type="dxa"/>
            <w:gridSpan w:val="5"/>
            <w:noWrap w:val="0"/>
            <w:vAlign w:val="center"/>
          </w:tcPr>
          <w:p w14:paraId="0088898F">
            <w:pPr>
              <w:spacing w:line="240" w:lineRule="auto"/>
              <w:ind w:firstLine="1500" w:firstLineChars="750"/>
              <w:rPr>
                <w:rFonts w:ascii="Times New Roman" w:hAnsi="Times New Roman" w:eastAsia="宋体" w:cs="Times New Roman"/>
                <w:kern w:val="0"/>
                <w:sz w:val="20"/>
                <w:szCs w:val="20"/>
              </w:rPr>
            </w:pPr>
            <w:r>
              <w:rPr>
                <w:rFonts w:ascii="Times New Roman" w:hAnsi="Times New Roman" w:eastAsia="宋体" w:cs="Times New Roman"/>
                <w:kern w:val="0"/>
                <w:sz w:val="20"/>
                <w:szCs w:val="20"/>
              </w:rPr>
              <w:t>总体目标</w:t>
            </w:r>
          </w:p>
        </w:tc>
        <w:tc>
          <w:tcPr>
            <w:tcW w:w="4394" w:type="dxa"/>
            <w:gridSpan w:val="4"/>
            <w:noWrap w:val="0"/>
            <w:vAlign w:val="center"/>
          </w:tcPr>
          <w:p w14:paraId="5E433A86">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全年实际完成情况</w:t>
            </w:r>
          </w:p>
        </w:tc>
      </w:tr>
      <w:tr w14:paraId="7828B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6" w:hRule="atLeast"/>
        </w:trPr>
        <w:tc>
          <w:tcPr>
            <w:tcW w:w="724" w:type="dxa"/>
            <w:vMerge w:val="continue"/>
            <w:noWrap w:val="0"/>
            <w:vAlign w:val="center"/>
          </w:tcPr>
          <w:p w14:paraId="0B62D23A">
            <w:pPr>
              <w:spacing w:line="240" w:lineRule="auto"/>
              <w:ind w:firstLine="0" w:firstLineChars="0"/>
              <w:rPr>
                <w:rFonts w:ascii="Times New Roman" w:hAnsi="Times New Roman" w:eastAsia="宋体" w:cs="Times New Roman"/>
                <w:kern w:val="0"/>
                <w:sz w:val="20"/>
                <w:szCs w:val="20"/>
              </w:rPr>
            </w:pPr>
          </w:p>
        </w:tc>
        <w:tc>
          <w:tcPr>
            <w:tcW w:w="4366" w:type="dxa"/>
            <w:gridSpan w:val="5"/>
            <w:noWrap w:val="0"/>
            <w:vAlign w:val="center"/>
          </w:tcPr>
          <w:p w14:paraId="77BDAAAC">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支持桂林市、贵港市开展重点流域水环境治理，支持南宁市、柳州市、梧州市、贵港市、百色市、河池市、来宾市、崇左市8个水源地规范化建设或整治，使地表水环境质量持续改善，112个国考断面水质优良率达到98.2%，地表水劣V类水体比例为0。</w:t>
            </w:r>
          </w:p>
        </w:tc>
        <w:tc>
          <w:tcPr>
            <w:tcW w:w="4394" w:type="dxa"/>
            <w:gridSpan w:val="4"/>
            <w:noWrap w:val="0"/>
            <w:vAlign w:val="center"/>
          </w:tcPr>
          <w:p w14:paraId="1CAD8D97">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2024年共支持开展23个项目，涉及地市包括自治区本级和南宁市、柳州市、桂林市、梧州市、北海市、钦州市、贵港市、百色市、河池市、来宾市、崇左市，项目类型包括饮用水水源地保护、重点流域水污染防治、地下水污染防治和能力建设项目。2024年112个地表水国控断面水质优良率达到98.2%，劣V类水体比例为0，完成绩效目标。县级及以上城市集中式饮用水水源水质达到或优于Ⅲ类比例为100%，地下水国考区域点位V类水比例小于36%，双源点位水质总体保持稳定，达到国家考核目标要求。</w:t>
            </w:r>
          </w:p>
        </w:tc>
      </w:tr>
      <w:tr w14:paraId="7DE11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restart"/>
            <w:noWrap w:val="0"/>
            <w:textDirection w:val="tbRlV"/>
            <w:vAlign w:val="center"/>
          </w:tcPr>
          <w:p w14:paraId="2EDBBEAB">
            <w:pPr>
              <w:spacing w:line="240" w:lineRule="auto"/>
              <w:ind w:firstLine="900" w:firstLineChars="45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绩效指标</w:t>
            </w:r>
          </w:p>
        </w:tc>
        <w:tc>
          <w:tcPr>
            <w:tcW w:w="709" w:type="dxa"/>
            <w:noWrap w:val="0"/>
            <w:vAlign w:val="center"/>
          </w:tcPr>
          <w:p w14:paraId="451A74BA">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一级</w:t>
            </w:r>
            <w:r>
              <w:rPr>
                <w:rFonts w:ascii="Times New Roman" w:hAnsi="Times New Roman" w:eastAsia="宋体" w:cs="Times New Roman"/>
                <w:b/>
                <w:kern w:val="0"/>
                <w:sz w:val="20"/>
                <w:szCs w:val="20"/>
              </w:rPr>
              <w:br w:type="textWrapping"/>
            </w:r>
            <w:r>
              <w:rPr>
                <w:rFonts w:ascii="Times New Roman" w:hAnsi="Times New Roman" w:eastAsia="宋体" w:cs="Times New Roman"/>
                <w:b/>
                <w:kern w:val="0"/>
                <w:sz w:val="20"/>
                <w:szCs w:val="20"/>
              </w:rPr>
              <w:t>指标</w:t>
            </w:r>
          </w:p>
        </w:tc>
        <w:tc>
          <w:tcPr>
            <w:tcW w:w="1162" w:type="dxa"/>
            <w:gridSpan w:val="2"/>
            <w:noWrap w:val="0"/>
            <w:vAlign w:val="center"/>
          </w:tcPr>
          <w:p w14:paraId="78D71FE1">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二级</w:t>
            </w:r>
          </w:p>
          <w:p w14:paraId="32EEB43A">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指标</w:t>
            </w:r>
          </w:p>
        </w:tc>
        <w:tc>
          <w:tcPr>
            <w:tcW w:w="2495" w:type="dxa"/>
            <w:gridSpan w:val="2"/>
            <w:noWrap w:val="0"/>
            <w:vAlign w:val="center"/>
          </w:tcPr>
          <w:p w14:paraId="66A1A9DD">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三级指标</w:t>
            </w:r>
          </w:p>
        </w:tc>
        <w:tc>
          <w:tcPr>
            <w:tcW w:w="886" w:type="dxa"/>
            <w:noWrap w:val="0"/>
            <w:vAlign w:val="center"/>
          </w:tcPr>
          <w:p w14:paraId="237840F6">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年度指标值</w:t>
            </w:r>
          </w:p>
        </w:tc>
        <w:tc>
          <w:tcPr>
            <w:tcW w:w="1276" w:type="dxa"/>
            <w:gridSpan w:val="2"/>
            <w:noWrap w:val="0"/>
            <w:vAlign w:val="center"/>
          </w:tcPr>
          <w:p w14:paraId="451704E7">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全年完成值</w:t>
            </w:r>
          </w:p>
        </w:tc>
        <w:tc>
          <w:tcPr>
            <w:tcW w:w="2232" w:type="dxa"/>
            <w:noWrap w:val="0"/>
            <w:vAlign w:val="center"/>
          </w:tcPr>
          <w:p w14:paraId="4015B050">
            <w:pPr>
              <w:spacing w:line="240" w:lineRule="auto"/>
              <w:ind w:firstLine="0" w:firstLineChars="0"/>
              <w:jc w:val="center"/>
              <w:rPr>
                <w:rFonts w:ascii="Times New Roman" w:hAnsi="Times New Roman" w:eastAsia="宋体" w:cs="Times New Roman"/>
                <w:b/>
                <w:kern w:val="0"/>
                <w:sz w:val="20"/>
                <w:szCs w:val="20"/>
              </w:rPr>
            </w:pPr>
            <w:r>
              <w:rPr>
                <w:rFonts w:ascii="Times New Roman" w:hAnsi="Times New Roman" w:eastAsia="宋体" w:cs="Times New Roman"/>
                <w:b/>
                <w:kern w:val="0"/>
                <w:sz w:val="20"/>
                <w:szCs w:val="20"/>
              </w:rPr>
              <w:t>未完成原因和改进措施</w:t>
            </w:r>
          </w:p>
        </w:tc>
      </w:tr>
      <w:tr w14:paraId="7D6AF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1E739BE1">
            <w:pPr>
              <w:spacing w:line="240" w:lineRule="auto"/>
              <w:ind w:firstLine="0" w:firstLineChars="0"/>
              <w:rPr>
                <w:rFonts w:ascii="Times New Roman" w:hAnsi="Times New Roman" w:eastAsia="宋体" w:cs="Times New Roman"/>
                <w:kern w:val="0"/>
                <w:sz w:val="20"/>
                <w:szCs w:val="20"/>
              </w:rPr>
            </w:pPr>
          </w:p>
        </w:tc>
        <w:tc>
          <w:tcPr>
            <w:tcW w:w="709" w:type="dxa"/>
            <w:vMerge w:val="restart"/>
            <w:noWrap w:val="0"/>
            <w:vAlign w:val="center"/>
          </w:tcPr>
          <w:p w14:paraId="7543D8F7">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产出指标</w:t>
            </w:r>
          </w:p>
        </w:tc>
        <w:tc>
          <w:tcPr>
            <w:tcW w:w="1162" w:type="dxa"/>
            <w:gridSpan w:val="2"/>
            <w:vMerge w:val="restart"/>
            <w:noWrap w:val="0"/>
            <w:vAlign w:val="center"/>
          </w:tcPr>
          <w:p w14:paraId="08648394">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数量</w:t>
            </w:r>
          </w:p>
        </w:tc>
        <w:tc>
          <w:tcPr>
            <w:tcW w:w="2495" w:type="dxa"/>
            <w:gridSpan w:val="2"/>
            <w:noWrap w:val="0"/>
            <w:vAlign w:val="center"/>
          </w:tcPr>
          <w:p w14:paraId="4D01989D">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①集中式饮用水水源地整治数量</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个</w:t>
            </w:r>
            <w:r>
              <w:rPr>
                <w:rFonts w:hint="eastAsia" w:ascii="Times New Roman" w:hAnsi="Times New Roman" w:eastAsia="宋体" w:cs="Times New Roman"/>
                <w:kern w:val="0"/>
                <w:sz w:val="20"/>
                <w:szCs w:val="20"/>
                <w:lang w:eastAsia="zh-CN"/>
              </w:rPr>
              <w:t>）</w:t>
            </w:r>
          </w:p>
        </w:tc>
        <w:tc>
          <w:tcPr>
            <w:tcW w:w="886" w:type="dxa"/>
            <w:noWrap w:val="0"/>
            <w:vAlign w:val="center"/>
          </w:tcPr>
          <w:p w14:paraId="4C065084">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8</w:t>
            </w:r>
          </w:p>
        </w:tc>
        <w:tc>
          <w:tcPr>
            <w:tcW w:w="1276" w:type="dxa"/>
            <w:gridSpan w:val="2"/>
            <w:noWrap w:val="0"/>
            <w:vAlign w:val="center"/>
          </w:tcPr>
          <w:p w14:paraId="704DE393">
            <w:pPr>
              <w:spacing w:line="240" w:lineRule="auto"/>
              <w:ind w:firstLine="0" w:firstLineChars="0"/>
              <w:jc w:val="center"/>
              <w:rPr>
                <w:rFonts w:hint="eastAsia"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0</w:t>
            </w:r>
          </w:p>
        </w:tc>
        <w:tc>
          <w:tcPr>
            <w:tcW w:w="2232" w:type="dxa"/>
            <w:vMerge w:val="restart"/>
            <w:noWrap w:val="0"/>
            <w:vAlign w:val="center"/>
          </w:tcPr>
          <w:p w14:paraId="4E513777">
            <w:pPr>
              <w:spacing w:line="240" w:lineRule="auto"/>
              <w:ind w:firstLine="0" w:firstLineChars="0"/>
              <w:jc w:val="both"/>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lang w:val="en-US" w:eastAsia="zh-CN"/>
              </w:rPr>
              <w:t>2024年度项目实际均未完工，未完成主要原因为：</w:t>
            </w:r>
            <w:r>
              <w:rPr>
                <w:rFonts w:hint="default" w:ascii="Times New Roman" w:hAnsi="Times New Roman" w:eastAsia="宋体" w:cs="Times New Roman"/>
                <w:kern w:val="0"/>
                <w:sz w:val="20"/>
                <w:szCs w:val="20"/>
              </w:rPr>
              <w:t>项目立项与可行性研究不够全面，征地、初步设计等准备工作不够充分，资金下达后仍在多方讨论比对、补充调查，</w:t>
            </w:r>
            <w:r>
              <w:rPr>
                <w:rFonts w:hint="eastAsia" w:ascii="Times New Roman" w:hAnsi="Times New Roman" w:eastAsia="宋体" w:cs="Times New Roman"/>
                <w:kern w:val="0"/>
                <w:sz w:val="20"/>
                <w:szCs w:val="20"/>
                <w:lang w:eastAsia="zh-CN"/>
              </w:rPr>
              <w:t>同时</w:t>
            </w:r>
            <w:r>
              <w:rPr>
                <w:rFonts w:hint="default" w:ascii="Times New Roman" w:hAnsi="Times New Roman" w:eastAsia="宋体" w:cs="Times New Roman"/>
                <w:kern w:val="0"/>
                <w:sz w:val="20"/>
                <w:szCs w:val="20"/>
              </w:rPr>
              <w:t>项目提级论证涉及多层级和部门导致项目前期工作周期延长，耗费较多时间</w:t>
            </w:r>
            <w:r>
              <w:rPr>
                <w:rFonts w:hint="eastAsia" w:ascii="Times New Roman" w:hAnsi="Times New Roman" w:eastAsia="宋体" w:cs="Times New Roman"/>
                <w:kern w:val="0"/>
                <w:sz w:val="20"/>
                <w:szCs w:val="20"/>
                <w:lang w:eastAsia="zh-CN"/>
              </w:rPr>
              <w:t>，影响项目实施进度。</w:t>
            </w:r>
            <w:r>
              <w:rPr>
                <w:rFonts w:hint="eastAsia" w:ascii="Times New Roman" w:hAnsi="Times New Roman" w:eastAsia="宋体" w:cs="Times New Roman"/>
                <w:kern w:val="0"/>
                <w:sz w:val="20"/>
                <w:szCs w:val="20"/>
                <w:lang w:eastAsia="zh-CN"/>
              </w:rPr>
              <w:br w:type="textWrapping"/>
            </w:r>
            <w:r>
              <w:rPr>
                <w:rFonts w:hint="eastAsia" w:ascii="Times New Roman" w:hAnsi="Times New Roman" w:eastAsia="宋体" w:cs="Times New Roman"/>
                <w:kern w:val="0"/>
                <w:sz w:val="20"/>
                <w:szCs w:val="20"/>
                <w:lang w:eastAsia="zh-CN"/>
              </w:rPr>
              <w:t>改进措施：压实项目实施主体责任，扎实做好项目前期，夯实项目储备基础，督促项目所在设区市加强项目管理，深入查摆项目前期工作进度缓慢的问题及原因，强力推进项目实施，保障资金及时拨付，切实提高项目完工率与预算执行率。根据初步设计、实施方案、合同等材料，预计项目完成后，可达到目标要求。</w:t>
            </w:r>
          </w:p>
          <w:p w14:paraId="245BCC30">
            <w:pPr>
              <w:spacing w:line="240" w:lineRule="auto"/>
              <w:ind w:firstLine="0" w:firstLineChars="0"/>
              <w:jc w:val="left"/>
              <w:rPr>
                <w:rFonts w:ascii="Times New Roman" w:hAnsi="Times New Roman" w:eastAsia="宋体" w:cs="Times New Roman"/>
                <w:kern w:val="0"/>
                <w:sz w:val="20"/>
                <w:szCs w:val="20"/>
              </w:rPr>
            </w:pPr>
          </w:p>
        </w:tc>
      </w:tr>
      <w:tr w14:paraId="4E6B3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6C5E2BCD">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03054742">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2B897B38">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E7B3FB7">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②新增污染负荷COD削减量（吨/年）</w:t>
            </w:r>
          </w:p>
        </w:tc>
        <w:tc>
          <w:tcPr>
            <w:tcW w:w="886" w:type="dxa"/>
            <w:noWrap w:val="0"/>
            <w:vAlign w:val="center"/>
          </w:tcPr>
          <w:p w14:paraId="4591BE3A">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68</w:t>
            </w:r>
          </w:p>
        </w:tc>
        <w:tc>
          <w:tcPr>
            <w:tcW w:w="1276" w:type="dxa"/>
            <w:gridSpan w:val="2"/>
            <w:noWrap w:val="0"/>
            <w:vAlign w:val="center"/>
          </w:tcPr>
          <w:p w14:paraId="4371203C">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1.2</w:t>
            </w:r>
          </w:p>
        </w:tc>
        <w:tc>
          <w:tcPr>
            <w:tcW w:w="2232" w:type="dxa"/>
            <w:vMerge w:val="continue"/>
            <w:noWrap w:val="0"/>
            <w:vAlign w:val="center"/>
          </w:tcPr>
          <w:p w14:paraId="3AC8070D">
            <w:pPr>
              <w:spacing w:line="240" w:lineRule="auto"/>
              <w:ind w:firstLine="0" w:firstLineChars="0"/>
              <w:jc w:val="center"/>
              <w:rPr>
                <w:rFonts w:ascii="Times New Roman" w:hAnsi="Times New Roman" w:eastAsia="宋体" w:cs="Times New Roman"/>
                <w:kern w:val="0"/>
                <w:sz w:val="20"/>
                <w:szCs w:val="20"/>
              </w:rPr>
            </w:pPr>
          </w:p>
        </w:tc>
      </w:tr>
      <w:tr w14:paraId="778CB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4" w:type="dxa"/>
            <w:vMerge w:val="continue"/>
            <w:noWrap w:val="0"/>
            <w:vAlign w:val="center"/>
          </w:tcPr>
          <w:p w14:paraId="15BDC364">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305D8B21">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424543C3">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5B15B7F0">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③新增污染负荷氨氮削减量（吨/年）</w:t>
            </w:r>
          </w:p>
        </w:tc>
        <w:tc>
          <w:tcPr>
            <w:tcW w:w="886" w:type="dxa"/>
            <w:noWrap w:val="0"/>
            <w:vAlign w:val="center"/>
          </w:tcPr>
          <w:p w14:paraId="5C575737">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5.4</w:t>
            </w:r>
          </w:p>
        </w:tc>
        <w:tc>
          <w:tcPr>
            <w:tcW w:w="1276" w:type="dxa"/>
            <w:gridSpan w:val="2"/>
            <w:noWrap w:val="0"/>
            <w:vAlign w:val="center"/>
          </w:tcPr>
          <w:p w14:paraId="202F91DA">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0.3</w:t>
            </w:r>
          </w:p>
        </w:tc>
        <w:tc>
          <w:tcPr>
            <w:tcW w:w="2232" w:type="dxa"/>
            <w:vMerge w:val="continue"/>
            <w:noWrap w:val="0"/>
            <w:vAlign w:val="center"/>
          </w:tcPr>
          <w:p w14:paraId="2D07411A">
            <w:pPr>
              <w:spacing w:line="240" w:lineRule="auto"/>
              <w:ind w:firstLine="0" w:firstLineChars="0"/>
              <w:jc w:val="left"/>
              <w:rPr>
                <w:rFonts w:ascii="Times New Roman" w:hAnsi="Times New Roman" w:eastAsia="宋体" w:cs="Times New Roman"/>
                <w:kern w:val="0"/>
                <w:sz w:val="20"/>
                <w:szCs w:val="20"/>
              </w:rPr>
            </w:pPr>
          </w:p>
        </w:tc>
      </w:tr>
      <w:tr w14:paraId="29A56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444B7ACC">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55026420">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562F7431">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C9A6826">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④新增污染负荷总氮削减量（吨/年）</w:t>
            </w:r>
          </w:p>
        </w:tc>
        <w:tc>
          <w:tcPr>
            <w:tcW w:w="886" w:type="dxa"/>
            <w:noWrap w:val="0"/>
            <w:vAlign w:val="center"/>
          </w:tcPr>
          <w:p w14:paraId="37E83BC1">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9.6</w:t>
            </w:r>
          </w:p>
        </w:tc>
        <w:tc>
          <w:tcPr>
            <w:tcW w:w="1276" w:type="dxa"/>
            <w:gridSpan w:val="2"/>
            <w:noWrap w:val="0"/>
            <w:vAlign w:val="center"/>
          </w:tcPr>
          <w:p w14:paraId="193E497F">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0.2</w:t>
            </w:r>
          </w:p>
        </w:tc>
        <w:tc>
          <w:tcPr>
            <w:tcW w:w="2232" w:type="dxa"/>
            <w:vMerge w:val="continue"/>
            <w:noWrap w:val="0"/>
            <w:vAlign w:val="center"/>
          </w:tcPr>
          <w:p w14:paraId="7429A889">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6DE4A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4" w:type="dxa"/>
            <w:vMerge w:val="continue"/>
            <w:noWrap w:val="0"/>
            <w:vAlign w:val="center"/>
          </w:tcPr>
          <w:p w14:paraId="65A7C2DF">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5AD753E7">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15253918">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6649C22D">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⑤新增污染负荷总磷削减量（吨/年）</w:t>
            </w:r>
          </w:p>
        </w:tc>
        <w:tc>
          <w:tcPr>
            <w:tcW w:w="886" w:type="dxa"/>
            <w:noWrap w:val="0"/>
            <w:vAlign w:val="center"/>
          </w:tcPr>
          <w:p w14:paraId="3244CD6B">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0.7</w:t>
            </w:r>
          </w:p>
        </w:tc>
        <w:tc>
          <w:tcPr>
            <w:tcW w:w="1276" w:type="dxa"/>
            <w:gridSpan w:val="2"/>
            <w:noWrap w:val="0"/>
            <w:vAlign w:val="center"/>
          </w:tcPr>
          <w:p w14:paraId="234AAE06">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0.035</w:t>
            </w:r>
          </w:p>
        </w:tc>
        <w:tc>
          <w:tcPr>
            <w:tcW w:w="2232" w:type="dxa"/>
            <w:vMerge w:val="continue"/>
            <w:noWrap w:val="0"/>
            <w:vAlign w:val="center"/>
          </w:tcPr>
          <w:p w14:paraId="6EF3363F">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4E48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62C94C1C">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4DF8F9C4">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668E3E4B">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F7430CE">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⑥重要生态空间内新增污水处理能力（吨/天）</w:t>
            </w:r>
          </w:p>
        </w:tc>
        <w:tc>
          <w:tcPr>
            <w:tcW w:w="886" w:type="dxa"/>
            <w:noWrap w:val="0"/>
            <w:vAlign w:val="center"/>
          </w:tcPr>
          <w:p w14:paraId="397665BA">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500</w:t>
            </w:r>
          </w:p>
        </w:tc>
        <w:tc>
          <w:tcPr>
            <w:tcW w:w="1276" w:type="dxa"/>
            <w:gridSpan w:val="2"/>
            <w:noWrap w:val="0"/>
            <w:vAlign w:val="center"/>
          </w:tcPr>
          <w:p w14:paraId="7715CABF">
            <w:pPr>
              <w:spacing w:line="240" w:lineRule="auto"/>
              <w:ind w:firstLine="0" w:firstLineChars="0"/>
              <w:jc w:val="center"/>
              <w:rPr>
                <w:rFonts w:hint="eastAsia" w:ascii="Times New Roman" w:hAnsi="Times New Roman" w:eastAsia="宋体" w:cs="Times New Roman"/>
                <w:kern w:val="0"/>
                <w:sz w:val="20"/>
                <w:szCs w:val="20"/>
                <w:lang w:val="en-US" w:eastAsia="zh-CN" w:bidi="ar-SA"/>
              </w:rPr>
            </w:pPr>
            <w:r>
              <w:rPr>
                <w:rFonts w:hint="eastAsia" w:ascii="Times New Roman" w:hAnsi="Times New Roman" w:eastAsia="宋体" w:cs="Times New Roman"/>
                <w:i w:val="0"/>
                <w:iCs w:val="0"/>
                <w:color w:val="000000"/>
                <w:kern w:val="0"/>
                <w:sz w:val="20"/>
                <w:szCs w:val="20"/>
                <w:u w:val="none"/>
                <w:lang w:val="en-US" w:eastAsia="zh-CN" w:bidi="ar-SA"/>
              </w:rPr>
              <w:t>0</w:t>
            </w:r>
          </w:p>
        </w:tc>
        <w:tc>
          <w:tcPr>
            <w:tcW w:w="2232" w:type="dxa"/>
            <w:vMerge w:val="continue"/>
            <w:noWrap w:val="0"/>
            <w:vAlign w:val="center"/>
          </w:tcPr>
          <w:p w14:paraId="12A11BE2">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4424E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0AF40E69">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73907C36">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24E0775C">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697AFED2">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⑦新增的规范化建设排污口数量</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个</w:t>
            </w:r>
            <w:r>
              <w:rPr>
                <w:rFonts w:hint="eastAsia" w:ascii="Times New Roman" w:hAnsi="Times New Roman" w:eastAsia="宋体" w:cs="Times New Roman"/>
                <w:kern w:val="0"/>
                <w:sz w:val="20"/>
                <w:szCs w:val="20"/>
                <w:lang w:eastAsia="zh-CN"/>
              </w:rPr>
              <w:t>）</w:t>
            </w:r>
          </w:p>
        </w:tc>
        <w:tc>
          <w:tcPr>
            <w:tcW w:w="886" w:type="dxa"/>
            <w:noWrap w:val="0"/>
            <w:vAlign w:val="center"/>
          </w:tcPr>
          <w:p w14:paraId="37C01257">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1</w:t>
            </w:r>
          </w:p>
        </w:tc>
        <w:tc>
          <w:tcPr>
            <w:tcW w:w="1276" w:type="dxa"/>
            <w:gridSpan w:val="2"/>
            <w:noWrap w:val="0"/>
            <w:vAlign w:val="center"/>
          </w:tcPr>
          <w:p w14:paraId="181D6762">
            <w:pPr>
              <w:spacing w:line="240" w:lineRule="auto"/>
              <w:ind w:firstLine="0" w:firstLineChars="0"/>
              <w:jc w:val="center"/>
              <w:rPr>
                <w:rFonts w:hint="eastAsia" w:ascii="Times New Roman" w:hAnsi="Times New Roman" w:eastAsia="宋体" w:cs="Times New Roman"/>
                <w:kern w:val="0"/>
                <w:sz w:val="20"/>
                <w:szCs w:val="20"/>
                <w:lang w:val="en-US" w:eastAsia="zh-CN" w:bidi="ar-SA"/>
              </w:rPr>
            </w:pPr>
            <w:r>
              <w:rPr>
                <w:rFonts w:hint="eastAsia" w:ascii="Times New Roman" w:hAnsi="Times New Roman" w:eastAsia="宋体" w:cs="Times New Roman"/>
                <w:kern w:val="0"/>
                <w:sz w:val="20"/>
                <w:szCs w:val="20"/>
                <w:lang w:val="en-US" w:eastAsia="zh-CN"/>
              </w:rPr>
              <w:t>1</w:t>
            </w:r>
          </w:p>
        </w:tc>
        <w:tc>
          <w:tcPr>
            <w:tcW w:w="2232" w:type="dxa"/>
            <w:vMerge w:val="continue"/>
            <w:noWrap w:val="0"/>
            <w:vAlign w:val="center"/>
          </w:tcPr>
          <w:p w14:paraId="2A7F570C">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6A86C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7F7BD2F3">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5E19B2C0">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23169400">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C9EA7DD">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⑧新增湿地恢复面积</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平方公里</w:t>
            </w:r>
            <w:r>
              <w:rPr>
                <w:rFonts w:hint="eastAsia" w:ascii="Times New Roman" w:hAnsi="Times New Roman" w:eastAsia="宋体" w:cs="Times New Roman"/>
                <w:kern w:val="0"/>
                <w:sz w:val="20"/>
                <w:szCs w:val="20"/>
                <w:lang w:eastAsia="zh-CN"/>
              </w:rPr>
              <w:t>）</w:t>
            </w:r>
          </w:p>
        </w:tc>
        <w:tc>
          <w:tcPr>
            <w:tcW w:w="886" w:type="dxa"/>
            <w:noWrap w:val="0"/>
            <w:vAlign w:val="center"/>
          </w:tcPr>
          <w:p w14:paraId="23A86F79">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0.147</w:t>
            </w:r>
          </w:p>
        </w:tc>
        <w:tc>
          <w:tcPr>
            <w:tcW w:w="1276" w:type="dxa"/>
            <w:gridSpan w:val="2"/>
            <w:noWrap w:val="0"/>
            <w:vAlign w:val="center"/>
          </w:tcPr>
          <w:p w14:paraId="4D1C478A">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kern w:val="0"/>
                <w:sz w:val="20"/>
                <w:szCs w:val="20"/>
                <w:lang w:val="en-US" w:eastAsia="zh-CN"/>
              </w:rPr>
              <w:t>0.029</w:t>
            </w:r>
          </w:p>
        </w:tc>
        <w:tc>
          <w:tcPr>
            <w:tcW w:w="2232" w:type="dxa"/>
            <w:vMerge w:val="continue"/>
            <w:noWrap w:val="0"/>
            <w:vAlign w:val="center"/>
          </w:tcPr>
          <w:p w14:paraId="160FC3C0">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771B2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1CEFBE5B">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5A83B9C8">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7A91BE40">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71376BA3">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⑨新增河湖生态缓冲带修复面积</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平方公里</w:t>
            </w:r>
            <w:r>
              <w:rPr>
                <w:rFonts w:hint="eastAsia" w:ascii="Times New Roman" w:hAnsi="Times New Roman" w:eastAsia="宋体" w:cs="Times New Roman"/>
                <w:kern w:val="0"/>
                <w:sz w:val="20"/>
                <w:szCs w:val="20"/>
                <w:lang w:eastAsia="zh-CN"/>
              </w:rPr>
              <w:t>）</w:t>
            </w:r>
          </w:p>
        </w:tc>
        <w:tc>
          <w:tcPr>
            <w:tcW w:w="886" w:type="dxa"/>
            <w:noWrap w:val="0"/>
            <w:vAlign w:val="center"/>
          </w:tcPr>
          <w:p w14:paraId="7613E231">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0.058</w:t>
            </w:r>
          </w:p>
        </w:tc>
        <w:tc>
          <w:tcPr>
            <w:tcW w:w="1276" w:type="dxa"/>
            <w:gridSpan w:val="2"/>
            <w:noWrap w:val="0"/>
            <w:vAlign w:val="center"/>
          </w:tcPr>
          <w:p w14:paraId="27D02799">
            <w:pPr>
              <w:spacing w:line="240" w:lineRule="auto"/>
              <w:ind w:firstLine="0" w:firstLineChars="0"/>
              <w:jc w:val="center"/>
              <w:rPr>
                <w:rFonts w:hint="default" w:ascii="Times New Roman" w:hAnsi="Times New Roman" w:eastAsia="宋体" w:cs="Times New Roman"/>
                <w:kern w:val="0"/>
                <w:sz w:val="20"/>
                <w:szCs w:val="20"/>
                <w:lang w:val="en-US" w:eastAsia="zh-CN" w:bidi="ar-SA"/>
              </w:rPr>
            </w:pPr>
            <w:r>
              <w:rPr>
                <w:rFonts w:hint="eastAsia" w:ascii="Times New Roman" w:hAnsi="Times New Roman" w:eastAsia="宋体" w:cs="Times New Roman"/>
                <w:kern w:val="0"/>
                <w:sz w:val="20"/>
                <w:szCs w:val="20"/>
              </w:rPr>
              <w:t>0.0</w:t>
            </w:r>
            <w:r>
              <w:rPr>
                <w:rFonts w:hint="eastAsia" w:ascii="Times New Roman" w:hAnsi="Times New Roman" w:eastAsia="宋体" w:cs="Times New Roman"/>
                <w:kern w:val="0"/>
                <w:sz w:val="20"/>
                <w:szCs w:val="20"/>
                <w:lang w:val="en-US" w:eastAsia="zh-CN"/>
              </w:rPr>
              <w:t>31</w:t>
            </w:r>
          </w:p>
        </w:tc>
        <w:tc>
          <w:tcPr>
            <w:tcW w:w="2232" w:type="dxa"/>
            <w:vMerge w:val="continue"/>
            <w:noWrap w:val="0"/>
            <w:vAlign w:val="center"/>
          </w:tcPr>
          <w:p w14:paraId="76B80CEC">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7F812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7B0A71C9">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14FE44A9">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58A021BB">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5F7060ED">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⑩新增开展的地下水调查评估类项目数量</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个</w:t>
            </w:r>
            <w:r>
              <w:rPr>
                <w:rFonts w:hint="eastAsia" w:ascii="Times New Roman" w:hAnsi="Times New Roman" w:eastAsia="宋体" w:cs="Times New Roman"/>
                <w:kern w:val="0"/>
                <w:sz w:val="20"/>
                <w:szCs w:val="20"/>
                <w:lang w:eastAsia="zh-CN"/>
              </w:rPr>
              <w:t>）</w:t>
            </w:r>
          </w:p>
        </w:tc>
        <w:tc>
          <w:tcPr>
            <w:tcW w:w="886" w:type="dxa"/>
            <w:noWrap w:val="0"/>
            <w:vAlign w:val="center"/>
          </w:tcPr>
          <w:p w14:paraId="25219F5A">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4</w:t>
            </w:r>
          </w:p>
        </w:tc>
        <w:tc>
          <w:tcPr>
            <w:tcW w:w="1276" w:type="dxa"/>
            <w:gridSpan w:val="2"/>
            <w:noWrap w:val="0"/>
            <w:vAlign w:val="center"/>
          </w:tcPr>
          <w:p w14:paraId="7E37739C">
            <w:pPr>
              <w:spacing w:line="240" w:lineRule="auto"/>
              <w:ind w:firstLine="0" w:firstLineChars="0"/>
              <w:jc w:val="center"/>
              <w:rPr>
                <w:rFonts w:hint="eastAsia" w:ascii="Times New Roman" w:hAnsi="Times New Roman" w:eastAsia="宋体" w:cs="Times New Roman"/>
                <w:kern w:val="0"/>
                <w:sz w:val="20"/>
                <w:szCs w:val="20"/>
                <w:lang w:val="en-US" w:eastAsia="zh-CN" w:bidi="ar-SA"/>
              </w:rPr>
            </w:pPr>
            <w:r>
              <w:rPr>
                <w:rFonts w:hint="eastAsia" w:ascii="Times New Roman" w:hAnsi="Times New Roman" w:eastAsia="宋体" w:cs="Times New Roman"/>
                <w:kern w:val="0"/>
                <w:sz w:val="20"/>
                <w:szCs w:val="20"/>
              </w:rPr>
              <w:t>4</w:t>
            </w:r>
          </w:p>
        </w:tc>
        <w:tc>
          <w:tcPr>
            <w:tcW w:w="2232" w:type="dxa"/>
            <w:vMerge w:val="continue"/>
            <w:noWrap w:val="0"/>
            <w:vAlign w:val="center"/>
          </w:tcPr>
          <w:p w14:paraId="675EB1BE">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2C7C8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2630C9AF">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1EFC6C32">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298B6EC1">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6F886EE5">
            <w:pPr>
              <w:spacing w:line="240" w:lineRule="auto"/>
              <w:ind w:firstLine="0" w:firstLineChars="0"/>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⑪跨省横向生态保护补偿机制数量</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rPr>
              <w:t>个</w:t>
            </w:r>
            <w:r>
              <w:rPr>
                <w:rFonts w:hint="eastAsia" w:ascii="Times New Roman" w:hAnsi="Times New Roman" w:eastAsia="宋体" w:cs="Times New Roman"/>
                <w:kern w:val="0"/>
                <w:sz w:val="20"/>
                <w:szCs w:val="20"/>
                <w:lang w:eastAsia="zh-CN"/>
              </w:rPr>
              <w:t>）</w:t>
            </w:r>
          </w:p>
        </w:tc>
        <w:tc>
          <w:tcPr>
            <w:tcW w:w="886" w:type="dxa"/>
            <w:noWrap w:val="0"/>
            <w:vAlign w:val="center"/>
          </w:tcPr>
          <w:p w14:paraId="60E56111">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rPr>
              <w:t>1</w:t>
            </w:r>
          </w:p>
        </w:tc>
        <w:tc>
          <w:tcPr>
            <w:tcW w:w="1276" w:type="dxa"/>
            <w:gridSpan w:val="2"/>
            <w:noWrap w:val="0"/>
            <w:vAlign w:val="center"/>
          </w:tcPr>
          <w:p w14:paraId="62212D68">
            <w:pPr>
              <w:spacing w:line="240" w:lineRule="auto"/>
              <w:ind w:firstLine="0" w:firstLineChars="0"/>
              <w:jc w:val="center"/>
              <w:rPr>
                <w:rFonts w:hint="eastAsia" w:ascii="Times New Roman" w:hAnsi="Times New Roman" w:eastAsia="宋体" w:cs="Times New Roman"/>
                <w:kern w:val="0"/>
                <w:sz w:val="20"/>
                <w:szCs w:val="20"/>
                <w:lang w:val="en-US" w:eastAsia="zh-CN" w:bidi="ar-SA"/>
              </w:rPr>
            </w:pPr>
            <w:r>
              <w:rPr>
                <w:rFonts w:hint="eastAsia" w:ascii="Times New Roman" w:hAnsi="Times New Roman" w:eastAsia="宋体" w:cs="Times New Roman"/>
                <w:kern w:val="0"/>
                <w:sz w:val="20"/>
                <w:szCs w:val="20"/>
                <w:lang w:val="en-US" w:eastAsia="zh-CN"/>
              </w:rPr>
              <w:t>1</w:t>
            </w:r>
          </w:p>
        </w:tc>
        <w:tc>
          <w:tcPr>
            <w:tcW w:w="2232" w:type="dxa"/>
            <w:vMerge w:val="continue"/>
            <w:noWrap w:val="0"/>
            <w:vAlign w:val="center"/>
          </w:tcPr>
          <w:p w14:paraId="6035A2FB">
            <w:pPr>
              <w:spacing w:line="240" w:lineRule="auto"/>
              <w:ind w:firstLine="0" w:firstLineChars="0"/>
              <w:jc w:val="left"/>
              <w:rPr>
                <w:rFonts w:hint="default" w:ascii="Times New Roman" w:hAnsi="Times New Roman" w:eastAsia="宋体" w:cs="Times New Roman"/>
                <w:kern w:val="0"/>
                <w:sz w:val="20"/>
                <w:szCs w:val="20"/>
                <w:highlight w:val="none"/>
                <w:lang w:eastAsia="zh-CN"/>
              </w:rPr>
            </w:pPr>
          </w:p>
        </w:tc>
      </w:tr>
      <w:tr w14:paraId="6A62B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0301863F">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69E402DB">
            <w:pPr>
              <w:spacing w:line="240" w:lineRule="auto"/>
              <w:ind w:firstLine="0" w:firstLineChars="0"/>
              <w:rPr>
                <w:rFonts w:ascii="Times New Roman" w:hAnsi="Times New Roman" w:eastAsia="宋体" w:cs="Times New Roman"/>
                <w:kern w:val="0"/>
                <w:sz w:val="20"/>
                <w:szCs w:val="20"/>
              </w:rPr>
            </w:pPr>
          </w:p>
        </w:tc>
        <w:tc>
          <w:tcPr>
            <w:tcW w:w="1162" w:type="dxa"/>
            <w:gridSpan w:val="2"/>
            <w:noWrap w:val="0"/>
            <w:vAlign w:val="center"/>
          </w:tcPr>
          <w:p w14:paraId="2B4A0D6E">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质量</w:t>
            </w:r>
          </w:p>
        </w:tc>
        <w:tc>
          <w:tcPr>
            <w:tcW w:w="2495" w:type="dxa"/>
            <w:gridSpan w:val="2"/>
            <w:noWrap w:val="0"/>
            <w:vAlign w:val="center"/>
          </w:tcPr>
          <w:p w14:paraId="05062424">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项目验收合格率</w:t>
            </w:r>
          </w:p>
        </w:tc>
        <w:tc>
          <w:tcPr>
            <w:tcW w:w="886" w:type="dxa"/>
            <w:noWrap w:val="0"/>
            <w:vAlign w:val="center"/>
          </w:tcPr>
          <w:p w14:paraId="5B9FAE6E">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100%</w:t>
            </w:r>
          </w:p>
        </w:tc>
        <w:tc>
          <w:tcPr>
            <w:tcW w:w="1276" w:type="dxa"/>
            <w:gridSpan w:val="2"/>
            <w:noWrap w:val="0"/>
            <w:vAlign w:val="center"/>
          </w:tcPr>
          <w:p w14:paraId="5A20C669">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0</w:t>
            </w:r>
          </w:p>
        </w:tc>
        <w:tc>
          <w:tcPr>
            <w:tcW w:w="2232" w:type="dxa"/>
            <w:noWrap w:val="0"/>
            <w:vAlign w:val="center"/>
          </w:tcPr>
          <w:p w14:paraId="7113E663">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项目立项与可行性研究不够全面，征地、初步设计等准备工作不够充分，资金下达后仍在多方讨论比对、补充调查，耗费较多时间，</w:t>
            </w:r>
            <w:r>
              <w:rPr>
                <w:rFonts w:hint="eastAsia" w:ascii="Times New Roman" w:hAnsi="Times New Roman" w:eastAsia="宋体" w:cs="Times New Roman"/>
                <w:kern w:val="0"/>
                <w:sz w:val="20"/>
                <w:szCs w:val="20"/>
                <w:lang w:val="en-US" w:eastAsia="zh-CN"/>
              </w:rPr>
              <w:t>同时部分项目多次申请提及论证均未通过，</w:t>
            </w:r>
            <w:r>
              <w:rPr>
                <w:rFonts w:ascii="Times New Roman" w:hAnsi="Times New Roman" w:eastAsia="宋体" w:cs="Times New Roman"/>
                <w:kern w:val="0"/>
                <w:sz w:val="20"/>
                <w:szCs w:val="20"/>
              </w:rPr>
              <w:t>导致项目进展缓慢。</w:t>
            </w:r>
            <w:r>
              <w:rPr>
                <w:rFonts w:ascii="Times New Roman" w:hAnsi="Times New Roman" w:eastAsia="宋体" w:cs="Times New Roman"/>
                <w:kern w:val="0"/>
                <w:sz w:val="20"/>
                <w:szCs w:val="20"/>
              </w:rPr>
              <w:br w:type="textWrapping"/>
            </w:r>
            <w:r>
              <w:rPr>
                <w:rFonts w:ascii="Times New Roman" w:hAnsi="Times New Roman" w:eastAsia="宋体" w:cs="Times New Roman"/>
                <w:kern w:val="0"/>
                <w:sz w:val="20"/>
                <w:szCs w:val="20"/>
              </w:rPr>
              <w:t>改进措施：加强沟通协调，进一步督促指导相关</w:t>
            </w:r>
            <w:r>
              <w:rPr>
                <w:rFonts w:hint="eastAsia" w:ascii="Times New Roman" w:hAnsi="Times New Roman" w:eastAsia="宋体" w:cs="Times New Roman"/>
                <w:kern w:val="0"/>
                <w:sz w:val="20"/>
                <w:szCs w:val="20"/>
                <w:lang w:val="en-US" w:eastAsia="zh-CN"/>
              </w:rPr>
              <w:t>设区市</w:t>
            </w:r>
            <w:r>
              <w:rPr>
                <w:rFonts w:ascii="Times New Roman" w:hAnsi="Times New Roman" w:eastAsia="宋体" w:cs="Times New Roman"/>
                <w:kern w:val="0"/>
                <w:sz w:val="20"/>
                <w:szCs w:val="20"/>
              </w:rPr>
              <w:t>夯实前期工作基础</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lang w:val="en-US" w:eastAsia="zh-CN"/>
              </w:rPr>
              <w:t>压实地方主体责任，</w:t>
            </w:r>
            <w:r>
              <w:rPr>
                <w:rFonts w:ascii="Times New Roman" w:hAnsi="Times New Roman" w:eastAsia="宋体" w:cs="Times New Roman"/>
                <w:kern w:val="0"/>
                <w:sz w:val="20"/>
                <w:szCs w:val="20"/>
              </w:rPr>
              <w:t>推进项目建设</w:t>
            </w:r>
            <w:r>
              <w:rPr>
                <w:rFonts w:hint="eastAsia"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lang w:val="en-US" w:eastAsia="zh-CN"/>
              </w:rPr>
              <w:t>提高项目质量</w:t>
            </w:r>
            <w:r>
              <w:rPr>
                <w:rFonts w:ascii="Times New Roman" w:hAnsi="Times New Roman" w:eastAsia="宋体" w:cs="Times New Roman"/>
                <w:kern w:val="0"/>
                <w:sz w:val="20"/>
                <w:szCs w:val="20"/>
              </w:rPr>
              <w:t>。</w:t>
            </w:r>
          </w:p>
        </w:tc>
      </w:tr>
      <w:tr w14:paraId="0B5FE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trPr>
        <w:tc>
          <w:tcPr>
            <w:tcW w:w="724" w:type="dxa"/>
            <w:vMerge w:val="continue"/>
            <w:noWrap w:val="0"/>
            <w:vAlign w:val="center"/>
          </w:tcPr>
          <w:p w14:paraId="718F939E">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6AA02394">
            <w:pPr>
              <w:spacing w:line="240" w:lineRule="auto"/>
              <w:ind w:firstLine="0" w:firstLineChars="0"/>
              <w:rPr>
                <w:rFonts w:ascii="Times New Roman" w:hAnsi="Times New Roman" w:eastAsia="宋体" w:cs="Times New Roman"/>
                <w:kern w:val="0"/>
                <w:sz w:val="20"/>
                <w:szCs w:val="20"/>
              </w:rPr>
            </w:pPr>
          </w:p>
        </w:tc>
        <w:tc>
          <w:tcPr>
            <w:tcW w:w="1162" w:type="dxa"/>
            <w:gridSpan w:val="2"/>
            <w:vMerge w:val="restart"/>
            <w:noWrap w:val="0"/>
            <w:vAlign w:val="center"/>
          </w:tcPr>
          <w:p w14:paraId="37604D8D">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时效</w:t>
            </w:r>
          </w:p>
        </w:tc>
        <w:tc>
          <w:tcPr>
            <w:tcW w:w="2495" w:type="dxa"/>
            <w:gridSpan w:val="2"/>
            <w:noWrap w:val="0"/>
            <w:vAlign w:val="center"/>
          </w:tcPr>
          <w:p w14:paraId="6F8F3B40">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开工率</w:t>
            </w:r>
          </w:p>
        </w:tc>
        <w:tc>
          <w:tcPr>
            <w:tcW w:w="886" w:type="dxa"/>
            <w:noWrap w:val="0"/>
            <w:vAlign w:val="center"/>
          </w:tcPr>
          <w:p w14:paraId="76F6DB17">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100%</w:t>
            </w:r>
          </w:p>
        </w:tc>
        <w:tc>
          <w:tcPr>
            <w:tcW w:w="1276" w:type="dxa"/>
            <w:gridSpan w:val="2"/>
            <w:noWrap w:val="0"/>
            <w:vAlign w:val="center"/>
          </w:tcPr>
          <w:p w14:paraId="33B37482">
            <w:pPr>
              <w:spacing w:line="240" w:lineRule="auto"/>
              <w:ind w:firstLine="0" w:firstLineChars="0"/>
              <w:jc w:val="center"/>
              <w:rPr>
                <w:rFonts w:ascii="Times New Roman" w:hAnsi="Times New Roman" w:eastAsia="宋体" w:cs="Times New Roman"/>
                <w:kern w:val="0"/>
                <w:sz w:val="20"/>
                <w:szCs w:val="20"/>
              </w:rPr>
            </w:pPr>
            <w:r>
              <w:rPr>
                <w:rFonts w:hint="eastAsia" w:ascii="Times New Roman" w:hAnsi="Times New Roman" w:eastAsia="宋体" w:cs="Times New Roman"/>
                <w:kern w:val="0"/>
                <w:sz w:val="20"/>
                <w:szCs w:val="20"/>
                <w:highlight w:val="none"/>
              </w:rPr>
              <w:t>39.13</w:t>
            </w:r>
            <w:r>
              <w:rPr>
                <w:rFonts w:ascii="Times New Roman" w:hAnsi="Times New Roman" w:eastAsia="宋体" w:cs="Times New Roman"/>
                <w:kern w:val="0"/>
                <w:sz w:val="20"/>
                <w:szCs w:val="20"/>
                <w:highlight w:val="none"/>
              </w:rPr>
              <w:t>%</w:t>
            </w:r>
          </w:p>
        </w:tc>
        <w:tc>
          <w:tcPr>
            <w:tcW w:w="2232" w:type="dxa"/>
            <w:vMerge w:val="restart"/>
            <w:noWrap w:val="0"/>
            <w:vAlign w:val="center"/>
          </w:tcPr>
          <w:p w14:paraId="36B59587">
            <w:pPr>
              <w:spacing w:line="240" w:lineRule="auto"/>
              <w:ind w:firstLine="0" w:firstLineChars="0"/>
              <w:jc w:val="left"/>
              <w:rPr>
                <w:rFonts w:ascii="Times New Roman" w:hAnsi="Times New Roman" w:eastAsia="宋体" w:cs="Times New Roman"/>
                <w:kern w:val="0"/>
                <w:sz w:val="20"/>
                <w:szCs w:val="20"/>
              </w:rPr>
            </w:pPr>
            <w:r>
              <w:rPr>
                <w:rFonts w:ascii="Times New Roman" w:hAnsi="Times New Roman" w:eastAsia="宋体" w:cs="Times New Roman"/>
                <w:kern w:val="0"/>
                <w:sz w:val="20"/>
                <w:szCs w:val="20"/>
              </w:rPr>
              <w:t>由于项目前期工作基础不扎实，</w:t>
            </w:r>
            <w:r>
              <w:rPr>
                <w:rFonts w:hint="eastAsia" w:ascii="Times New Roman" w:hAnsi="Times New Roman" w:eastAsia="宋体" w:cs="Times New Roman"/>
                <w:kern w:val="0"/>
                <w:sz w:val="20"/>
                <w:szCs w:val="20"/>
              </w:rPr>
              <w:t>项目提级论证涉及多层级和部门导致项目前期工作周期延长</w:t>
            </w:r>
            <w:r>
              <w:rPr>
                <w:rFonts w:hint="eastAsia" w:ascii="Times New Roman" w:hAnsi="Times New Roman" w:eastAsia="宋体" w:cs="Times New Roman"/>
                <w:kern w:val="0"/>
                <w:sz w:val="20"/>
                <w:szCs w:val="20"/>
                <w:lang w:eastAsia="zh-CN"/>
              </w:rPr>
              <w:t>，</w:t>
            </w:r>
            <w:r>
              <w:rPr>
                <w:rFonts w:ascii="Times New Roman" w:hAnsi="Times New Roman" w:eastAsia="宋体" w:cs="Times New Roman"/>
                <w:kern w:val="0"/>
                <w:sz w:val="20"/>
                <w:szCs w:val="20"/>
              </w:rPr>
              <w:t>项目开工率和完工率未达到绩效目标。</w:t>
            </w:r>
            <w:r>
              <w:rPr>
                <w:rFonts w:ascii="Times New Roman" w:hAnsi="Times New Roman" w:eastAsia="宋体" w:cs="Times New Roman"/>
                <w:kern w:val="0"/>
                <w:sz w:val="20"/>
                <w:szCs w:val="20"/>
              </w:rPr>
              <w:br w:type="textWrapping"/>
            </w:r>
            <w:r>
              <w:rPr>
                <w:rFonts w:ascii="Times New Roman" w:hAnsi="Times New Roman" w:eastAsia="宋体" w:cs="Times New Roman"/>
                <w:kern w:val="0"/>
                <w:sz w:val="20"/>
                <w:szCs w:val="20"/>
              </w:rPr>
              <w:t>改进措施：</w:t>
            </w:r>
            <w:r>
              <w:rPr>
                <w:rFonts w:hint="eastAsia" w:ascii="Times New Roman" w:hAnsi="Times New Roman" w:eastAsia="宋体" w:cs="Times New Roman"/>
                <w:kern w:val="0"/>
                <w:sz w:val="20"/>
                <w:szCs w:val="20"/>
                <w:lang w:val="en-US" w:eastAsia="zh-CN"/>
              </w:rPr>
              <w:t>加强督促指导，</w:t>
            </w:r>
            <w:r>
              <w:rPr>
                <w:rFonts w:ascii="Times New Roman" w:hAnsi="Times New Roman" w:eastAsia="宋体" w:cs="Times New Roman"/>
                <w:kern w:val="0"/>
                <w:sz w:val="20"/>
                <w:szCs w:val="20"/>
              </w:rPr>
              <w:t>夯实项目</w:t>
            </w:r>
            <w:r>
              <w:rPr>
                <w:rFonts w:hint="eastAsia" w:ascii="Times New Roman" w:hAnsi="Times New Roman" w:eastAsia="宋体" w:cs="Times New Roman"/>
                <w:kern w:val="0"/>
                <w:sz w:val="20"/>
                <w:szCs w:val="20"/>
                <w:lang w:val="en-US" w:eastAsia="zh-CN"/>
              </w:rPr>
              <w:t>前期</w:t>
            </w:r>
            <w:r>
              <w:rPr>
                <w:rFonts w:ascii="Times New Roman" w:hAnsi="Times New Roman" w:eastAsia="宋体" w:cs="Times New Roman"/>
                <w:kern w:val="0"/>
                <w:sz w:val="20"/>
                <w:szCs w:val="20"/>
              </w:rPr>
              <w:t>基础，增强项目统筹协调，</w:t>
            </w:r>
            <w:r>
              <w:rPr>
                <w:rFonts w:hint="eastAsia" w:ascii="Times New Roman" w:hAnsi="Times New Roman" w:eastAsia="宋体" w:cs="Times New Roman"/>
                <w:kern w:val="0"/>
                <w:sz w:val="20"/>
                <w:szCs w:val="20"/>
                <w:lang w:val="en-US" w:eastAsia="zh-CN"/>
              </w:rPr>
              <w:t>加快推进提级论证，提高项目实施与</w:t>
            </w:r>
            <w:r>
              <w:rPr>
                <w:rFonts w:ascii="Times New Roman" w:hAnsi="Times New Roman" w:eastAsia="宋体" w:cs="Times New Roman"/>
                <w:kern w:val="0"/>
                <w:sz w:val="20"/>
                <w:szCs w:val="20"/>
              </w:rPr>
              <w:t>资金支出进度。</w:t>
            </w:r>
          </w:p>
        </w:tc>
      </w:tr>
      <w:tr w14:paraId="1DEEB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0D87CA16">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03F3F734">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7597A8B6">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C2B5F7E">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完工率</w:t>
            </w:r>
          </w:p>
        </w:tc>
        <w:tc>
          <w:tcPr>
            <w:tcW w:w="886" w:type="dxa"/>
            <w:noWrap w:val="0"/>
            <w:vAlign w:val="center"/>
          </w:tcPr>
          <w:p w14:paraId="12E53F6A">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≥25%</w:t>
            </w:r>
          </w:p>
        </w:tc>
        <w:tc>
          <w:tcPr>
            <w:tcW w:w="1276" w:type="dxa"/>
            <w:gridSpan w:val="2"/>
            <w:noWrap w:val="0"/>
            <w:vAlign w:val="center"/>
          </w:tcPr>
          <w:p w14:paraId="1F52BF74">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0</w:t>
            </w:r>
          </w:p>
        </w:tc>
        <w:tc>
          <w:tcPr>
            <w:tcW w:w="2232" w:type="dxa"/>
            <w:vMerge w:val="continue"/>
            <w:noWrap w:val="0"/>
            <w:vAlign w:val="center"/>
          </w:tcPr>
          <w:p w14:paraId="19190C81">
            <w:pPr>
              <w:spacing w:line="240" w:lineRule="auto"/>
              <w:ind w:firstLine="0" w:firstLineChars="0"/>
              <w:jc w:val="center"/>
              <w:rPr>
                <w:rFonts w:ascii="Times New Roman" w:hAnsi="Times New Roman" w:eastAsia="宋体" w:cs="Times New Roman"/>
                <w:kern w:val="0"/>
                <w:sz w:val="20"/>
                <w:szCs w:val="20"/>
              </w:rPr>
            </w:pPr>
          </w:p>
        </w:tc>
      </w:tr>
      <w:tr w14:paraId="123A9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0198ECB5">
            <w:pPr>
              <w:spacing w:line="240" w:lineRule="auto"/>
              <w:ind w:firstLine="0" w:firstLineChars="0"/>
              <w:rPr>
                <w:rFonts w:ascii="Times New Roman" w:hAnsi="Times New Roman" w:eastAsia="宋体" w:cs="Times New Roman"/>
                <w:kern w:val="0"/>
                <w:sz w:val="20"/>
                <w:szCs w:val="20"/>
              </w:rPr>
            </w:pPr>
            <w:bookmarkStart w:id="0" w:name="_Hlk102659029"/>
          </w:p>
        </w:tc>
        <w:tc>
          <w:tcPr>
            <w:tcW w:w="709" w:type="dxa"/>
            <w:vMerge w:val="restart"/>
            <w:noWrap w:val="0"/>
            <w:vAlign w:val="center"/>
          </w:tcPr>
          <w:p w14:paraId="6EB8430B">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效益指标</w:t>
            </w:r>
          </w:p>
        </w:tc>
        <w:tc>
          <w:tcPr>
            <w:tcW w:w="1162" w:type="dxa"/>
            <w:gridSpan w:val="2"/>
            <w:vMerge w:val="restart"/>
            <w:noWrap w:val="0"/>
            <w:vAlign w:val="center"/>
          </w:tcPr>
          <w:p w14:paraId="739C7D49">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生态效益指标</w:t>
            </w:r>
          </w:p>
        </w:tc>
        <w:tc>
          <w:tcPr>
            <w:tcW w:w="2495" w:type="dxa"/>
            <w:gridSpan w:val="2"/>
            <w:noWrap w:val="0"/>
            <w:vAlign w:val="center"/>
          </w:tcPr>
          <w:p w14:paraId="06F2C476">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地表水水质优良（达到或优于Ⅲ类）比例</w:t>
            </w:r>
          </w:p>
        </w:tc>
        <w:tc>
          <w:tcPr>
            <w:tcW w:w="886" w:type="dxa"/>
            <w:noWrap w:val="0"/>
            <w:vAlign w:val="center"/>
          </w:tcPr>
          <w:p w14:paraId="47593C1D">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达到国家下达的年度目标值</w:t>
            </w:r>
          </w:p>
        </w:tc>
        <w:tc>
          <w:tcPr>
            <w:tcW w:w="1276" w:type="dxa"/>
            <w:gridSpan w:val="2"/>
            <w:noWrap w:val="0"/>
            <w:vAlign w:val="center"/>
          </w:tcPr>
          <w:p w14:paraId="2CF4EED2">
            <w:pPr>
              <w:spacing w:line="240" w:lineRule="auto"/>
              <w:ind w:firstLine="0" w:firstLineChars="0"/>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lang w:val="en-US" w:eastAsia="zh-CN"/>
              </w:rPr>
              <w:t>98.2</w:t>
            </w:r>
            <w:r>
              <w:rPr>
                <w:rFonts w:ascii="Times New Roman" w:hAnsi="Times New Roman" w:eastAsia="宋体" w:cs="Times New Roman"/>
                <w:kern w:val="0"/>
                <w:sz w:val="20"/>
                <w:szCs w:val="20"/>
              </w:rPr>
              <w:t>%</w:t>
            </w:r>
            <w:r>
              <w:rPr>
                <w:rFonts w:hint="default" w:ascii="Times New Roman" w:hAnsi="Times New Roman" w:eastAsia="宋体" w:cs="Times New Roman"/>
                <w:kern w:val="0"/>
                <w:sz w:val="20"/>
                <w:szCs w:val="20"/>
                <w:lang w:eastAsia="zh-CN"/>
              </w:rPr>
              <w:t>以上，</w:t>
            </w:r>
            <w:r>
              <w:rPr>
                <w:rFonts w:hint="default" w:ascii="Times New Roman" w:hAnsi="Times New Roman" w:eastAsia="宋体" w:cs="Times New Roman"/>
                <w:kern w:val="0"/>
                <w:sz w:val="20"/>
                <w:szCs w:val="20"/>
              </w:rPr>
              <w:t>国家下达的年度目标值为98.2%，</w:t>
            </w:r>
            <w:r>
              <w:rPr>
                <w:rFonts w:hint="eastAsia" w:ascii="Times New Roman" w:hAnsi="Times New Roman" w:eastAsia="宋体" w:cs="Times New Roman"/>
                <w:kern w:val="0"/>
                <w:sz w:val="20"/>
                <w:szCs w:val="20"/>
                <w:lang w:val="en-US" w:eastAsia="zh-CN"/>
              </w:rPr>
              <w:t>目标完成率100%</w:t>
            </w:r>
            <w:r>
              <w:rPr>
                <w:rFonts w:hint="default" w:ascii="Times New Roman" w:hAnsi="Times New Roman" w:eastAsia="宋体" w:cs="Times New Roman"/>
                <w:kern w:val="0"/>
                <w:sz w:val="20"/>
                <w:szCs w:val="20"/>
                <w:lang w:eastAsia="zh-CN"/>
              </w:rPr>
              <w:t>。</w:t>
            </w:r>
          </w:p>
        </w:tc>
        <w:tc>
          <w:tcPr>
            <w:tcW w:w="2232" w:type="dxa"/>
            <w:noWrap w:val="0"/>
            <w:vAlign w:val="center"/>
          </w:tcPr>
          <w:p w14:paraId="7D385F26">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76861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49BED8C7">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1F1CC20B">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343E518F">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638CA4E0">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地表水水质劣V类水体比例</w:t>
            </w:r>
          </w:p>
        </w:tc>
        <w:tc>
          <w:tcPr>
            <w:tcW w:w="886" w:type="dxa"/>
            <w:noWrap w:val="0"/>
            <w:vAlign w:val="center"/>
          </w:tcPr>
          <w:p w14:paraId="16598776">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达到国家下达的年度目标值</w:t>
            </w:r>
          </w:p>
        </w:tc>
        <w:tc>
          <w:tcPr>
            <w:tcW w:w="1276" w:type="dxa"/>
            <w:gridSpan w:val="2"/>
            <w:noWrap w:val="0"/>
            <w:vAlign w:val="center"/>
          </w:tcPr>
          <w:p w14:paraId="7B59588E">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0</w:t>
            </w:r>
            <w:r>
              <w:rPr>
                <w:rFonts w:hint="default" w:ascii="Times New Roman" w:hAnsi="Times New Roman" w:eastAsia="宋体" w:cs="Times New Roman"/>
                <w:kern w:val="0"/>
                <w:sz w:val="20"/>
                <w:szCs w:val="20"/>
                <w:lang w:val="en-US" w:eastAsia="zh-CN"/>
              </w:rPr>
              <w:t>%，</w:t>
            </w:r>
            <w:r>
              <w:rPr>
                <w:rFonts w:hint="default" w:ascii="Times New Roman" w:hAnsi="Times New Roman" w:eastAsia="宋体" w:cs="Times New Roman"/>
                <w:kern w:val="0"/>
                <w:sz w:val="20"/>
                <w:szCs w:val="20"/>
              </w:rPr>
              <w:t>国家下达的年度目标值为</w:t>
            </w:r>
            <w:r>
              <w:rPr>
                <w:rFonts w:hint="default" w:ascii="Times New Roman" w:hAnsi="Times New Roman" w:eastAsia="宋体" w:cs="Times New Roman"/>
                <w:kern w:val="0"/>
                <w:sz w:val="20"/>
                <w:szCs w:val="20"/>
                <w:lang w:val="en-US" w:eastAsia="zh-CN"/>
              </w:rPr>
              <w:t>0</w:t>
            </w:r>
            <w:r>
              <w:rPr>
                <w:rFonts w:hint="default" w:ascii="Times New Roman" w:hAnsi="Times New Roman" w:eastAsia="宋体" w:cs="Times New Roman"/>
                <w:kern w:val="0"/>
                <w:sz w:val="20"/>
                <w:szCs w:val="20"/>
              </w:rPr>
              <w:t>%，</w:t>
            </w:r>
            <w:r>
              <w:rPr>
                <w:rFonts w:hint="eastAsia" w:ascii="Times New Roman" w:hAnsi="Times New Roman" w:eastAsia="宋体" w:cs="Times New Roman"/>
                <w:kern w:val="0"/>
                <w:sz w:val="20"/>
                <w:szCs w:val="20"/>
                <w:lang w:val="en-US" w:eastAsia="zh-CN"/>
              </w:rPr>
              <w:t>目标完成率100%</w:t>
            </w:r>
            <w:r>
              <w:rPr>
                <w:rFonts w:hint="default" w:ascii="Times New Roman" w:hAnsi="Times New Roman" w:eastAsia="宋体" w:cs="Times New Roman"/>
                <w:kern w:val="0"/>
                <w:sz w:val="20"/>
                <w:szCs w:val="20"/>
                <w:lang w:eastAsia="zh-CN"/>
              </w:rPr>
              <w:t>。</w:t>
            </w:r>
          </w:p>
        </w:tc>
        <w:tc>
          <w:tcPr>
            <w:tcW w:w="2232" w:type="dxa"/>
            <w:noWrap w:val="0"/>
            <w:vAlign w:val="center"/>
          </w:tcPr>
          <w:p w14:paraId="2DF82B91">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53330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4" w:type="dxa"/>
            <w:vMerge w:val="continue"/>
            <w:noWrap w:val="0"/>
            <w:vAlign w:val="center"/>
          </w:tcPr>
          <w:p w14:paraId="2236145B">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4E2FF3BD">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30B2CDCB">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41DA3FDD">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县级及以上城市集中式饮用水水源水质达到或优于Ⅲ类比例</w:t>
            </w:r>
          </w:p>
        </w:tc>
        <w:tc>
          <w:tcPr>
            <w:tcW w:w="886" w:type="dxa"/>
            <w:noWrap w:val="0"/>
            <w:vAlign w:val="center"/>
          </w:tcPr>
          <w:p w14:paraId="4A89252E">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达到国家下达的年度目标值</w:t>
            </w:r>
          </w:p>
        </w:tc>
        <w:tc>
          <w:tcPr>
            <w:tcW w:w="1276" w:type="dxa"/>
            <w:gridSpan w:val="2"/>
            <w:noWrap w:val="0"/>
            <w:vAlign w:val="center"/>
          </w:tcPr>
          <w:p w14:paraId="2D7947E2">
            <w:pPr>
              <w:spacing w:line="240" w:lineRule="auto"/>
              <w:ind w:firstLine="0" w:firstLineChars="0"/>
              <w:jc w:val="center"/>
              <w:rPr>
                <w:rFonts w:hint="default" w:ascii="Times New Roman" w:hAnsi="Times New Roman" w:eastAsia="宋体" w:cs="Times New Roman"/>
                <w:kern w:val="0"/>
                <w:sz w:val="20"/>
                <w:szCs w:val="20"/>
                <w:lang w:eastAsia="zh-CN"/>
              </w:rPr>
            </w:pPr>
            <w:r>
              <w:rPr>
                <w:rFonts w:ascii="Times New Roman" w:hAnsi="Times New Roman" w:eastAsia="宋体" w:cs="Times New Roman"/>
                <w:kern w:val="0"/>
                <w:sz w:val="20"/>
                <w:szCs w:val="20"/>
              </w:rPr>
              <w:t>100%</w:t>
            </w:r>
            <w:r>
              <w:rPr>
                <w:rFonts w:hint="default" w:ascii="Times New Roman" w:hAnsi="Times New Roman" w:eastAsia="宋体" w:cs="Times New Roman"/>
                <w:kern w:val="0"/>
                <w:sz w:val="20"/>
                <w:szCs w:val="20"/>
                <w:lang w:eastAsia="zh-CN"/>
              </w:rPr>
              <w:t>，</w:t>
            </w:r>
            <w:r>
              <w:rPr>
                <w:rFonts w:hint="default" w:ascii="Times New Roman" w:hAnsi="Times New Roman" w:eastAsia="宋体" w:cs="Times New Roman"/>
                <w:kern w:val="0"/>
                <w:sz w:val="20"/>
                <w:szCs w:val="20"/>
              </w:rPr>
              <w:t>国家下达的年度目标值为</w:t>
            </w:r>
            <w:r>
              <w:rPr>
                <w:rFonts w:hint="default" w:ascii="Times New Roman" w:hAnsi="Times New Roman" w:eastAsia="宋体" w:cs="Times New Roman"/>
                <w:kern w:val="0"/>
                <w:sz w:val="20"/>
                <w:szCs w:val="20"/>
                <w:lang w:val="en-US" w:eastAsia="zh-CN"/>
              </w:rPr>
              <w:t>100</w:t>
            </w:r>
            <w:r>
              <w:rPr>
                <w:rFonts w:hint="default" w:ascii="Times New Roman" w:hAnsi="Times New Roman" w:eastAsia="宋体" w:cs="Times New Roman"/>
                <w:kern w:val="0"/>
                <w:sz w:val="20"/>
                <w:szCs w:val="20"/>
              </w:rPr>
              <w:t>%，</w:t>
            </w:r>
            <w:r>
              <w:rPr>
                <w:rFonts w:hint="eastAsia" w:ascii="Times New Roman" w:hAnsi="Times New Roman" w:eastAsia="宋体" w:cs="Times New Roman"/>
                <w:kern w:val="0"/>
                <w:sz w:val="20"/>
                <w:szCs w:val="20"/>
                <w:lang w:val="en-US" w:eastAsia="zh-CN"/>
              </w:rPr>
              <w:t>目标完成率100%</w:t>
            </w:r>
            <w:r>
              <w:rPr>
                <w:rFonts w:hint="default" w:ascii="Times New Roman" w:hAnsi="Times New Roman" w:eastAsia="宋体" w:cs="Times New Roman"/>
                <w:kern w:val="0"/>
                <w:sz w:val="20"/>
                <w:szCs w:val="20"/>
                <w:lang w:eastAsia="zh-CN"/>
              </w:rPr>
              <w:t>。</w:t>
            </w:r>
          </w:p>
        </w:tc>
        <w:tc>
          <w:tcPr>
            <w:tcW w:w="2232" w:type="dxa"/>
            <w:noWrap w:val="0"/>
            <w:vAlign w:val="center"/>
          </w:tcPr>
          <w:p w14:paraId="0E72414A">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406C7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 w:type="dxa"/>
            <w:vMerge w:val="continue"/>
            <w:noWrap w:val="0"/>
            <w:vAlign w:val="center"/>
          </w:tcPr>
          <w:p w14:paraId="4C5B9840">
            <w:pPr>
              <w:spacing w:line="240" w:lineRule="auto"/>
              <w:ind w:firstLine="0" w:firstLineChars="0"/>
              <w:rPr>
                <w:rFonts w:ascii="Times New Roman" w:hAnsi="Times New Roman" w:eastAsia="宋体" w:cs="Times New Roman"/>
                <w:kern w:val="0"/>
                <w:sz w:val="20"/>
                <w:szCs w:val="20"/>
              </w:rPr>
            </w:pPr>
          </w:p>
        </w:tc>
        <w:tc>
          <w:tcPr>
            <w:tcW w:w="709" w:type="dxa"/>
            <w:vMerge w:val="continue"/>
            <w:noWrap w:val="0"/>
            <w:vAlign w:val="center"/>
          </w:tcPr>
          <w:p w14:paraId="4B3FC94D">
            <w:pPr>
              <w:spacing w:line="240" w:lineRule="auto"/>
              <w:ind w:firstLine="0" w:firstLineChars="0"/>
              <w:rPr>
                <w:rFonts w:ascii="Times New Roman" w:hAnsi="Times New Roman" w:eastAsia="宋体" w:cs="Times New Roman"/>
                <w:kern w:val="0"/>
                <w:sz w:val="20"/>
                <w:szCs w:val="20"/>
              </w:rPr>
            </w:pPr>
          </w:p>
        </w:tc>
        <w:tc>
          <w:tcPr>
            <w:tcW w:w="1162" w:type="dxa"/>
            <w:gridSpan w:val="2"/>
            <w:vMerge w:val="continue"/>
            <w:noWrap w:val="0"/>
            <w:vAlign w:val="center"/>
          </w:tcPr>
          <w:p w14:paraId="551CF506">
            <w:pPr>
              <w:spacing w:line="240" w:lineRule="auto"/>
              <w:ind w:firstLine="0" w:firstLineChars="0"/>
              <w:rPr>
                <w:rFonts w:ascii="Times New Roman" w:hAnsi="Times New Roman" w:eastAsia="宋体" w:cs="Times New Roman"/>
                <w:kern w:val="0"/>
                <w:sz w:val="20"/>
                <w:szCs w:val="20"/>
              </w:rPr>
            </w:pPr>
          </w:p>
        </w:tc>
        <w:tc>
          <w:tcPr>
            <w:tcW w:w="2495" w:type="dxa"/>
            <w:gridSpan w:val="2"/>
            <w:noWrap w:val="0"/>
            <w:vAlign w:val="center"/>
          </w:tcPr>
          <w:p w14:paraId="6812888B">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地下水环境质量考核目标达标情况</w:t>
            </w:r>
          </w:p>
        </w:tc>
        <w:tc>
          <w:tcPr>
            <w:tcW w:w="886" w:type="dxa"/>
            <w:noWrap w:val="0"/>
            <w:vAlign w:val="center"/>
          </w:tcPr>
          <w:p w14:paraId="2FDFA3DD">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达到国家下达的年度目标值</w:t>
            </w:r>
          </w:p>
        </w:tc>
        <w:tc>
          <w:tcPr>
            <w:tcW w:w="1276" w:type="dxa"/>
            <w:gridSpan w:val="2"/>
            <w:noWrap w:val="0"/>
            <w:vAlign w:val="center"/>
          </w:tcPr>
          <w:p w14:paraId="607AC6AA">
            <w:pPr>
              <w:spacing w:line="240" w:lineRule="auto"/>
              <w:ind w:firstLine="0" w:firstLineChars="0"/>
              <w:jc w:val="center"/>
              <w:rPr>
                <w:rFonts w:ascii="Times New Roman" w:hAnsi="Times New Roman" w:eastAsia="宋体" w:cs="Times New Roman"/>
                <w:kern w:val="0"/>
                <w:sz w:val="20"/>
                <w:szCs w:val="20"/>
              </w:rPr>
            </w:pPr>
            <w:r>
              <w:rPr>
                <w:rFonts w:hint="default" w:ascii="Times New Roman" w:hAnsi="Times New Roman" w:eastAsia="宋体" w:cs="Times New Roman"/>
                <w:kern w:val="0"/>
                <w:sz w:val="20"/>
                <w:szCs w:val="20"/>
              </w:rPr>
              <w:t>国考区域点位V类水比例小于36%，双源点位水质总体保持稳定</w:t>
            </w:r>
            <w:r>
              <w:rPr>
                <w:rFonts w:hint="default" w:ascii="Times New Roman" w:hAnsi="Times New Roman" w:eastAsia="宋体" w:cs="Times New Roman"/>
                <w:kern w:val="0"/>
                <w:sz w:val="20"/>
                <w:szCs w:val="20"/>
                <w:lang w:eastAsia="zh-CN"/>
              </w:rPr>
              <w:t>，</w:t>
            </w:r>
            <w:r>
              <w:rPr>
                <w:rFonts w:hint="eastAsia" w:ascii="Times New Roman" w:hAnsi="Times New Roman" w:eastAsia="宋体" w:cs="Times New Roman"/>
                <w:kern w:val="0"/>
                <w:sz w:val="20"/>
                <w:szCs w:val="20"/>
                <w:lang w:val="en-US" w:eastAsia="zh-CN"/>
              </w:rPr>
              <w:t>目标完成率100%</w:t>
            </w:r>
            <w:r>
              <w:rPr>
                <w:rFonts w:hint="eastAsia" w:ascii="Times New Roman" w:hAnsi="Times New Roman" w:eastAsia="宋体" w:cs="Times New Roman"/>
                <w:kern w:val="0"/>
                <w:sz w:val="20"/>
                <w:szCs w:val="20"/>
                <w:lang w:eastAsia="zh-CN"/>
              </w:rPr>
              <w:t>。</w:t>
            </w:r>
          </w:p>
        </w:tc>
        <w:tc>
          <w:tcPr>
            <w:tcW w:w="2232" w:type="dxa"/>
            <w:noWrap w:val="0"/>
            <w:vAlign w:val="center"/>
          </w:tcPr>
          <w:p w14:paraId="6BE5CADB">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bookmarkEnd w:id="0"/>
      <w:tr w14:paraId="72A0A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724" w:type="dxa"/>
            <w:vMerge w:val="continue"/>
            <w:noWrap w:val="0"/>
            <w:vAlign w:val="center"/>
          </w:tcPr>
          <w:p w14:paraId="05BA260B">
            <w:pPr>
              <w:spacing w:line="240" w:lineRule="auto"/>
              <w:ind w:firstLine="0" w:firstLineChars="0"/>
              <w:rPr>
                <w:rFonts w:ascii="Times New Roman" w:hAnsi="Times New Roman" w:eastAsia="宋体" w:cs="Times New Roman"/>
                <w:kern w:val="0"/>
                <w:sz w:val="20"/>
                <w:szCs w:val="20"/>
              </w:rPr>
            </w:pPr>
          </w:p>
        </w:tc>
        <w:tc>
          <w:tcPr>
            <w:tcW w:w="709" w:type="dxa"/>
            <w:noWrap w:val="0"/>
            <w:vAlign w:val="center"/>
          </w:tcPr>
          <w:p w14:paraId="66E86804">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满意度指标</w:t>
            </w:r>
          </w:p>
        </w:tc>
        <w:tc>
          <w:tcPr>
            <w:tcW w:w="1162" w:type="dxa"/>
            <w:gridSpan w:val="2"/>
            <w:noWrap w:val="0"/>
            <w:vAlign w:val="center"/>
          </w:tcPr>
          <w:p w14:paraId="20769941">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服务对象满意度指标</w:t>
            </w:r>
          </w:p>
        </w:tc>
        <w:tc>
          <w:tcPr>
            <w:tcW w:w="2495" w:type="dxa"/>
            <w:gridSpan w:val="2"/>
            <w:noWrap w:val="0"/>
            <w:vAlign w:val="center"/>
          </w:tcPr>
          <w:p w14:paraId="58017976">
            <w:pPr>
              <w:spacing w:line="240" w:lineRule="auto"/>
              <w:ind w:firstLine="0" w:firstLineChars="0"/>
              <w:rPr>
                <w:rFonts w:ascii="Times New Roman" w:hAnsi="Times New Roman" w:eastAsia="宋体" w:cs="Times New Roman"/>
                <w:kern w:val="0"/>
                <w:sz w:val="20"/>
                <w:szCs w:val="20"/>
              </w:rPr>
            </w:pPr>
            <w:r>
              <w:rPr>
                <w:rFonts w:ascii="Times New Roman" w:hAnsi="Times New Roman" w:eastAsia="宋体" w:cs="Times New Roman"/>
                <w:kern w:val="0"/>
                <w:sz w:val="20"/>
                <w:szCs w:val="20"/>
              </w:rPr>
              <w:t>群众满意度</w:t>
            </w:r>
          </w:p>
        </w:tc>
        <w:tc>
          <w:tcPr>
            <w:tcW w:w="886" w:type="dxa"/>
            <w:noWrap w:val="0"/>
            <w:vAlign w:val="center"/>
          </w:tcPr>
          <w:p w14:paraId="3ED01C43">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≥90%</w:t>
            </w:r>
          </w:p>
        </w:tc>
        <w:tc>
          <w:tcPr>
            <w:tcW w:w="1276" w:type="dxa"/>
            <w:gridSpan w:val="2"/>
            <w:noWrap w:val="0"/>
            <w:vAlign w:val="center"/>
          </w:tcPr>
          <w:p w14:paraId="0DF9DA89">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90%</w:t>
            </w:r>
          </w:p>
        </w:tc>
        <w:tc>
          <w:tcPr>
            <w:tcW w:w="2232" w:type="dxa"/>
            <w:noWrap w:val="0"/>
            <w:vAlign w:val="center"/>
          </w:tcPr>
          <w:p w14:paraId="4642316E">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2F7F7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24" w:type="dxa"/>
            <w:noWrap w:val="0"/>
            <w:vAlign w:val="center"/>
          </w:tcPr>
          <w:p w14:paraId="1081C009">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说明</w:t>
            </w:r>
          </w:p>
        </w:tc>
        <w:tc>
          <w:tcPr>
            <w:tcW w:w="8760" w:type="dxa"/>
            <w:gridSpan w:val="9"/>
            <w:noWrap w:val="0"/>
            <w:vAlign w:val="center"/>
          </w:tcPr>
          <w:p w14:paraId="18DCDDFA">
            <w:pPr>
              <w:spacing w:line="240" w:lineRule="auto"/>
              <w:ind w:firstLine="0" w:firstLineChars="0"/>
              <w:jc w:val="center"/>
              <w:rPr>
                <w:rFonts w:ascii="Times New Roman" w:hAnsi="Times New Roman" w:eastAsia="宋体" w:cs="Times New Roman"/>
                <w:kern w:val="0"/>
                <w:sz w:val="20"/>
                <w:szCs w:val="20"/>
              </w:rPr>
            </w:pPr>
            <w:r>
              <w:rPr>
                <w:rFonts w:ascii="Times New Roman" w:hAnsi="Times New Roman" w:eastAsia="宋体" w:cs="Times New Roman"/>
                <w:kern w:val="0"/>
                <w:sz w:val="20"/>
                <w:szCs w:val="20"/>
              </w:rPr>
              <w:t>无</w:t>
            </w:r>
          </w:p>
        </w:tc>
      </w:tr>
      <w:tr w14:paraId="48075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4" w:type="dxa"/>
            <w:gridSpan w:val="10"/>
            <w:noWrap w:val="0"/>
            <w:vAlign w:val="center"/>
          </w:tcPr>
          <w:p w14:paraId="21EE46F0">
            <w:pPr>
              <w:spacing w:line="240" w:lineRule="auto"/>
              <w:ind w:firstLine="0" w:firstLineChars="0"/>
              <w:rPr>
                <w:rFonts w:ascii="Times New Roman" w:hAnsi="Times New Roman" w:eastAsia="宋体" w:cs="Times New Roman"/>
                <w:kern w:val="0"/>
                <w:sz w:val="18"/>
                <w:szCs w:val="18"/>
              </w:rPr>
            </w:pPr>
            <w:r>
              <w:rPr>
                <w:rFonts w:ascii="Times New Roman" w:hAnsi="Times New Roman" w:eastAsia="宋体" w:cs="Times New Roman"/>
                <w:kern w:val="0"/>
                <w:sz w:val="18"/>
                <w:szCs w:val="18"/>
              </w:rPr>
              <w:t>注：1.资金使用单位按项目绩效目标填报，主管部门汇总时按区域绩效目标填报。</w:t>
            </w:r>
          </w:p>
          <w:p w14:paraId="3A63C5D3">
            <w:pPr>
              <w:spacing w:line="240" w:lineRule="auto"/>
              <w:ind w:firstLine="360" w:firstLineChars="200"/>
              <w:rPr>
                <w:rFonts w:ascii="Times New Roman" w:hAnsi="Times New Roman" w:eastAsia="宋体" w:cs="Times New Roman"/>
                <w:kern w:val="0"/>
                <w:sz w:val="18"/>
                <w:szCs w:val="18"/>
              </w:rPr>
            </w:pPr>
            <w:r>
              <w:rPr>
                <w:rFonts w:ascii="Times New Roman" w:hAnsi="Times New Roman" w:eastAsia="宋体" w:cs="Times New Roman"/>
                <w:kern w:val="0"/>
                <w:sz w:val="18"/>
                <w:szCs w:val="18"/>
              </w:rPr>
              <w:t>2.其他资金包括与中央财政资金、地方财政资金共同投入到同一项目的自有资金、社会资金，以及以前年度的结转结余资金等。</w:t>
            </w:r>
          </w:p>
          <w:p w14:paraId="0FFFAD74">
            <w:pPr>
              <w:autoSpaceDE w:val="0"/>
              <w:autoSpaceDN w:val="0"/>
              <w:adjustRightInd w:val="0"/>
              <w:spacing w:line="240" w:lineRule="auto"/>
              <w:ind w:firstLine="360" w:firstLineChars="200"/>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3.全年执行数是指按照国库集中支付制度要求，支付到商品和劳务供应者或用款单位形成的实际支出。</w:t>
            </w:r>
          </w:p>
          <w:p w14:paraId="1A7D263A">
            <w:pPr>
              <w:spacing w:line="240" w:lineRule="auto"/>
              <w:ind w:firstLine="384" w:firstLineChars="0"/>
              <w:rPr>
                <w:rFonts w:ascii="Times New Roman" w:hAnsi="Times New Roman" w:eastAsia="宋体" w:cs="Times New Roman"/>
                <w:kern w:val="0"/>
                <w:sz w:val="18"/>
                <w:szCs w:val="18"/>
              </w:rPr>
            </w:pPr>
            <w:r>
              <w:rPr>
                <w:rFonts w:ascii="Times New Roman" w:hAnsi="Times New Roman" w:eastAsia="宋体" w:cs="Times New Roman"/>
                <w:kern w:val="0"/>
                <w:sz w:val="18"/>
                <w:szCs w:val="18"/>
              </w:rPr>
              <w:t>4.定量指标。地方各级主管部门对资金使用单位填写的实际完成值汇总时，绝对值直接累加计算，相对值按照资金额度加权平均计算。</w:t>
            </w:r>
          </w:p>
        </w:tc>
      </w:tr>
    </w:tbl>
    <w:p w14:paraId="0E64E245"/>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73EA7BFF-F33E-420B-B432-E010BB7F7AD7}"/>
  </w:font>
  <w:font w:name="仿宋">
    <w:panose1 w:val="02010609060101010101"/>
    <w:charset w:val="86"/>
    <w:family w:val="modern"/>
    <w:pitch w:val="default"/>
    <w:sig w:usb0="800002BF" w:usb1="38CF7CFA" w:usb2="00000016" w:usb3="00000000" w:csb0="00040001" w:csb1="00000000"/>
    <w:embedRegular r:id="rId2" w:fontKey="{9208DA7C-FB0A-4050-AB25-95DD5F9A3081}"/>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script"/>
    <w:pitch w:val="default"/>
    <w:sig w:usb0="A00002BF" w:usb1="38CF7CFA" w:usb2="00082016" w:usb3="00000000" w:csb0="00040001" w:csb1="00000000"/>
    <w:embedRegular r:id="rId3" w:fontKey="{9E4D9AAC-39C7-4F94-B3FF-0875D48F8005}"/>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8A384">
    <w:pPr>
      <w:widowControl w:val="0"/>
      <w:snapToGrid w:val="0"/>
      <w:spacing w:line="600" w:lineRule="exact"/>
      <w:ind w:right="280" w:firstLine="560" w:firstLineChars="200"/>
      <w:jc w:val="right"/>
      <w:rPr>
        <w:rFonts w:hint="eastAsia" w:ascii="仿宋_GB2312" w:hAnsi="仿宋_GB2312" w:eastAsia="仿宋_GB2312" w:cs="仿宋_GB2312"/>
        <w:kern w:val="2"/>
        <w:sz w:val="28"/>
        <w:szCs w:val="18"/>
        <w:lang w:val="en-US" w:eastAsia="zh-CN" w:bidi="ar-SA"/>
      </w:rPr>
    </w:pPr>
    <w:r>
      <w:rPr>
        <w:rFonts w:ascii="Times New Roman" w:hAnsi="Times New Roman" w:eastAsia="仿宋" w:cs="Times New Roman"/>
        <w:kern w:val="2"/>
        <w:sz w:val="2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678829">
                          <w:pPr>
                            <w:widowControl w:val="0"/>
                            <w:snapToGrid w:val="0"/>
                            <w:spacing w:line="600" w:lineRule="exact"/>
                            <w:ind w:firstLine="560" w:firstLineChars="200"/>
                            <w:jc w:val="left"/>
                            <w:rPr>
                              <w:rFonts w:ascii="Times New Roman" w:hAnsi="Times New Roman" w:eastAsia="仿宋" w:cs="Times New Roman"/>
                              <w:kern w:val="2"/>
                              <w:sz w:val="28"/>
                              <w:szCs w:val="28"/>
                              <w:lang w:val="en-US" w:eastAsia="zh-CN" w:bidi="ar-SA"/>
                            </w:rPr>
                          </w:pPr>
                          <w:r>
                            <w:rPr>
                              <w:rFonts w:ascii="Times New Roman" w:hAnsi="Times New Roman" w:eastAsia="仿宋" w:cs="Times New Roman"/>
                              <w:kern w:val="2"/>
                              <w:sz w:val="28"/>
                              <w:szCs w:val="28"/>
                              <w:lang w:val="en-US" w:eastAsia="zh-CN" w:bidi="ar-SA"/>
                            </w:rPr>
                            <w:t xml:space="preserve">— </w:t>
                          </w:r>
                          <w:r>
                            <w:rPr>
                              <w:rFonts w:ascii="Times New Roman" w:hAnsi="Times New Roman" w:eastAsia="仿宋" w:cs="Times New Roman"/>
                              <w:kern w:val="2"/>
                              <w:sz w:val="28"/>
                              <w:szCs w:val="28"/>
                              <w:lang w:val="en-US" w:eastAsia="zh-CN" w:bidi="ar-SA"/>
                            </w:rPr>
                            <w:fldChar w:fldCharType="begin"/>
                          </w:r>
                          <w:r>
                            <w:rPr>
                              <w:rFonts w:ascii="Times New Roman" w:hAnsi="Times New Roman" w:eastAsia="仿宋" w:cs="Times New Roman"/>
                              <w:kern w:val="2"/>
                              <w:sz w:val="28"/>
                              <w:szCs w:val="28"/>
                              <w:lang w:val="en-US" w:eastAsia="zh-CN" w:bidi="ar-SA"/>
                            </w:rPr>
                            <w:instrText xml:space="preserve"> PAGE  \* MERGEFORMAT </w:instrText>
                          </w:r>
                          <w:r>
                            <w:rPr>
                              <w:rFonts w:ascii="Times New Roman" w:hAnsi="Times New Roman" w:eastAsia="仿宋" w:cs="Times New Roman"/>
                              <w:kern w:val="2"/>
                              <w:sz w:val="28"/>
                              <w:szCs w:val="28"/>
                              <w:lang w:val="en-US" w:eastAsia="zh-CN" w:bidi="ar-SA"/>
                            </w:rPr>
                            <w:fldChar w:fldCharType="separate"/>
                          </w:r>
                          <w:r>
                            <w:rPr>
                              <w:rFonts w:ascii="Times New Roman" w:hAnsi="Times New Roman" w:eastAsia="仿宋" w:cs="Times New Roman"/>
                              <w:kern w:val="2"/>
                              <w:sz w:val="28"/>
                              <w:szCs w:val="28"/>
                              <w:lang w:val="en-US" w:eastAsia="zh-CN" w:bidi="ar-SA"/>
                            </w:rPr>
                            <w:t>1</w:t>
                          </w:r>
                          <w:r>
                            <w:rPr>
                              <w:rFonts w:ascii="Times New Roman" w:hAnsi="Times New Roman" w:eastAsia="仿宋" w:cs="Times New Roman"/>
                              <w:kern w:val="2"/>
                              <w:sz w:val="28"/>
                              <w:szCs w:val="28"/>
                              <w:lang w:val="en-US" w:eastAsia="zh-CN" w:bidi="ar-SA"/>
                            </w:rPr>
                            <w:fldChar w:fldCharType="end"/>
                          </w:r>
                          <w:r>
                            <w:rPr>
                              <w:rFonts w:ascii="Times New Roman" w:hAnsi="Times New Roman" w:eastAsia="仿宋" w:cs="Times New Roman"/>
                              <w:kern w:val="2"/>
                              <w:sz w:val="28"/>
                              <w:szCs w:val="28"/>
                              <w:lang w:val="en-US" w:eastAsia="zh-CN" w:bidi="ar-S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46678829">
                    <w:pPr>
                      <w:widowControl w:val="0"/>
                      <w:snapToGrid w:val="0"/>
                      <w:spacing w:line="600" w:lineRule="exact"/>
                      <w:ind w:firstLine="560" w:firstLineChars="200"/>
                      <w:jc w:val="left"/>
                      <w:rPr>
                        <w:rFonts w:ascii="Times New Roman" w:hAnsi="Times New Roman" w:eastAsia="仿宋" w:cs="Times New Roman"/>
                        <w:kern w:val="2"/>
                        <w:sz w:val="28"/>
                        <w:szCs w:val="28"/>
                        <w:lang w:val="en-US" w:eastAsia="zh-CN" w:bidi="ar-SA"/>
                      </w:rPr>
                    </w:pPr>
                    <w:r>
                      <w:rPr>
                        <w:rFonts w:ascii="Times New Roman" w:hAnsi="Times New Roman" w:eastAsia="仿宋" w:cs="Times New Roman"/>
                        <w:kern w:val="2"/>
                        <w:sz w:val="28"/>
                        <w:szCs w:val="28"/>
                        <w:lang w:val="en-US" w:eastAsia="zh-CN" w:bidi="ar-SA"/>
                      </w:rPr>
                      <w:t xml:space="preserve">— </w:t>
                    </w:r>
                    <w:r>
                      <w:rPr>
                        <w:rFonts w:ascii="Times New Roman" w:hAnsi="Times New Roman" w:eastAsia="仿宋" w:cs="Times New Roman"/>
                        <w:kern w:val="2"/>
                        <w:sz w:val="28"/>
                        <w:szCs w:val="28"/>
                        <w:lang w:val="en-US" w:eastAsia="zh-CN" w:bidi="ar-SA"/>
                      </w:rPr>
                      <w:fldChar w:fldCharType="begin"/>
                    </w:r>
                    <w:r>
                      <w:rPr>
                        <w:rFonts w:ascii="Times New Roman" w:hAnsi="Times New Roman" w:eastAsia="仿宋" w:cs="Times New Roman"/>
                        <w:kern w:val="2"/>
                        <w:sz w:val="28"/>
                        <w:szCs w:val="28"/>
                        <w:lang w:val="en-US" w:eastAsia="zh-CN" w:bidi="ar-SA"/>
                      </w:rPr>
                      <w:instrText xml:space="preserve"> PAGE  \* MERGEFORMAT </w:instrText>
                    </w:r>
                    <w:r>
                      <w:rPr>
                        <w:rFonts w:ascii="Times New Roman" w:hAnsi="Times New Roman" w:eastAsia="仿宋" w:cs="Times New Roman"/>
                        <w:kern w:val="2"/>
                        <w:sz w:val="28"/>
                        <w:szCs w:val="28"/>
                        <w:lang w:val="en-US" w:eastAsia="zh-CN" w:bidi="ar-SA"/>
                      </w:rPr>
                      <w:fldChar w:fldCharType="separate"/>
                    </w:r>
                    <w:r>
                      <w:rPr>
                        <w:rFonts w:ascii="Times New Roman" w:hAnsi="Times New Roman" w:eastAsia="仿宋" w:cs="Times New Roman"/>
                        <w:kern w:val="2"/>
                        <w:sz w:val="28"/>
                        <w:szCs w:val="28"/>
                        <w:lang w:val="en-US" w:eastAsia="zh-CN" w:bidi="ar-SA"/>
                      </w:rPr>
                      <w:t>1</w:t>
                    </w:r>
                    <w:r>
                      <w:rPr>
                        <w:rFonts w:ascii="Times New Roman" w:hAnsi="Times New Roman" w:eastAsia="仿宋" w:cs="Times New Roman"/>
                        <w:kern w:val="2"/>
                        <w:sz w:val="28"/>
                        <w:szCs w:val="28"/>
                        <w:lang w:val="en-US" w:eastAsia="zh-CN" w:bidi="ar-SA"/>
                      </w:rPr>
                      <w:fldChar w:fldCharType="end"/>
                    </w:r>
                    <w:r>
                      <w:rPr>
                        <w:rFonts w:ascii="Times New Roman" w:hAnsi="Times New Roman" w:eastAsia="仿宋" w:cs="Times New Roman"/>
                        <w:kern w:val="2"/>
                        <w:sz w:val="28"/>
                        <w:szCs w:val="28"/>
                        <w:lang w:val="en-US" w:eastAsia="zh-CN" w:bidi="ar-SA"/>
                      </w:rPr>
                      <w:t xml:space="preserve"> —</w:t>
                    </w:r>
                  </w:p>
                </w:txbxContent>
              </v:textbox>
            </v:shape>
          </w:pict>
        </mc:Fallback>
      </mc:AlternateContent>
    </w:r>
    <w:r>
      <w:rPr>
        <w:rFonts w:ascii="Times New Roman" w:hAnsi="Times New Roman" w:eastAsia="仿宋" w:cs="Times New Roman"/>
        <w:kern w:val="2"/>
        <w:sz w:val="2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D57F6C2">
                          <w:pPr>
                            <w:widowControl w:val="0"/>
                            <w:snapToGrid w:val="0"/>
                            <w:spacing w:line="600" w:lineRule="exact"/>
                            <w:ind w:firstLine="360" w:firstLineChars="200"/>
                            <w:jc w:val="left"/>
                            <w:rPr>
                              <w:rFonts w:hint="eastAsia" w:ascii="Times New Roman" w:hAnsi="Times New Roman" w:eastAsia="仿宋" w:cs="Times New Roman"/>
                              <w:kern w:val="2"/>
                              <w:sz w:val="18"/>
                              <w:szCs w:val="18"/>
                              <w:lang w:val="en-US" w:eastAsia="zh-CN" w:bidi="ar-S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path/>
              <v:fill on="f" focussize="0,0"/>
              <v:stroke on="f"/>
              <v:imagedata o:title=""/>
              <o:lock v:ext="edit" aspectratio="f"/>
              <v:textbox inset="0mm,0mm,0mm,0mm" style="mso-fit-shape-to-text:t;">
                <w:txbxContent>
                  <w:p w14:paraId="3D57F6C2">
                    <w:pPr>
                      <w:widowControl w:val="0"/>
                      <w:snapToGrid w:val="0"/>
                      <w:spacing w:line="600" w:lineRule="exact"/>
                      <w:ind w:firstLine="360" w:firstLineChars="200"/>
                      <w:jc w:val="left"/>
                      <w:rPr>
                        <w:rFonts w:hint="eastAsia" w:ascii="Times New Roman" w:hAnsi="Times New Roman" w:eastAsia="仿宋" w:cs="Times New Roman"/>
                        <w:kern w:val="2"/>
                        <w:sz w:val="18"/>
                        <w:szCs w:val="18"/>
                        <w:lang w:val="en-US" w:eastAsia="zh-CN" w:bidi="ar-SA"/>
                      </w:rPr>
                    </w:pPr>
                  </w:p>
                </w:txbxContent>
              </v:textbox>
            </v:shape>
          </w:pict>
        </mc:Fallback>
      </mc:AlternateContent>
    </w:r>
    <w:r>
      <w:rPr>
        <w:rFonts w:ascii="Times New Roman" w:hAnsi="Times New Roman" w:eastAsia="仿宋" w:cs="Times New Roman"/>
        <w:kern w:val="2"/>
        <w:sz w:val="2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1685253">
                          <w:pPr>
                            <w:snapToGrid w:val="0"/>
                            <w:spacing w:line="600" w:lineRule="exact"/>
                            <w:ind w:firstLine="360" w:firstLineChars="200"/>
                            <w:rPr>
                              <w:rFonts w:hint="eastAsia" w:ascii="Times New Roman" w:hAnsi="Times New Roman" w:eastAsia="仿宋" w:cs="Times New Roman"/>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path/>
              <v:fill on="f" focussize="0,0"/>
              <v:stroke on="f"/>
              <v:imagedata o:title=""/>
              <o:lock v:ext="edit" aspectratio="f"/>
              <v:textbox inset="0mm,0mm,0mm,0mm" style="mso-fit-shape-to-text:t;">
                <w:txbxContent>
                  <w:p w14:paraId="21685253">
                    <w:pPr>
                      <w:snapToGrid w:val="0"/>
                      <w:spacing w:line="600" w:lineRule="exact"/>
                      <w:ind w:firstLine="360" w:firstLineChars="200"/>
                      <w:rPr>
                        <w:rFonts w:hint="eastAsia" w:ascii="Times New Roman" w:hAnsi="Times New Roman" w:eastAsia="仿宋" w:cs="Times New Roman"/>
                        <w:sz w:val="18"/>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46909">
    <w:pPr>
      <w:widowControl w:val="0"/>
      <w:pBdr>
        <w:bottom w:val="none" w:color="auto" w:sz="0" w:space="1"/>
      </w:pBdr>
      <w:snapToGrid w:val="0"/>
      <w:spacing w:line="600" w:lineRule="exact"/>
      <w:ind w:firstLine="360" w:firstLineChars="200"/>
      <w:jc w:val="center"/>
      <w:rPr>
        <w:rFonts w:ascii="Times New Roman" w:hAnsi="Times New Roman" w:eastAsia="仿宋" w:cs="Times New Roman"/>
        <w:kern w:val="2"/>
        <w:sz w:val="18"/>
        <w:szCs w:val="18"/>
        <w:lang w:val="en-US" w:eastAsia="zh-CN" w:bidi="ar-S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287EB4"/>
    <w:rsid w:val="60287E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next w:val="1"/>
    <w:uiPriority w:val="0"/>
    <w:pPr>
      <w:tabs>
        <w:tab w:val="center" w:pos="4153"/>
        <w:tab w:val="right" w:pos="8306"/>
      </w:tabs>
      <w:snapToGrid w:val="0"/>
      <w:jc w:val="left"/>
    </w:pPr>
    <w:rPr>
      <w:sz w:val="18"/>
      <w:szCs w:val="18"/>
    </w:rPr>
  </w:style>
  <w:style w:type="paragraph" w:styleId="3">
    <w:name w:val="Normal Indent"/>
    <w:next w:val="1"/>
    <w:unhideWhenUsed/>
    <w:qFormat/>
    <w:uiPriority w:val="0"/>
    <w:pPr>
      <w:widowControl w:val="0"/>
      <w:spacing w:line="600" w:lineRule="exact"/>
      <w:ind w:firstLine="420" w:firstLineChars="200"/>
      <w:jc w:val="both"/>
    </w:pPr>
    <w:rPr>
      <w:rFonts w:ascii="Times New Roman" w:hAnsi="Times New Roman" w:eastAsia="仿宋"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2025-04-17T08:18:00Z</dcterms:created>
  <dc:creator>叶子～</dc:creator>
  <cp:lastModifiedBy>叶子～</cp:lastModifiedBy>
  <dcterms:modified xsi:type="dcterms:W3CDTF">2025-04-17T08:19:14Z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3AFCC34A08C749A89212DFA001AD880D_11</vt:lpwstr>
  </property>
  <property fmtid="{D5CDD505-2E9C-101B-9397-08002B2CF9AE}" pid="4" name="KSOTemplateDocerSaveRecord">
    <vt:lpwstr>eyJoZGlkIjoiZTc1MTBlMjQ4YjgzZDhlZjk5NTcwMjkzNGNmNjk3ZTAiLCJ1c2VySWQiOiI1Mjc0MDc3ODYifQ==</vt:lpwstr>
  </property>
</Properties>
</file>