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18F7647">
      <w:pPr>
        <w:pStyle w:val="7"/>
      </w:pPr>
      <w:r>
        <w:rPr>
          <w:rFonts w:ascii="Times New Roman" w:hAnsi="Times New Roman" w:eastAsia="黑体" w:cs="Times New Roman"/>
          <w:color w:val="auto"/>
          <w:kern w:val="0"/>
          <w:sz w:val="32"/>
          <w:szCs w:val="32"/>
          <w:lang w:bidi="ar"/>
        </w:rPr>
        <w:t>附件</w:t>
      </w:r>
      <w:bookmarkStart w:id="1" w:name="_GoBack"/>
      <w:bookmarkEnd w:id="1"/>
    </w:p>
    <w:tbl>
      <w:tblPr>
        <w:tblStyle w:val="5"/>
        <w:tblW w:w="0" w:type="auto"/>
        <w:jc w:val="center"/>
        <w:tblLayout w:type="fixed"/>
        <w:tblCellMar>
          <w:top w:w="0" w:type="dxa"/>
          <w:left w:w="108" w:type="dxa"/>
          <w:bottom w:w="0" w:type="dxa"/>
          <w:right w:w="108" w:type="dxa"/>
        </w:tblCellMar>
      </w:tblPr>
      <w:tblGrid>
        <w:gridCol w:w="416"/>
        <w:gridCol w:w="663"/>
        <w:gridCol w:w="785"/>
        <w:gridCol w:w="699"/>
        <w:gridCol w:w="1066"/>
        <w:gridCol w:w="1082"/>
        <w:gridCol w:w="794"/>
        <w:gridCol w:w="444"/>
        <w:gridCol w:w="3807"/>
      </w:tblGrid>
      <w:tr w14:paraId="095E75DD">
        <w:tblPrEx>
          <w:tblCellMar>
            <w:top w:w="0" w:type="dxa"/>
            <w:left w:w="108" w:type="dxa"/>
            <w:bottom w:w="0" w:type="dxa"/>
            <w:right w:w="108" w:type="dxa"/>
          </w:tblCellMar>
        </w:tblPrEx>
        <w:trPr>
          <w:trHeight w:val="646" w:hRule="atLeast"/>
          <w:jc w:val="center"/>
        </w:trPr>
        <w:tc>
          <w:tcPr>
            <w:tcW w:w="9756" w:type="dxa"/>
            <w:gridSpan w:val="9"/>
            <w:tcBorders>
              <w:top w:val="nil"/>
              <w:left w:val="nil"/>
              <w:bottom w:val="nil"/>
              <w:right w:val="nil"/>
            </w:tcBorders>
            <w:noWrap w:val="0"/>
            <w:vAlign w:val="center"/>
          </w:tcPr>
          <w:p w14:paraId="07E223FE">
            <w:pPr>
              <w:keepNext w:val="0"/>
              <w:keepLines w:val="0"/>
              <w:pageBreakBefore w:val="0"/>
              <w:widowControl/>
              <w:kinsoku/>
              <w:wordWrap/>
              <w:overflowPunct/>
              <w:topLinePunct w:val="0"/>
              <w:autoSpaceDE/>
              <w:autoSpaceDN/>
              <w:bidi w:val="0"/>
              <w:adjustRightInd/>
              <w:snapToGrid/>
              <w:spacing w:line="480" w:lineRule="exact"/>
              <w:jc w:val="center"/>
              <w:textAlignment w:val="center"/>
              <w:rPr>
                <w:rFonts w:hint="eastAsia" w:ascii="方正小标宋简体" w:hAnsi="方正小标宋简体" w:eastAsia="方正小标宋简体" w:cs="方正小标宋简体"/>
                <w:sz w:val="28"/>
                <w:szCs w:val="36"/>
              </w:rPr>
            </w:pPr>
            <w:r>
              <w:rPr>
                <w:rFonts w:hint="eastAsia" w:ascii="方正小标宋简体" w:hAnsi="方正小标宋简体" w:eastAsia="方正小标宋简体" w:cs="方正小标宋简体"/>
                <w:bCs w:val="0"/>
                <w:kern w:val="2"/>
                <w:sz w:val="28"/>
                <w:szCs w:val="36"/>
                <w:lang w:bidi="ar"/>
              </w:rPr>
              <w:t>广西壮族自治区</w:t>
            </w:r>
            <w:r>
              <w:rPr>
                <w:rFonts w:hint="eastAsia" w:ascii="方正小标宋简体" w:hAnsi="方正小标宋简体" w:eastAsia="方正小标宋简体" w:cs="方正小标宋简体"/>
                <w:bCs w:val="0"/>
                <w:kern w:val="2"/>
                <w:sz w:val="28"/>
                <w:szCs w:val="36"/>
                <w:lang w:eastAsia="zh-CN" w:bidi="ar"/>
              </w:rPr>
              <w:t>中央</w:t>
            </w:r>
            <w:r>
              <w:rPr>
                <w:rFonts w:hint="eastAsia" w:ascii="方正小标宋简体" w:hAnsi="方正小标宋简体" w:eastAsia="方正小标宋简体" w:cs="方正小标宋简体"/>
                <w:bCs w:val="0"/>
                <w:kern w:val="2"/>
                <w:sz w:val="28"/>
                <w:szCs w:val="36"/>
                <w:lang w:bidi="ar"/>
              </w:rPr>
              <w:t>土壤污染防治资金转移支付区域绩效目标自评表</w:t>
            </w:r>
          </w:p>
          <w:p w14:paraId="00721FC0">
            <w:pPr>
              <w:pStyle w:val="7"/>
              <w:jc w:val="center"/>
              <w:rPr>
                <w:rFonts w:hint="eastAsia" w:eastAsia="新宋体′...."/>
                <w:lang w:eastAsia="zh-CN"/>
              </w:rPr>
            </w:pPr>
            <w:r>
              <w:rPr>
                <w:rFonts w:hint="eastAsia" w:ascii="楷体_GB2312" w:hAnsi="楷体_GB2312" w:eastAsia="楷体_GB2312" w:cs="楷体_GB2312"/>
                <w:lang w:eastAsia="zh-CN"/>
              </w:rPr>
              <w:t>（</w:t>
            </w:r>
            <w:r>
              <w:rPr>
                <w:rFonts w:hint="eastAsia" w:ascii="楷体_GB2312" w:hAnsi="楷体_GB2312" w:eastAsia="楷体_GB2312" w:cs="楷体_GB2312"/>
                <w:lang w:val="en-US" w:eastAsia="zh-CN"/>
              </w:rPr>
              <w:t>2024年度</w:t>
            </w:r>
            <w:r>
              <w:rPr>
                <w:rFonts w:hint="eastAsia" w:ascii="楷体_GB2312" w:hAnsi="楷体_GB2312" w:eastAsia="楷体_GB2312" w:cs="楷体_GB2312"/>
                <w:lang w:eastAsia="zh-CN"/>
              </w:rPr>
              <w:t>）</w:t>
            </w:r>
          </w:p>
        </w:tc>
      </w:tr>
      <w:tr w14:paraId="488057CF">
        <w:tblPrEx>
          <w:tblCellMar>
            <w:top w:w="0" w:type="dxa"/>
            <w:left w:w="108" w:type="dxa"/>
            <w:bottom w:w="0" w:type="dxa"/>
            <w:right w:w="108" w:type="dxa"/>
          </w:tblCellMar>
        </w:tblPrEx>
        <w:trPr>
          <w:trHeight w:val="1051" w:hRule="atLeast"/>
          <w:jc w:val="center"/>
        </w:trPr>
        <w:tc>
          <w:tcPr>
            <w:tcW w:w="1079" w:type="dxa"/>
            <w:gridSpan w:val="2"/>
            <w:tcBorders>
              <w:top w:val="single" w:color="000000" w:sz="4" w:space="0"/>
              <w:left w:val="single" w:color="000000" w:sz="4" w:space="0"/>
              <w:bottom w:val="single" w:color="000000" w:sz="4" w:space="0"/>
              <w:right w:val="single" w:color="000000" w:sz="4" w:space="0"/>
            </w:tcBorders>
            <w:noWrap w:val="0"/>
            <w:vAlign w:val="center"/>
          </w:tcPr>
          <w:p w14:paraId="6A88A144">
            <w:pPr>
              <w:widowControl/>
              <w:jc w:val="center"/>
              <w:textAlignment w:val="center"/>
              <w:rPr>
                <w:rFonts w:ascii="Times New Roman" w:hAnsi="Times New Roman"/>
                <w:sz w:val="20"/>
                <w:szCs w:val="20"/>
              </w:rPr>
            </w:pPr>
            <w:r>
              <w:rPr>
                <w:rFonts w:ascii="Times New Roman" w:hAnsi="Times New Roman"/>
                <w:kern w:val="0"/>
                <w:sz w:val="20"/>
                <w:szCs w:val="20"/>
                <w:lang w:bidi="ar"/>
              </w:rPr>
              <w:t>转移支付（项目）名称</w:t>
            </w:r>
          </w:p>
        </w:tc>
        <w:tc>
          <w:tcPr>
            <w:tcW w:w="8677" w:type="dxa"/>
            <w:gridSpan w:val="7"/>
            <w:tcBorders>
              <w:top w:val="single" w:color="000000" w:sz="4" w:space="0"/>
              <w:left w:val="single" w:color="000000" w:sz="4" w:space="0"/>
              <w:bottom w:val="single" w:color="000000" w:sz="4" w:space="0"/>
              <w:right w:val="single" w:color="000000" w:sz="4" w:space="0"/>
            </w:tcBorders>
            <w:noWrap w:val="0"/>
            <w:vAlign w:val="center"/>
          </w:tcPr>
          <w:p w14:paraId="0AA194C0">
            <w:pPr>
              <w:widowControl/>
              <w:jc w:val="center"/>
              <w:textAlignment w:val="center"/>
              <w:rPr>
                <w:rFonts w:ascii="Times New Roman" w:hAnsi="Times New Roman"/>
                <w:sz w:val="20"/>
                <w:szCs w:val="20"/>
              </w:rPr>
            </w:pPr>
            <w:r>
              <w:rPr>
                <w:rFonts w:ascii="Times New Roman" w:hAnsi="Times New Roman"/>
                <w:kern w:val="0"/>
                <w:sz w:val="20"/>
                <w:szCs w:val="20"/>
                <w:lang w:bidi="ar"/>
              </w:rPr>
              <w:t>土壤污染防治资金</w:t>
            </w:r>
          </w:p>
        </w:tc>
      </w:tr>
      <w:tr w14:paraId="6230B2EB">
        <w:tblPrEx>
          <w:tblCellMar>
            <w:top w:w="0" w:type="dxa"/>
            <w:left w:w="108" w:type="dxa"/>
            <w:bottom w:w="0" w:type="dxa"/>
            <w:right w:w="108" w:type="dxa"/>
          </w:tblCellMar>
        </w:tblPrEx>
        <w:trPr>
          <w:trHeight w:val="474" w:hRule="atLeast"/>
          <w:jc w:val="center"/>
        </w:trPr>
        <w:tc>
          <w:tcPr>
            <w:tcW w:w="1079" w:type="dxa"/>
            <w:gridSpan w:val="2"/>
            <w:tcBorders>
              <w:top w:val="single" w:color="000000" w:sz="4" w:space="0"/>
              <w:left w:val="single" w:color="000000" w:sz="4" w:space="0"/>
              <w:bottom w:val="single" w:color="000000" w:sz="4" w:space="0"/>
              <w:right w:val="single" w:color="000000" w:sz="4" w:space="0"/>
            </w:tcBorders>
            <w:noWrap w:val="0"/>
            <w:vAlign w:val="center"/>
          </w:tcPr>
          <w:p w14:paraId="2FC4E4C9">
            <w:pPr>
              <w:widowControl/>
              <w:jc w:val="center"/>
              <w:textAlignment w:val="center"/>
              <w:rPr>
                <w:rFonts w:ascii="Times New Roman" w:hAnsi="Times New Roman"/>
                <w:sz w:val="20"/>
                <w:szCs w:val="20"/>
              </w:rPr>
            </w:pPr>
            <w:r>
              <w:rPr>
                <w:rFonts w:ascii="Times New Roman" w:hAnsi="Times New Roman"/>
                <w:kern w:val="0"/>
                <w:sz w:val="20"/>
                <w:szCs w:val="20"/>
                <w:lang w:bidi="ar"/>
              </w:rPr>
              <w:t>中央主管部门</w:t>
            </w:r>
          </w:p>
        </w:tc>
        <w:tc>
          <w:tcPr>
            <w:tcW w:w="8677" w:type="dxa"/>
            <w:gridSpan w:val="7"/>
            <w:tcBorders>
              <w:top w:val="single" w:color="000000" w:sz="4" w:space="0"/>
              <w:left w:val="single" w:color="000000" w:sz="4" w:space="0"/>
              <w:bottom w:val="single" w:color="000000" w:sz="4" w:space="0"/>
              <w:right w:val="single" w:color="000000" w:sz="4" w:space="0"/>
            </w:tcBorders>
            <w:noWrap w:val="0"/>
            <w:vAlign w:val="center"/>
          </w:tcPr>
          <w:p w14:paraId="753A3D50">
            <w:pPr>
              <w:widowControl/>
              <w:jc w:val="center"/>
              <w:textAlignment w:val="center"/>
              <w:rPr>
                <w:rFonts w:ascii="Times New Roman" w:hAnsi="Times New Roman"/>
                <w:sz w:val="20"/>
                <w:szCs w:val="20"/>
              </w:rPr>
            </w:pPr>
            <w:r>
              <w:rPr>
                <w:rFonts w:ascii="Times New Roman" w:hAnsi="Times New Roman"/>
                <w:kern w:val="0"/>
                <w:sz w:val="20"/>
                <w:szCs w:val="20"/>
                <w:lang w:bidi="ar"/>
              </w:rPr>
              <w:t>财政部、生态环境部</w:t>
            </w:r>
          </w:p>
        </w:tc>
      </w:tr>
      <w:tr w14:paraId="7247E00F">
        <w:tblPrEx>
          <w:tblCellMar>
            <w:top w:w="0" w:type="dxa"/>
            <w:left w:w="108" w:type="dxa"/>
            <w:bottom w:w="0" w:type="dxa"/>
            <w:right w:w="108" w:type="dxa"/>
          </w:tblCellMar>
        </w:tblPrEx>
        <w:trPr>
          <w:trHeight w:val="640" w:hRule="atLeast"/>
          <w:jc w:val="center"/>
        </w:trPr>
        <w:tc>
          <w:tcPr>
            <w:tcW w:w="1079" w:type="dxa"/>
            <w:gridSpan w:val="2"/>
            <w:tcBorders>
              <w:top w:val="single" w:color="000000" w:sz="4" w:space="0"/>
              <w:left w:val="single" w:color="000000" w:sz="4" w:space="0"/>
              <w:bottom w:val="single" w:color="000000" w:sz="4" w:space="0"/>
              <w:right w:val="single" w:color="000000" w:sz="4" w:space="0"/>
            </w:tcBorders>
            <w:noWrap w:val="0"/>
            <w:vAlign w:val="center"/>
          </w:tcPr>
          <w:p w14:paraId="4E609717">
            <w:pPr>
              <w:widowControl/>
              <w:jc w:val="center"/>
              <w:textAlignment w:val="center"/>
              <w:rPr>
                <w:rFonts w:ascii="Times New Roman" w:hAnsi="Times New Roman"/>
                <w:sz w:val="20"/>
                <w:szCs w:val="20"/>
              </w:rPr>
            </w:pPr>
            <w:r>
              <w:rPr>
                <w:rFonts w:ascii="Times New Roman" w:hAnsi="Times New Roman"/>
                <w:kern w:val="0"/>
                <w:sz w:val="20"/>
                <w:szCs w:val="20"/>
                <w:lang w:bidi="ar"/>
              </w:rPr>
              <w:t>地方主管部门</w:t>
            </w:r>
          </w:p>
        </w:tc>
        <w:tc>
          <w:tcPr>
            <w:tcW w:w="2550" w:type="dxa"/>
            <w:gridSpan w:val="3"/>
            <w:tcBorders>
              <w:top w:val="single" w:color="000000" w:sz="4" w:space="0"/>
              <w:left w:val="single" w:color="000000" w:sz="4" w:space="0"/>
              <w:bottom w:val="single" w:color="000000" w:sz="4" w:space="0"/>
              <w:right w:val="single" w:color="000000" w:sz="4" w:space="0"/>
            </w:tcBorders>
            <w:noWrap w:val="0"/>
            <w:vAlign w:val="center"/>
          </w:tcPr>
          <w:p w14:paraId="4CE6C0C9">
            <w:pPr>
              <w:widowControl/>
              <w:jc w:val="center"/>
              <w:textAlignment w:val="center"/>
              <w:rPr>
                <w:rFonts w:ascii="Times New Roman" w:hAnsi="Times New Roman"/>
                <w:sz w:val="20"/>
                <w:szCs w:val="20"/>
              </w:rPr>
            </w:pPr>
            <w:r>
              <w:rPr>
                <w:rFonts w:ascii="Times New Roman" w:hAnsi="Times New Roman"/>
                <w:color w:val="000000"/>
                <w:kern w:val="0"/>
                <w:sz w:val="18"/>
                <w:szCs w:val="18"/>
                <w:lang w:bidi="ar"/>
              </w:rPr>
              <w:t>广西壮族自治区生态环境厅</w:t>
            </w:r>
            <w:r>
              <w:rPr>
                <w:rFonts w:hint="eastAsia" w:ascii="Times New Roman" w:hAnsi="Times New Roman"/>
                <w:color w:val="000000"/>
                <w:kern w:val="0"/>
                <w:sz w:val="18"/>
                <w:szCs w:val="18"/>
                <w:lang w:bidi="ar"/>
              </w:rPr>
              <w:t>、</w:t>
            </w:r>
            <w:r>
              <w:rPr>
                <w:rFonts w:ascii="Times New Roman" w:hAnsi="Times New Roman"/>
                <w:color w:val="000000"/>
                <w:kern w:val="0"/>
                <w:sz w:val="18"/>
                <w:szCs w:val="18"/>
                <w:lang w:bidi="ar"/>
              </w:rPr>
              <w:t>广西壮族自治区财政厅</w:t>
            </w:r>
          </w:p>
        </w:tc>
        <w:tc>
          <w:tcPr>
            <w:tcW w:w="1876" w:type="dxa"/>
            <w:gridSpan w:val="2"/>
            <w:tcBorders>
              <w:top w:val="single" w:color="000000" w:sz="4" w:space="0"/>
              <w:left w:val="single" w:color="000000" w:sz="4" w:space="0"/>
              <w:bottom w:val="single" w:color="000000" w:sz="4" w:space="0"/>
              <w:right w:val="single" w:color="000000" w:sz="4" w:space="0"/>
            </w:tcBorders>
            <w:noWrap w:val="0"/>
            <w:vAlign w:val="center"/>
          </w:tcPr>
          <w:p w14:paraId="0473E020">
            <w:pPr>
              <w:widowControl/>
              <w:jc w:val="center"/>
              <w:textAlignment w:val="center"/>
              <w:rPr>
                <w:rFonts w:ascii="Times New Roman" w:hAnsi="Times New Roman"/>
                <w:sz w:val="20"/>
                <w:szCs w:val="20"/>
              </w:rPr>
            </w:pPr>
            <w:r>
              <w:rPr>
                <w:rFonts w:ascii="Times New Roman" w:hAnsi="Times New Roman"/>
                <w:kern w:val="0"/>
                <w:sz w:val="20"/>
                <w:szCs w:val="20"/>
                <w:lang w:bidi="ar"/>
              </w:rPr>
              <w:t>资金使用单位</w:t>
            </w:r>
          </w:p>
        </w:tc>
        <w:tc>
          <w:tcPr>
            <w:tcW w:w="4251" w:type="dxa"/>
            <w:gridSpan w:val="2"/>
            <w:tcBorders>
              <w:top w:val="single" w:color="000000" w:sz="4" w:space="0"/>
              <w:left w:val="single" w:color="000000" w:sz="4" w:space="0"/>
              <w:bottom w:val="single" w:color="000000" w:sz="4" w:space="0"/>
              <w:right w:val="single" w:color="000000" w:sz="4" w:space="0"/>
            </w:tcBorders>
            <w:noWrap w:val="0"/>
            <w:vAlign w:val="center"/>
          </w:tcPr>
          <w:p w14:paraId="3B5AA8DB">
            <w:pPr>
              <w:widowControl/>
              <w:jc w:val="center"/>
              <w:textAlignment w:val="center"/>
              <w:rPr>
                <w:rFonts w:ascii="Times New Roman" w:hAnsi="Times New Roman"/>
                <w:sz w:val="20"/>
                <w:szCs w:val="20"/>
              </w:rPr>
            </w:pPr>
            <w:r>
              <w:rPr>
                <w:rFonts w:hint="eastAsia" w:ascii="Times New Roman" w:hAnsi="Times New Roman"/>
                <w:kern w:val="0"/>
                <w:sz w:val="20"/>
                <w:szCs w:val="20"/>
                <w:lang w:bidi="ar"/>
              </w:rPr>
              <w:t>南宁市、桂林市、钦州市、百色市、河池市、来宾市、自治区本级</w:t>
            </w:r>
          </w:p>
        </w:tc>
      </w:tr>
      <w:tr w14:paraId="50A77E7A">
        <w:tblPrEx>
          <w:tblCellMar>
            <w:top w:w="0" w:type="dxa"/>
            <w:left w:w="108" w:type="dxa"/>
            <w:bottom w:w="0" w:type="dxa"/>
            <w:right w:w="108" w:type="dxa"/>
          </w:tblCellMar>
        </w:tblPrEx>
        <w:trPr>
          <w:trHeight w:val="430" w:hRule="atLeast"/>
          <w:jc w:val="center"/>
        </w:trPr>
        <w:tc>
          <w:tcPr>
            <w:tcW w:w="1079"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14:paraId="75BF5BD7">
            <w:pPr>
              <w:widowControl/>
              <w:jc w:val="center"/>
              <w:textAlignment w:val="center"/>
              <w:rPr>
                <w:rFonts w:ascii="Times New Roman" w:hAnsi="Times New Roman"/>
                <w:sz w:val="20"/>
                <w:szCs w:val="20"/>
              </w:rPr>
            </w:pPr>
            <w:r>
              <w:rPr>
                <w:rFonts w:ascii="Times New Roman" w:hAnsi="Times New Roman"/>
                <w:kern w:val="0"/>
                <w:sz w:val="20"/>
                <w:szCs w:val="20"/>
                <w:lang w:bidi="ar"/>
              </w:rPr>
              <w:t>资金投入情况（万元）</w:t>
            </w:r>
          </w:p>
        </w:tc>
        <w:tc>
          <w:tcPr>
            <w:tcW w:w="1484" w:type="dxa"/>
            <w:gridSpan w:val="2"/>
            <w:tcBorders>
              <w:top w:val="single" w:color="000000" w:sz="4" w:space="0"/>
              <w:left w:val="single" w:color="000000" w:sz="4" w:space="0"/>
              <w:bottom w:val="single" w:color="000000" w:sz="4" w:space="0"/>
              <w:right w:val="single" w:color="000000" w:sz="4" w:space="0"/>
            </w:tcBorders>
            <w:noWrap w:val="0"/>
            <w:vAlign w:val="center"/>
          </w:tcPr>
          <w:p w14:paraId="4CE24F98">
            <w:pPr>
              <w:jc w:val="center"/>
              <w:rPr>
                <w:rFonts w:ascii="Times New Roman" w:hAnsi="Times New Roman"/>
                <w:sz w:val="20"/>
                <w:szCs w:val="20"/>
              </w:rPr>
            </w:pPr>
          </w:p>
        </w:tc>
        <w:tc>
          <w:tcPr>
            <w:tcW w:w="1066" w:type="dxa"/>
            <w:tcBorders>
              <w:top w:val="single" w:color="000000" w:sz="4" w:space="0"/>
              <w:left w:val="single" w:color="000000" w:sz="4" w:space="0"/>
              <w:bottom w:val="single" w:color="000000" w:sz="4" w:space="0"/>
              <w:right w:val="single" w:color="000000" w:sz="4" w:space="0"/>
            </w:tcBorders>
            <w:noWrap w:val="0"/>
            <w:vAlign w:val="center"/>
          </w:tcPr>
          <w:p w14:paraId="1E44608B">
            <w:pPr>
              <w:widowControl/>
              <w:jc w:val="center"/>
              <w:textAlignment w:val="center"/>
              <w:rPr>
                <w:rFonts w:ascii="Times New Roman" w:hAnsi="Times New Roman"/>
                <w:sz w:val="20"/>
                <w:szCs w:val="20"/>
              </w:rPr>
            </w:pPr>
            <w:r>
              <w:rPr>
                <w:rFonts w:ascii="Times New Roman" w:hAnsi="Times New Roman"/>
                <w:kern w:val="0"/>
                <w:sz w:val="20"/>
                <w:szCs w:val="20"/>
                <w:lang w:bidi="ar"/>
              </w:rPr>
              <w:t>全年预算数（A）</w:t>
            </w:r>
          </w:p>
        </w:tc>
        <w:tc>
          <w:tcPr>
            <w:tcW w:w="2320" w:type="dxa"/>
            <w:gridSpan w:val="3"/>
            <w:tcBorders>
              <w:top w:val="single" w:color="000000" w:sz="4" w:space="0"/>
              <w:left w:val="single" w:color="000000" w:sz="4" w:space="0"/>
              <w:bottom w:val="single" w:color="000000" w:sz="4" w:space="0"/>
              <w:right w:val="single" w:color="000000" w:sz="4" w:space="0"/>
            </w:tcBorders>
            <w:noWrap w:val="0"/>
            <w:vAlign w:val="center"/>
          </w:tcPr>
          <w:p w14:paraId="42A2A7E1">
            <w:pPr>
              <w:widowControl/>
              <w:jc w:val="center"/>
              <w:textAlignment w:val="center"/>
              <w:rPr>
                <w:rFonts w:ascii="Times New Roman" w:hAnsi="Times New Roman"/>
                <w:sz w:val="20"/>
                <w:szCs w:val="20"/>
              </w:rPr>
            </w:pPr>
            <w:r>
              <w:rPr>
                <w:rFonts w:ascii="Times New Roman" w:hAnsi="Times New Roman"/>
                <w:kern w:val="0"/>
                <w:sz w:val="20"/>
                <w:szCs w:val="20"/>
                <w:lang w:bidi="ar"/>
              </w:rPr>
              <w:t>全年执行数（B）</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597606A3">
            <w:pPr>
              <w:widowControl/>
              <w:jc w:val="center"/>
              <w:textAlignment w:val="center"/>
              <w:rPr>
                <w:rFonts w:ascii="Times New Roman" w:hAnsi="Times New Roman"/>
                <w:sz w:val="20"/>
                <w:szCs w:val="20"/>
              </w:rPr>
            </w:pPr>
            <w:r>
              <w:rPr>
                <w:rFonts w:ascii="Times New Roman" w:hAnsi="Times New Roman"/>
                <w:kern w:val="0"/>
                <w:sz w:val="20"/>
                <w:szCs w:val="20"/>
                <w:lang w:bidi="ar"/>
              </w:rPr>
              <w:t>预算执行率（B/A）</w:t>
            </w:r>
          </w:p>
        </w:tc>
      </w:tr>
      <w:tr w14:paraId="6F6CE8E8">
        <w:tblPrEx>
          <w:tblCellMar>
            <w:top w:w="0" w:type="dxa"/>
            <w:left w:w="108" w:type="dxa"/>
            <w:bottom w:w="0" w:type="dxa"/>
            <w:right w:w="108" w:type="dxa"/>
          </w:tblCellMar>
        </w:tblPrEx>
        <w:trPr>
          <w:trHeight w:val="328" w:hRule="atLeast"/>
          <w:jc w:val="center"/>
        </w:trPr>
        <w:tc>
          <w:tcPr>
            <w:tcW w:w="1079"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283478DC">
            <w:pPr>
              <w:jc w:val="center"/>
              <w:rPr>
                <w:rFonts w:ascii="Times New Roman" w:hAnsi="Times New Roman"/>
                <w:sz w:val="20"/>
                <w:szCs w:val="20"/>
              </w:rPr>
            </w:pPr>
          </w:p>
        </w:tc>
        <w:tc>
          <w:tcPr>
            <w:tcW w:w="1484" w:type="dxa"/>
            <w:gridSpan w:val="2"/>
            <w:tcBorders>
              <w:top w:val="single" w:color="000000" w:sz="4" w:space="0"/>
              <w:left w:val="single" w:color="000000" w:sz="4" w:space="0"/>
              <w:bottom w:val="single" w:color="000000" w:sz="4" w:space="0"/>
              <w:right w:val="single" w:color="000000" w:sz="4" w:space="0"/>
            </w:tcBorders>
            <w:noWrap w:val="0"/>
            <w:vAlign w:val="center"/>
          </w:tcPr>
          <w:p w14:paraId="2A4B965F">
            <w:pPr>
              <w:widowControl/>
              <w:jc w:val="center"/>
              <w:textAlignment w:val="center"/>
              <w:rPr>
                <w:rFonts w:ascii="Times New Roman" w:hAnsi="Times New Roman"/>
                <w:kern w:val="0"/>
                <w:sz w:val="20"/>
                <w:szCs w:val="20"/>
                <w:lang w:bidi="ar"/>
              </w:rPr>
            </w:pPr>
            <w:r>
              <w:rPr>
                <w:rFonts w:ascii="Times New Roman" w:hAnsi="Times New Roman"/>
                <w:kern w:val="0"/>
                <w:sz w:val="20"/>
                <w:szCs w:val="20"/>
                <w:lang w:bidi="ar"/>
              </w:rPr>
              <w:t>年度资金</w:t>
            </w:r>
          </w:p>
          <w:p w14:paraId="43924613">
            <w:pPr>
              <w:widowControl/>
              <w:jc w:val="center"/>
              <w:textAlignment w:val="center"/>
              <w:rPr>
                <w:rFonts w:ascii="Times New Roman" w:hAnsi="Times New Roman"/>
                <w:sz w:val="20"/>
                <w:szCs w:val="20"/>
              </w:rPr>
            </w:pPr>
            <w:r>
              <w:rPr>
                <w:rFonts w:ascii="Times New Roman" w:hAnsi="Times New Roman"/>
                <w:kern w:val="0"/>
                <w:sz w:val="20"/>
                <w:szCs w:val="20"/>
                <w:lang w:bidi="ar"/>
              </w:rPr>
              <w:t>总额：</w:t>
            </w:r>
          </w:p>
        </w:tc>
        <w:tc>
          <w:tcPr>
            <w:tcW w:w="1066" w:type="dxa"/>
            <w:tcBorders>
              <w:top w:val="single" w:color="000000" w:sz="4" w:space="0"/>
              <w:left w:val="single" w:color="000000" w:sz="4" w:space="0"/>
              <w:bottom w:val="single" w:color="000000" w:sz="4" w:space="0"/>
              <w:right w:val="single" w:color="000000" w:sz="4" w:space="0"/>
            </w:tcBorders>
            <w:noWrap w:val="0"/>
            <w:vAlign w:val="center"/>
          </w:tcPr>
          <w:p w14:paraId="4EB0DD7C">
            <w:pPr>
              <w:widowControl/>
              <w:jc w:val="center"/>
              <w:textAlignment w:val="center"/>
              <w:rPr>
                <w:rFonts w:ascii="Times New Roman" w:hAnsi="Times New Roman"/>
                <w:sz w:val="20"/>
                <w:szCs w:val="20"/>
              </w:rPr>
            </w:pPr>
            <w:r>
              <w:rPr>
                <w:rFonts w:ascii="Times New Roman" w:hAnsi="Times New Roman"/>
                <w:sz w:val="20"/>
                <w:szCs w:val="20"/>
              </w:rPr>
              <w:t>100762.31</w:t>
            </w:r>
          </w:p>
        </w:tc>
        <w:tc>
          <w:tcPr>
            <w:tcW w:w="2320" w:type="dxa"/>
            <w:gridSpan w:val="3"/>
            <w:tcBorders>
              <w:top w:val="single" w:color="000000" w:sz="4" w:space="0"/>
              <w:left w:val="single" w:color="000000" w:sz="4" w:space="0"/>
              <w:bottom w:val="single" w:color="000000" w:sz="4" w:space="0"/>
              <w:right w:val="single" w:color="000000" w:sz="4" w:space="0"/>
            </w:tcBorders>
            <w:noWrap w:val="0"/>
            <w:vAlign w:val="center"/>
          </w:tcPr>
          <w:p w14:paraId="7CC1CE61">
            <w:pPr>
              <w:widowControl/>
              <w:jc w:val="center"/>
              <w:textAlignment w:val="center"/>
              <w:rPr>
                <w:rFonts w:hint="default" w:ascii="Times New Roman" w:hAnsi="Times New Roman" w:eastAsia="宋体"/>
                <w:sz w:val="20"/>
                <w:szCs w:val="20"/>
                <w:lang w:val="en-US" w:eastAsia="zh-CN"/>
              </w:rPr>
            </w:pPr>
            <w:r>
              <w:rPr>
                <w:rFonts w:hint="eastAsia" w:ascii="Times New Roman" w:hAnsi="Times New Roman"/>
                <w:sz w:val="20"/>
                <w:szCs w:val="20"/>
                <w:lang w:val="en-US" w:eastAsia="zh-CN"/>
              </w:rPr>
              <w:t>54644.4</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6CE06428">
            <w:pPr>
              <w:widowControl/>
              <w:jc w:val="center"/>
              <w:textAlignment w:val="center"/>
              <w:rPr>
                <w:rFonts w:ascii="Times New Roman" w:hAnsi="Times New Roman"/>
                <w:sz w:val="20"/>
                <w:szCs w:val="20"/>
              </w:rPr>
            </w:pPr>
            <w:r>
              <w:rPr>
                <w:rFonts w:hint="eastAsia" w:ascii="Times New Roman" w:hAnsi="Times New Roman"/>
                <w:sz w:val="20"/>
                <w:szCs w:val="20"/>
              </w:rPr>
              <w:t>5</w:t>
            </w:r>
            <w:r>
              <w:rPr>
                <w:rFonts w:hint="eastAsia" w:ascii="Times New Roman" w:hAnsi="Times New Roman"/>
                <w:sz w:val="20"/>
                <w:szCs w:val="20"/>
                <w:lang w:val="en-US" w:eastAsia="zh-CN"/>
              </w:rPr>
              <w:t>4.23</w:t>
            </w:r>
            <w:r>
              <w:rPr>
                <w:rFonts w:ascii="Times New Roman" w:hAnsi="Times New Roman"/>
                <w:sz w:val="20"/>
                <w:szCs w:val="20"/>
              </w:rPr>
              <w:t>%</w:t>
            </w:r>
          </w:p>
        </w:tc>
      </w:tr>
      <w:tr w14:paraId="1F0DB057">
        <w:tblPrEx>
          <w:tblCellMar>
            <w:top w:w="0" w:type="dxa"/>
            <w:left w:w="108" w:type="dxa"/>
            <w:bottom w:w="0" w:type="dxa"/>
            <w:right w:w="108" w:type="dxa"/>
          </w:tblCellMar>
        </w:tblPrEx>
        <w:trPr>
          <w:trHeight w:val="534" w:hRule="atLeast"/>
          <w:jc w:val="center"/>
        </w:trPr>
        <w:tc>
          <w:tcPr>
            <w:tcW w:w="1079"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2C48AB7C">
            <w:pPr>
              <w:jc w:val="center"/>
              <w:rPr>
                <w:rFonts w:ascii="Times New Roman" w:hAnsi="Times New Roman"/>
                <w:sz w:val="20"/>
                <w:szCs w:val="20"/>
              </w:rPr>
            </w:pPr>
          </w:p>
        </w:tc>
        <w:tc>
          <w:tcPr>
            <w:tcW w:w="1484" w:type="dxa"/>
            <w:gridSpan w:val="2"/>
            <w:tcBorders>
              <w:top w:val="single" w:color="000000" w:sz="4" w:space="0"/>
              <w:left w:val="single" w:color="000000" w:sz="4" w:space="0"/>
              <w:bottom w:val="single" w:color="000000" w:sz="4" w:space="0"/>
              <w:right w:val="single" w:color="000000" w:sz="4" w:space="0"/>
            </w:tcBorders>
            <w:noWrap w:val="0"/>
            <w:vAlign w:val="center"/>
          </w:tcPr>
          <w:p w14:paraId="3B52F4A8">
            <w:pPr>
              <w:widowControl/>
              <w:jc w:val="center"/>
              <w:textAlignment w:val="center"/>
              <w:rPr>
                <w:rFonts w:ascii="Times New Roman" w:hAnsi="Times New Roman"/>
                <w:kern w:val="0"/>
                <w:sz w:val="20"/>
                <w:szCs w:val="20"/>
                <w:lang w:bidi="ar"/>
              </w:rPr>
            </w:pPr>
            <w:r>
              <w:rPr>
                <w:rFonts w:ascii="Times New Roman" w:hAnsi="Times New Roman"/>
                <w:kern w:val="0"/>
                <w:sz w:val="20"/>
                <w:szCs w:val="20"/>
                <w:lang w:bidi="ar"/>
              </w:rPr>
              <w:t>其中：中央</w:t>
            </w:r>
          </w:p>
          <w:p w14:paraId="41CF5F0C">
            <w:pPr>
              <w:widowControl/>
              <w:jc w:val="center"/>
              <w:textAlignment w:val="center"/>
              <w:rPr>
                <w:rFonts w:ascii="Times New Roman" w:hAnsi="Times New Roman"/>
                <w:sz w:val="20"/>
                <w:szCs w:val="20"/>
              </w:rPr>
            </w:pPr>
            <w:r>
              <w:rPr>
                <w:rFonts w:ascii="Times New Roman" w:hAnsi="Times New Roman"/>
                <w:kern w:val="0"/>
                <w:sz w:val="20"/>
                <w:szCs w:val="20"/>
                <w:lang w:bidi="ar"/>
              </w:rPr>
              <w:t>财政资金</w:t>
            </w:r>
          </w:p>
        </w:tc>
        <w:tc>
          <w:tcPr>
            <w:tcW w:w="1066" w:type="dxa"/>
            <w:tcBorders>
              <w:top w:val="single" w:color="000000" w:sz="4" w:space="0"/>
              <w:left w:val="single" w:color="000000" w:sz="4" w:space="0"/>
              <w:bottom w:val="single" w:color="000000" w:sz="4" w:space="0"/>
              <w:right w:val="single" w:color="000000" w:sz="4" w:space="0"/>
            </w:tcBorders>
            <w:noWrap w:val="0"/>
            <w:vAlign w:val="center"/>
          </w:tcPr>
          <w:p w14:paraId="6B926ACD">
            <w:pPr>
              <w:widowControl/>
              <w:jc w:val="center"/>
              <w:textAlignment w:val="center"/>
              <w:rPr>
                <w:rFonts w:ascii="Times New Roman" w:hAnsi="Times New Roman"/>
                <w:sz w:val="20"/>
                <w:szCs w:val="20"/>
              </w:rPr>
            </w:pPr>
            <w:r>
              <w:rPr>
                <w:rFonts w:ascii="Times New Roman" w:hAnsi="Times New Roman"/>
                <w:kern w:val="0"/>
                <w:sz w:val="20"/>
                <w:szCs w:val="20"/>
                <w:lang w:bidi="ar"/>
              </w:rPr>
              <w:t>31949</w:t>
            </w:r>
          </w:p>
        </w:tc>
        <w:tc>
          <w:tcPr>
            <w:tcW w:w="2320" w:type="dxa"/>
            <w:gridSpan w:val="3"/>
            <w:tcBorders>
              <w:top w:val="single" w:color="000000" w:sz="4" w:space="0"/>
              <w:left w:val="single" w:color="000000" w:sz="4" w:space="0"/>
              <w:bottom w:val="single" w:color="000000" w:sz="4" w:space="0"/>
              <w:right w:val="single" w:color="000000" w:sz="4" w:space="0"/>
            </w:tcBorders>
            <w:noWrap w:val="0"/>
            <w:vAlign w:val="center"/>
          </w:tcPr>
          <w:p w14:paraId="6BD443E0">
            <w:pPr>
              <w:widowControl/>
              <w:jc w:val="center"/>
              <w:textAlignment w:val="center"/>
              <w:rPr>
                <w:rFonts w:hint="default" w:ascii="Times New Roman" w:hAnsi="Times New Roman" w:eastAsia="宋体"/>
                <w:sz w:val="20"/>
                <w:szCs w:val="20"/>
                <w:lang w:val="en-US" w:eastAsia="zh-CN"/>
              </w:rPr>
            </w:pPr>
            <w:r>
              <w:rPr>
                <w:rFonts w:ascii="Times New Roman" w:hAnsi="Times New Roman"/>
                <w:kern w:val="0"/>
                <w:sz w:val="20"/>
                <w:szCs w:val="20"/>
                <w:lang w:eastAsia="zh" w:bidi="ar"/>
              </w:rPr>
              <w:t>1</w:t>
            </w:r>
            <w:r>
              <w:rPr>
                <w:rFonts w:hint="eastAsia" w:ascii="Times New Roman" w:hAnsi="Times New Roman"/>
                <w:kern w:val="0"/>
                <w:sz w:val="20"/>
                <w:szCs w:val="20"/>
                <w:lang w:val="en-US" w:eastAsia="zh-CN" w:bidi="ar"/>
              </w:rPr>
              <w:t>5546.39</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78261A6B">
            <w:pPr>
              <w:widowControl/>
              <w:jc w:val="center"/>
              <w:textAlignment w:val="center"/>
              <w:rPr>
                <w:rFonts w:ascii="Times New Roman" w:hAnsi="Times New Roman"/>
                <w:sz w:val="20"/>
                <w:szCs w:val="20"/>
              </w:rPr>
            </w:pPr>
            <w:r>
              <w:rPr>
                <w:rFonts w:ascii="Times New Roman" w:hAnsi="Times New Roman"/>
                <w:kern w:val="0"/>
                <w:sz w:val="20"/>
                <w:szCs w:val="20"/>
                <w:lang w:bidi="ar"/>
              </w:rPr>
              <w:t>4</w:t>
            </w:r>
            <w:r>
              <w:rPr>
                <w:rFonts w:hint="eastAsia" w:ascii="Times New Roman" w:hAnsi="Times New Roman"/>
                <w:kern w:val="0"/>
                <w:sz w:val="20"/>
                <w:szCs w:val="20"/>
                <w:lang w:val="en-US" w:eastAsia="zh-CN" w:bidi="ar"/>
              </w:rPr>
              <w:t>8.66</w:t>
            </w:r>
            <w:r>
              <w:rPr>
                <w:rFonts w:ascii="Times New Roman" w:hAnsi="Times New Roman"/>
                <w:kern w:val="0"/>
                <w:sz w:val="20"/>
                <w:szCs w:val="20"/>
                <w:lang w:bidi="ar"/>
              </w:rPr>
              <w:t>%</w:t>
            </w:r>
          </w:p>
        </w:tc>
      </w:tr>
      <w:tr w14:paraId="382DAADB">
        <w:tblPrEx>
          <w:tblCellMar>
            <w:top w:w="0" w:type="dxa"/>
            <w:left w:w="108" w:type="dxa"/>
            <w:bottom w:w="0" w:type="dxa"/>
            <w:right w:w="108" w:type="dxa"/>
          </w:tblCellMar>
        </w:tblPrEx>
        <w:trPr>
          <w:trHeight w:val="445" w:hRule="atLeast"/>
          <w:jc w:val="center"/>
        </w:trPr>
        <w:tc>
          <w:tcPr>
            <w:tcW w:w="1079"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26D5AC68">
            <w:pPr>
              <w:jc w:val="center"/>
              <w:rPr>
                <w:rFonts w:ascii="Times New Roman" w:hAnsi="Times New Roman"/>
                <w:sz w:val="20"/>
                <w:szCs w:val="20"/>
              </w:rPr>
            </w:pPr>
          </w:p>
        </w:tc>
        <w:tc>
          <w:tcPr>
            <w:tcW w:w="1484" w:type="dxa"/>
            <w:gridSpan w:val="2"/>
            <w:tcBorders>
              <w:top w:val="single" w:color="000000" w:sz="4" w:space="0"/>
              <w:left w:val="single" w:color="000000" w:sz="4" w:space="0"/>
              <w:bottom w:val="single" w:color="000000" w:sz="4" w:space="0"/>
              <w:right w:val="single" w:color="000000" w:sz="4" w:space="0"/>
            </w:tcBorders>
            <w:noWrap w:val="0"/>
            <w:vAlign w:val="center"/>
          </w:tcPr>
          <w:p w14:paraId="5182327A">
            <w:pPr>
              <w:widowControl/>
              <w:jc w:val="center"/>
              <w:textAlignment w:val="center"/>
              <w:rPr>
                <w:rFonts w:ascii="Times New Roman" w:hAnsi="Times New Roman"/>
                <w:sz w:val="20"/>
                <w:szCs w:val="20"/>
              </w:rPr>
            </w:pPr>
            <w:r>
              <w:rPr>
                <w:rFonts w:ascii="Times New Roman" w:hAnsi="Times New Roman"/>
                <w:kern w:val="0"/>
                <w:sz w:val="20"/>
                <w:szCs w:val="20"/>
                <w:lang w:bidi="ar"/>
              </w:rPr>
              <w:t>地方资金</w:t>
            </w:r>
          </w:p>
        </w:tc>
        <w:tc>
          <w:tcPr>
            <w:tcW w:w="1066" w:type="dxa"/>
            <w:tcBorders>
              <w:top w:val="single" w:color="000000" w:sz="4" w:space="0"/>
              <w:left w:val="single" w:color="000000" w:sz="4" w:space="0"/>
              <w:bottom w:val="single" w:color="000000" w:sz="4" w:space="0"/>
              <w:right w:val="single" w:color="000000" w:sz="4" w:space="0"/>
            </w:tcBorders>
            <w:noWrap w:val="0"/>
            <w:vAlign w:val="center"/>
          </w:tcPr>
          <w:p w14:paraId="46D4B5CB">
            <w:pPr>
              <w:widowControl/>
              <w:jc w:val="center"/>
              <w:textAlignment w:val="center"/>
              <w:rPr>
                <w:rFonts w:ascii="Times New Roman" w:hAnsi="Times New Roman"/>
                <w:sz w:val="20"/>
                <w:szCs w:val="20"/>
              </w:rPr>
            </w:pPr>
            <w:r>
              <w:rPr>
                <w:rFonts w:ascii="Times New Roman" w:hAnsi="Times New Roman"/>
                <w:sz w:val="20"/>
                <w:szCs w:val="20"/>
              </w:rPr>
              <w:t>68813.31</w:t>
            </w:r>
          </w:p>
        </w:tc>
        <w:tc>
          <w:tcPr>
            <w:tcW w:w="2320" w:type="dxa"/>
            <w:gridSpan w:val="3"/>
            <w:tcBorders>
              <w:top w:val="single" w:color="000000" w:sz="4" w:space="0"/>
              <w:left w:val="single" w:color="000000" w:sz="4" w:space="0"/>
              <w:bottom w:val="single" w:color="000000" w:sz="4" w:space="0"/>
              <w:right w:val="single" w:color="000000" w:sz="4" w:space="0"/>
            </w:tcBorders>
            <w:noWrap w:val="0"/>
            <w:vAlign w:val="center"/>
          </w:tcPr>
          <w:p w14:paraId="2C8F78A3">
            <w:pPr>
              <w:widowControl/>
              <w:jc w:val="center"/>
              <w:textAlignment w:val="center"/>
              <w:rPr>
                <w:rFonts w:ascii="Times New Roman" w:hAnsi="Times New Roman"/>
                <w:sz w:val="20"/>
                <w:szCs w:val="20"/>
              </w:rPr>
            </w:pPr>
            <w:r>
              <w:rPr>
                <w:rFonts w:ascii="Times New Roman" w:hAnsi="Times New Roman"/>
                <w:sz w:val="20"/>
                <w:szCs w:val="20"/>
              </w:rPr>
              <w:t>39098.01</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4577852D">
            <w:pPr>
              <w:widowControl/>
              <w:jc w:val="center"/>
              <w:textAlignment w:val="center"/>
              <w:rPr>
                <w:rFonts w:ascii="Times New Roman" w:hAnsi="Times New Roman"/>
                <w:sz w:val="20"/>
                <w:szCs w:val="20"/>
              </w:rPr>
            </w:pPr>
            <w:r>
              <w:rPr>
                <w:rFonts w:ascii="Times New Roman" w:hAnsi="Times New Roman"/>
                <w:sz w:val="20"/>
                <w:szCs w:val="20"/>
              </w:rPr>
              <w:t>56.82%</w:t>
            </w:r>
          </w:p>
        </w:tc>
      </w:tr>
      <w:tr w14:paraId="047D0770">
        <w:tblPrEx>
          <w:tblCellMar>
            <w:top w:w="0" w:type="dxa"/>
            <w:left w:w="108" w:type="dxa"/>
            <w:bottom w:w="0" w:type="dxa"/>
            <w:right w:w="108" w:type="dxa"/>
          </w:tblCellMar>
        </w:tblPrEx>
        <w:trPr>
          <w:trHeight w:val="405" w:hRule="atLeast"/>
          <w:jc w:val="center"/>
        </w:trPr>
        <w:tc>
          <w:tcPr>
            <w:tcW w:w="1079"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49C8F90A">
            <w:pPr>
              <w:jc w:val="center"/>
              <w:rPr>
                <w:rFonts w:ascii="Times New Roman" w:hAnsi="Times New Roman"/>
                <w:sz w:val="20"/>
                <w:szCs w:val="20"/>
              </w:rPr>
            </w:pPr>
          </w:p>
        </w:tc>
        <w:tc>
          <w:tcPr>
            <w:tcW w:w="1484" w:type="dxa"/>
            <w:gridSpan w:val="2"/>
            <w:tcBorders>
              <w:top w:val="single" w:color="000000" w:sz="4" w:space="0"/>
              <w:left w:val="single" w:color="000000" w:sz="4" w:space="0"/>
              <w:bottom w:val="single" w:color="000000" w:sz="4" w:space="0"/>
              <w:right w:val="single" w:color="000000" w:sz="4" w:space="0"/>
            </w:tcBorders>
            <w:noWrap w:val="0"/>
            <w:vAlign w:val="center"/>
          </w:tcPr>
          <w:p w14:paraId="48F8DD5D">
            <w:pPr>
              <w:widowControl/>
              <w:jc w:val="center"/>
              <w:textAlignment w:val="center"/>
              <w:rPr>
                <w:rFonts w:ascii="Times New Roman" w:hAnsi="Times New Roman"/>
                <w:sz w:val="20"/>
                <w:szCs w:val="20"/>
              </w:rPr>
            </w:pPr>
            <w:r>
              <w:rPr>
                <w:rFonts w:ascii="Times New Roman" w:hAnsi="Times New Roman"/>
                <w:kern w:val="0"/>
                <w:sz w:val="20"/>
                <w:szCs w:val="20"/>
                <w:lang w:bidi="ar"/>
              </w:rPr>
              <w:t>其他资金</w:t>
            </w:r>
          </w:p>
        </w:tc>
        <w:tc>
          <w:tcPr>
            <w:tcW w:w="1066" w:type="dxa"/>
            <w:tcBorders>
              <w:top w:val="single" w:color="000000" w:sz="4" w:space="0"/>
              <w:left w:val="single" w:color="000000" w:sz="4" w:space="0"/>
              <w:bottom w:val="single" w:color="000000" w:sz="4" w:space="0"/>
              <w:right w:val="single" w:color="000000" w:sz="4" w:space="0"/>
            </w:tcBorders>
            <w:noWrap w:val="0"/>
            <w:vAlign w:val="center"/>
          </w:tcPr>
          <w:p w14:paraId="203470DA">
            <w:pPr>
              <w:jc w:val="center"/>
              <w:rPr>
                <w:rFonts w:hint="eastAsia" w:ascii="Times New Roman" w:hAnsi="Times New Roman"/>
                <w:sz w:val="20"/>
                <w:szCs w:val="20"/>
              </w:rPr>
            </w:pPr>
            <w:r>
              <w:rPr>
                <w:rFonts w:hint="eastAsia" w:ascii="Times New Roman" w:hAnsi="Times New Roman"/>
                <w:sz w:val="20"/>
                <w:szCs w:val="20"/>
              </w:rPr>
              <w:t>/</w:t>
            </w:r>
          </w:p>
        </w:tc>
        <w:tc>
          <w:tcPr>
            <w:tcW w:w="2320" w:type="dxa"/>
            <w:gridSpan w:val="3"/>
            <w:tcBorders>
              <w:top w:val="single" w:color="000000" w:sz="4" w:space="0"/>
              <w:left w:val="single" w:color="000000" w:sz="4" w:space="0"/>
              <w:bottom w:val="single" w:color="000000" w:sz="4" w:space="0"/>
              <w:right w:val="single" w:color="000000" w:sz="4" w:space="0"/>
            </w:tcBorders>
            <w:noWrap w:val="0"/>
            <w:vAlign w:val="center"/>
          </w:tcPr>
          <w:p w14:paraId="32D1AAA5">
            <w:pPr>
              <w:jc w:val="center"/>
              <w:rPr>
                <w:rFonts w:hint="eastAsia" w:ascii="Times New Roman" w:hAnsi="Times New Roman"/>
                <w:sz w:val="20"/>
                <w:szCs w:val="20"/>
              </w:rPr>
            </w:pPr>
            <w:r>
              <w:rPr>
                <w:rFonts w:hint="eastAsia" w:ascii="Times New Roman" w:hAnsi="Times New Roman"/>
                <w:sz w:val="20"/>
                <w:szCs w:val="20"/>
              </w:rPr>
              <w:t>/</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2E6DF835">
            <w:pPr>
              <w:jc w:val="center"/>
              <w:rPr>
                <w:rFonts w:hint="eastAsia" w:ascii="Times New Roman" w:hAnsi="Times New Roman"/>
                <w:sz w:val="20"/>
                <w:szCs w:val="20"/>
              </w:rPr>
            </w:pPr>
            <w:r>
              <w:rPr>
                <w:rFonts w:hint="eastAsia" w:ascii="Times New Roman" w:hAnsi="Times New Roman"/>
                <w:sz w:val="20"/>
                <w:szCs w:val="20"/>
              </w:rPr>
              <w:t>/</w:t>
            </w:r>
          </w:p>
        </w:tc>
      </w:tr>
      <w:tr w14:paraId="644E9DF0">
        <w:tblPrEx>
          <w:tblCellMar>
            <w:top w:w="0" w:type="dxa"/>
            <w:left w:w="108" w:type="dxa"/>
            <w:bottom w:w="0" w:type="dxa"/>
            <w:right w:w="108" w:type="dxa"/>
          </w:tblCellMar>
        </w:tblPrEx>
        <w:trPr>
          <w:trHeight w:val="435" w:hRule="atLeast"/>
          <w:jc w:val="center"/>
        </w:trPr>
        <w:tc>
          <w:tcPr>
            <w:tcW w:w="1079" w:type="dxa"/>
            <w:gridSpan w:val="2"/>
            <w:vMerge w:val="restart"/>
            <w:tcBorders>
              <w:top w:val="single" w:color="000000" w:sz="4" w:space="0"/>
              <w:left w:val="single" w:color="000000" w:sz="4" w:space="0"/>
              <w:bottom w:val="single" w:color="000000" w:sz="4" w:space="0"/>
              <w:right w:val="single" w:color="000000" w:sz="4" w:space="0"/>
            </w:tcBorders>
            <w:noWrap w:val="0"/>
            <w:vAlign w:val="center"/>
          </w:tcPr>
          <w:p w14:paraId="19BC15A2">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资金管理情况</w:t>
            </w:r>
          </w:p>
        </w:tc>
        <w:tc>
          <w:tcPr>
            <w:tcW w:w="1484" w:type="dxa"/>
            <w:gridSpan w:val="2"/>
            <w:tcBorders>
              <w:top w:val="single" w:color="000000" w:sz="4" w:space="0"/>
              <w:left w:val="single" w:color="000000" w:sz="4" w:space="0"/>
              <w:bottom w:val="single" w:color="000000" w:sz="4" w:space="0"/>
              <w:right w:val="single" w:color="000000" w:sz="4" w:space="0"/>
            </w:tcBorders>
            <w:noWrap w:val="0"/>
            <w:vAlign w:val="center"/>
          </w:tcPr>
          <w:p w14:paraId="7BF24DE6">
            <w:pPr>
              <w:jc w:val="center"/>
              <w:rPr>
                <w:rFonts w:hint="eastAsia" w:ascii="宋体" w:hAnsi="宋体" w:cs="宋体"/>
                <w:sz w:val="20"/>
                <w:szCs w:val="20"/>
              </w:rPr>
            </w:pPr>
          </w:p>
        </w:tc>
        <w:tc>
          <w:tcPr>
            <w:tcW w:w="3386" w:type="dxa"/>
            <w:gridSpan w:val="4"/>
            <w:tcBorders>
              <w:top w:val="single" w:color="000000" w:sz="4" w:space="0"/>
              <w:left w:val="single" w:color="000000" w:sz="4" w:space="0"/>
              <w:bottom w:val="single" w:color="000000" w:sz="4" w:space="0"/>
              <w:right w:val="single" w:color="000000" w:sz="4" w:space="0"/>
            </w:tcBorders>
            <w:noWrap w:val="0"/>
            <w:vAlign w:val="center"/>
          </w:tcPr>
          <w:p w14:paraId="03AC975E">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情况说明</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7CC202DE">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存在问题和改进措施</w:t>
            </w:r>
          </w:p>
        </w:tc>
      </w:tr>
      <w:tr w14:paraId="3DD4FA6C">
        <w:tblPrEx>
          <w:tblCellMar>
            <w:top w:w="0" w:type="dxa"/>
            <w:left w:w="108" w:type="dxa"/>
            <w:bottom w:w="0" w:type="dxa"/>
            <w:right w:w="108" w:type="dxa"/>
          </w:tblCellMar>
        </w:tblPrEx>
        <w:trPr>
          <w:trHeight w:val="656" w:hRule="atLeast"/>
          <w:jc w:val="center"/>
        </w:trPr>
        <w:tc>
          <w:tcPr>
            <w:tcW w:w="1079"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55F1FD06">
            <w:pPr>
              <w:jc w:val="center"/>
              <w:rPr>
                <w:rFonts w:hint="eastAsia" w:ascii="宋体" w:hAnsi="宋体" w:cs="宋体"/>
                <w:sz w:val="20"/>
                <w:szCs w:val="20"/>
              </w:rPr>
            </w:pPr>
          </w:p>
        </w:tc>
        <w:tc>
          <w:tcPr>
            <w:tcW w:w="1484" w:type="dxa"/>
            <w:gridSpan w:val="2"/>
            <w:tcBorders>
              <w:top w:val="single" w:color="000000" w:sz="4" w:space="0"/>
              <w:left w:val="single" w:color="000000" w:sz="4" w:space="0"/>
              <w:bottom w:val="single" w:color="000000" w:sz="4" w:space="0"/>
              <w:right w:val="single" w:color="000000" w:sz="4" w:space="0"/>
            </w:tcBorders>
            <w:noWrap w:val="0"/>
            <w:vAlign w:val="center"/>
          </w:tcPr>
          <w:p w14:paraId="30AACA9B">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分配科学性</w:t>
            </w:r>
          </w:p>
        </w:tc>
        <w:tc>
          <w:tcPr>
            <w:tcW w:w="3386" w:type="dxa"/>
            <w:gridSpan w:val="4"/>
            <w:tcBorders>
              <w:top w:val="single" w:color="000000" w:sz="4" w:space="0"/>
              <w:left w:val="single" w:color="000000" w:sz="4" w:space="0"/>
              <w:bottom w:val="single" w:color="000000" w:sz="4" w:space="0"/>
              <w:right w:val="single" w:color="000000" w:sz="4" w:space="0"/>
            </w:tcBorders>
            <w:noWrap w:val="0"/>
            <w:vAlign w:val="center"/>
          </w:tcPr>
          <w:p w14:paraId="605B6188">
            <w:pPr>
              <w:widowControl/>
              <w:spacing w:line="300" w:lineRule="exact"/>
              <w:jc w:val="left"/>
              <w:textAlignment w:val="center"/>
              <w:rPr>
                <w:rFonts w:ascii="Times New Roman" w:hAnsi="Times New Roman"/>
                <w:sz w:val="20"/>
                <w:szCs w:val="20"/>
              </w:rPr>
            </w:pPr>
            <w:r>
              <w:rPr>
                <w:rFonts w:ascii="Times New Roman" w:hAnsi="Times New Roman"/>
                <w:kern w:val="0"/>
                <w:sz w:val="20"/>
                <w:szCs w:val="20"/>
                <w:lang w:bidi="ar"/>
              </w:rPr>
              <w:t>根据《财政部 生态环境部关于印发〈土壤污染防治资金管理办法〉的通知》（财资环〔2022〕28号），所有支持项目均从中央土壤污染防治资金项目储备库（以下简称中央项目储备库）中选取，采用</w:t>
            </w:r>
            <w:r>
              <w:rPr>
                <w:rFonts w:hint="eastAsia" w:ascii="Times New Roman" w:hAnsi="Times New Roman"/>
                <w:kern w:val="0"/>
                <w:sz w:val="20"/>
                <w:szCs w:val="20"/>
                <w:lang w:bidi="ar"/>
              </w:rPr>
              <w:t>项目</w:t>
            </w:r>
            <w:r>
              <w:rPr>
                <w:rFonts w:ascii="Times New Roman" w:hAnsi="Times New Roman"/>
                <w:kern w:val="0"/>
                <w:sz w:val="20"/>
                <w:szCs w:val="20"/>
                <w:lang w:bidi="ar"/>
              </w:rPr>
              <w:t>法进行分配，未列入中央项目储备库的项目未安排资金支持。按照优先支持国家决策部署的重点方向，优先支持自治区党委、政府明确的重点任务，优先支持中央生态环境保护督察及</w:t>
            </w:r>
            <w:r>
              <w:rPr>
                <w:rFonts w:hint="eastAsia" w:ascii="Times New Roman" w:hAnsi="Times New Roman"/>
                <w:kern w:val="0"/>
                <w:sz w:val="20"/>
                <w:szCs w:val="20"/>
                <w:lang w:bidi="ar"/>
              </w:rPr>
              <w:t>“</w:t>
            </w:r>
            <w:r>
              <w:rPr>
                <w:rFonts w:ascii="Times New Roman" w:hAnsi="Times New Roman"/>
                <w:kern w:val="0"/>
                <w:sz w:val="20"/>
                <w:szCs w:val="20"/>
                <w:lang w:bidi="ar"/>
              </w:rPr>
              <w:t>回头看</w:t>
            </w:r>
            <w:r>
              <w:rPr>
                <w:rFonts w:hint="eastAsia" w:ascii="Times New Roman" w:hAnsi="Times New Roman"/>
                <w:kern w:val="0"/>
                <w:sz w:val="20"/>
                <w:szCs w:val="20"/>
                <w:lang w:bidi="ar"/>
              </w:rPr>
              <w:t>”</w:t>
            </w:r>
            <w:r>
              <w:rPr>
                <w:rFonts w:ascii="Times New Roman" w:hAnsi="Times New Roman"/>
                <w:kern w:val="0"/>
                <w:sz w:val="20"/>
                <w:szCs w:val="20"/>
                <w:lang w:bidi="ar"/>
              </w:rPr>
              <w:t>反馈意见指出的问题整改，优先支持进入预储备项目清单的项目，优先支持国家和自治区确定的土壤污染防治重点领域、区域和项目等原则，对项目申报质量高、土壤污染防治任务重、此前资金执行情况好的地市给予倾斜支持。自治区生态环境厅商</w:t>
            </w:r>
            <w:r>
              <w:rPr>
                <w:rFonts w:hint="eastAsia" w:ascii="Times New Roman" w:hAnsi="Times New Roman"/>
                <w:kern w:val="0"/>
                <w:sz w:val="20"/>
                <w:szCs w:val="20"/>
                <w:lang w:bidi="ar"/>
              </w:rPr>
              <w:t>自治区</w:t>
            </w:r>
            <w:r>
              <w:rPr>
                <w:rFonts w:ascii="Times New Roman" w:hAnsi="Times New Roman"/>
                <w:kern w:val="0"/>
                <w:sz w:val="20"/>
                <w:szCs w:val="20"/>
                <w:lang w:bidi="ar"/>
              </w:rPr>
              <w:t>财政厅制定资金项目分配方案，经自治区生态环境厅党组会议审议及公示后，由自治区生态环境厅、自治区财政厅联合行文报自治区政府审定后，再将资金分配方案等相关材料联合行文报送生态环境部、财政部。</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545435B8">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无</w:t>
            </w:r>
          </w:p>
        </w:tc>
      </w:tr>
      <w:tr w14:paraId="49705C84">
        <w:tblPrEx>
          <w:tblCellMar>
            <w:top w:w="0" w:type="dxa"/>
            <w:left w:w="108" w:type="dxa"/>
            <w:bottom w:w="0" w:type="dxa"/>
            <w:right w:w="108" w:type="dxa"/>
          </w:tblCellMar>
        </w:tblPrEx>
        <w:trPr>
          <w:trHeight w:val="1201" w:hRule="atLeast"/>
          <w:jc w:val="center"/>
        </w:trPr>
        <w:tc>
          <w:tcPr>
            <w:tcW w:w="1079"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6EA826A7">
            <w:pPr>
              <w:jc w:val="center"/>
              <w:rPr>
                <w:rFonts w:hint="eastAsia" w:ascii="宋体" w:hAnsi="宋体" w:cs="宋体"/>
                <w:sz w:val="20"/>
                <w:szCs w:val="20"/>
              </w:rPr>
            </w:pPr>
          </w:p>
        </w:tc>
        <w:tc>
          <w:tcPr>
            <w:tcW w:w="1484" w:type="dxa"/>
            <w:gridSpan w:val="2"/>
            <w:tcBorders>
              <w:top w:val="single" w:color="000000" w:sz="4" w:space="0"/>
              <w:left w:val="single" w:color="000000" w:sz="4" w:space="0"/>
              <w:bottom w:val="single" w:color="000000" w:sz="4" w:space="0"/>
              <w:right w:val="single" w:color="000000" w:sz="4" w:space="0"/>
            </w:tcBorders>
            <w:noWrap w:val="0"/>
            <w:vAlign w:val="center"/>
          </w:tcPr>
          <w:p w14:paraId="5475012E">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下达及时性</w:t>
            </w:r>
          </w:p>
        </w:tc>
        <w:tc>
          <w:tcPr>
            <w:tcW w:w="3386" w:type="dxa"/>
            <w:gridSpan w:val="4"/>
            <w:tcBorders>
              <w:top w:val="single" w:color="000000" w:sz="4" w:space="0"/>
              <w:left w:val="single" w:color="000000" w:sz="4" w:space="0"/>
              <w:bottom w:val="single" w:color="000000" w:sz="4" w:space="0"/>
              <w:right w:val="single" w:color="000000" w:sz="4" w:space="0"/>
            </w:tcBorders>
            <w:noWrap w:val="0"/>
            <w:vAlign w:val="center"/>
          </w:tcPr>
          <w:p w14:paraId="29863F47">
            <w:pPr>
              <w:pStyle w:val="7"/>
              <w:rPr>
                <w:rFonts w:hint="eastAsia" w:ascii="Times New Roman" w:hAnsi="Times New Roman" w:eastAsia="宋体" w:cs="Times New Roman"/>
                <w:color w:val="auto"/>
                <w:kern w:val="0"/>
                <w:sz w:val="20"/>
                <w:szCs w:val="20"/>
                <w:lang w:bidi="ar"/>
              </w:rPr>
            </w:pPr>
            <w:r>
              <w:rPr>
                <w:rFonts w:hint="eastAsia" w:ascii="Times New Roman" w:hAnsi="Times New Roman" w:eastAsia="宋体" w:cs="Times New Roman"/>
                <w:color w:val="auto"/>
                <w:kern w:val="0"/>
                <w:sz w:val="20"/>
                <w:szCs w:val="20"/>
                <w:lang w:bidi="ar"/>
              </w:rPr>
              <w:t>自治区财政厅于2023年11月9日收到</w:t>
            </w:r>
            <w:r>
              <w:rPr>
                <w:rFonts w:hint="eastAsia" w:ascii="Times New Roman" w:hAnsi="Times New Roman" w:eastAsia="宋体" w:cs="Times New Roman"/>
                <w:color w:val="auto"/>
                <w:kern w:val="0"/>
                <w:sz w:val="20"/>
                <w:szCs w:val="20"/>
                <w:lang w:val="en-US" w:eastAsia="zh-CN" w:bidi="ar"/>
              </w:rPr>
              <w:t>2024年</w:t>
            </w:r>
            <w:r>
              <w:rPr>
                <w:rFonts w:hint="eastAsia" w:ascii="Times New Roman" w:hAnsi="Times New Roman" w:eastAsia="宋体" w:cs="Times New Roman"/>
                <w:color w:val="auto"/>
                <w:kern w:val="0"/>
                <w:sz w:val="20"/>
                <w:szCs w:val="20"/>
                <w:lang w:eastAsia="zh-CN" w:bidi="ar"/>
              </w:rPr>
              <w:t>第一批中央资金下达文件，并于</w:t>
            </w:r>
            <w:r>
              <w:rPr>
                <w:rFonts w:hint="eastAsia" w:ascii="Times New Roman" w:hAnsi="Times New Roman" w:eastAsia="宋体" w:cs="Times New Roman"/>
                <w:color w:val="auto"/>
                <w:kern w:val="0"/>
                <w:sz w:val="20"/>
                <w:szCs w:val="20"/>
                <w:lang w:bidi="ar"/>
              </w:rPr>
              <w:t>2023年12月8日完成</w:t>
            </w:r>
            <w:r>
              <w:rPr>
                <w:rFonts w:hint="eastAsia" w:ascii="Times New Roman" w:hAnsi="Times New Roman" w:eastAsia="宋体" w:cs="Times New Roman"/>
                <w:color w:val="auto"/>
                <w:kern w:val="0"/>
                <w:sz w:val="20"/>
                <w:szCs w:val="20"/>
                <w:lang w:eastAsia="zh-CN" w:bidi="ar"/>
              </w:rPr>
              <w:t>全部资金</w:t>
            </w:r>
            <w:r>
              <w:rPr>
                <w:rFonts w:hint="eastAsia" w:ascii="Times New Roman" w:hAnsi="Times New Roman" w:eastAsia="宋体" w:cs="Times New Roman"/>
                <w:color w:val="auto"/>
                <w:kern w:val="0"/>
                <w:sz w:val="20"/>
                <w:szCs w:val="20"/>
                <w:lang w:bidi="ar"/>
              </w:rPr>
              <w:t>19614万元的分配下达（其中10854万元编入2024年自治区生态环境厅本级部门预算）</w:t>
            </w:r>
            <w:r>
              <w:rPr>
                <w:rFonts w:hint="eastAsia" w:ascii="Times New Roman" w:hAnsi="Times New Roman" w:eastAsia="宋体" w:cs="Times New Roman"/>
                <w:color w:val="auto"/>
                <w:kern w:val="0"/>
                <w:sz w:val="20"/>
                <w:szCs w:val="20"/>
                <w:lang w:eastAsia="zh-CN" w:bidi="ar"/>
              </w:rPr>
              <w:t>。自治区财政厅于</w:t>
            </w:r>
            <w:r>
              <w:rPr>
                <w:rFonts w:hint="eastAsia" w:ascii="Times New Roman" w:hAnsi="Times New Roman" w:eastAsia="宋体" w:cs="Times New Roman"/>
                <w:color w:val="auto"/>
                <w:kern w:val="0"/>
                <w:sz w:val="20"/>
                <w:szCs w:val="20"/>
                <w:lang w:bidi="ar"/>
              </w:rPr>
              <w:t>2024年6月26日收到</w:t>
            </w:r>
            <w:r>
              <w:rPr>
                <w:rFonts w:hint="eastAsia" w:ascii="Times New Roman" w:hAnsi="Times New Roman" w:eastAsia="宋体" w:cs="Times New Roman"/>
                <w:color w:val="auto"/>
                <w:kern w:val="0"/>
                <w:sz w:val="20"/>
                <w:szCs w:val="20"/>
                <w:lang w:eastAsia="zh-CN" w:bidi="ar"/>
              </w:rPr>
              <w:t>2</w:t>
            </w:r>
            <w:r>
              <w:rPr>
                <w:rFonts w:hint="eastAsia" w:ascii="Times New Roman" w:hAnsi="Times New Roman" w:eastAsia="宋体" w:cs="Times New Roman"/>
                <w:color w:val="auto"/>
                <w:kern w:val="0"/>
                <w:sz w:val="20"/>
                <w:szCs w:val="20"/>
                <w:lang w:val="en-US" w:eastAsia="zh-CN" w:bidi="ar"/>
              </w:rPr>
              <w:t>024年第二批中央资金下达文件</w:t>
            </w:r>
            <w:r>
              <w:rPr>
                <w:rFonts w:hint="eastAsia" w:ascii="Times New Roman" w:hAnsi="Times New Roman" w:eastAsia="宋体" w:cs="Times New Roman"/>
                <w:color w:val="auto"/>
                <w:kern w:val="0"/>
                <w:sz w:val="20"/>
                <w:szCs w:val="20"/>
                <w:lang w:bidi="ar"/>
              </w:rPr>
              <w:t>，</w:t>
            </w:r>
            <w:r>
              <w:rPr>
                <w:rFonts w:hint="eastAsia" w:ascii="Times New Roman" w:hAnsi="Times New Roman" w:eastAsia="宋体" w:cs="Times New Roman"/>
                <w:color w:val="auto"/>
                <w:kern w:val="0"/>
                <w:sz w:val="20"/>
                <w:szCs w:val="20"/>
                <w:lang w:eastAsia="zh-CN" w:bidi="ar"/>
              </w:rPr>
              <w:t>并于</w:t>
            </w:r>
            <w:r>
              <w:rPr>
                <w:rFonts w:hint="eastAsia" w:ascii="Times New Roman" w:hAnsi="Times New Roman" w:eastAsia="宋体" w:cs="Times New Roman"/>
                <w:color w:val="auto"/>
                <w:kern w:val="0"/>
                <w:sz w:val="20"/>
                <w:szCs w:val="20"/>
                <w:lang w:bidi="ar"/>
              </w:rPr>
              <w:t>2024年7月24日完成</w:t>
            </w:r>
            <w:r>
              <w:rPr>
                <w:rFonts w:hint="eastAsia" w:ascii="Times New Roman" w:hAnsi="Times New Roman" w:eastAsia="宋体" w:cs="Times New Roman"/>
                <w:color w:val="auto"/>
                <w:kern w:val="0"/>
                <w:sz w:val="20"/>
                <w:szCs w:val="20"/>
                <w:lang w:eastAsia="zh-CN" w:bidi="ar"/>
              </w:rPr>
              <w:t>全部资金</w:t>
            </w:r>
            <w:r>
              <w:rPr>
                <w:rFonts w:hint="eastAsia" w:ascii="Times New Roman" w:hAnsi="Times New Roman" w:eastAsia="宋体" w:cs="Times New Roman"/>
                <w:color w:val="auto"/>
                <w:kern w:val="0"/>
                <w:sz w:val="20"/>
                <w:szCs w:val="20"/>
                <w:lang w:bidi="ar"/>
              </w:rPr>
              <w:t>12335万元的分配下达（其中涉重金属历史遗留矿渣污染治理重点任务项目资金4874万元于7月5日下达），均在规定时限内按时完成资金分配下达工作。</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448F4D02">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无</w:t>
            </w:r>
          </w:p>
        </w:tc>
      </w:tr>
      <w:tr w14:paraId="289C35A5">
        <w:tblPrEx>
          <w:tblCellMar>
            <w:top w:w="0" w:type="dxa"/>
            <w:left w:w="108" w:type="dxa"/>
            <w:bottom w:w="0" w:type="dxa"/>
            <w:right w:w="108" w:type="dxa"/>
          </w:tblCellMar>
        </w:tblPrEx>
        <w:trPr>
          <w:trHeight w:val="1030" w:hRule="atLeast"/>
          <w:jc w:val="center"/>
        </w:trPr>
        <w:tc>
          <w:tcPr>
            <w:tcW w:w="1079"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5442B2A5">
            <w:pPr>
              <w:jc w:val="center"/>
              <w:rPr>
                <w:rFonts w:hint="eastAsia" w:ascii="宋体" w:hAnsi="宋体" w:cs="宋体"/>
                <w:sz w:val="20"/>
                <w:szCs w:val="20"/>
              </w:rPr>
            </w:pPr>
          </w:p>
        </w:tc>
        <w:tc>
          <w:tcPr>
            <w:tcW w:w="1484" w:type="dxa"/>
            <w:gridSpan w:val="2"/>
            <w:tcBorders>
              <w:top w:val="single" w:color="000000" w:sz="4" w:space="0"/>
              <w:left w:val="single" w:color="000000" w:sz="4" w:space="0"/>
              <w:bottom w:val="single" w:color="000000" w:sz="4" w:space="0"/>
              <w:right w:val="single" w:color="000000" w:sz="4" w:space="0"/>
            </w:tcBorders>
            <w:noWrap w:val="0"/>
            <w:vAlign w:val="center"/>
          </w:tcPr>
          <w:p w14:paraId="3A423578">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拨付合规性</w:t>
            </w:r>
          </w:p>
        </w:tc>
        <w:tc>
          <w:tcPr>
            <w:tcW w:w="3386" w:type="dxa"/>
            <w:gridSpan w:val="4"/>
            <w:tcBorders>
              <w:top w:val="single" w:color="000000" w:sz="4" w:space="0"/>
              <w:left w:val="single" w:color="000000" w:sz="4" w:space="0"/>
              <w:bottom w:val="single" w:color="000000" w:sz="4" w:space="0"/>
              <w:right w:val="single" w:color="000000" w:sz="4" w:space="0"/>
            </w:tcBorders>
            <w:noWrap w:val="0"/>
            <w:vAlign w:val="center"/>
          </w:tcPr>
          <w:p w14:paraId="30DCE11C">
            <w:pPr>
              <w:widowControl/>
              <w:spacing w:line="300" w:lineRule="exact"/>
              <w:jc w:val="left"/>
              <w:textAlignment w:val="center"/>
              <w:rPr>
                <w:rFonts w:ascii="Times New Roman" w:hAnsi="Times New Roman"/>
                <w:sz w:val="20"/>
                <w:szCs w:val="20"/>
              </w:rPr>
            </w:pPr>
            <w:r>
              <w:rPr>
                <w:rFonts w:ascii="Times New Roman" w:hAnsi="Times New Roman"/>
                <w:kern w:val="0"/>
                <w:sz w:val="20"/>
                <w:szCs w:val="20"/>
                <w:lang w:bidi="ar"/>
              </w:rPr>
              <w:t>各级中央土壤污染防治资金严格执行国库集中支付制度，未出现违规将资金从国库转入财政专户或支付到预算单位实有资金账户等问题。</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33A9F026">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无</w:t>
            </w:r>
          </w:p>
        </w:tc>
      </w:tr>
      <w:tr w14:paraId="194C7AE8">
        <w:tblPrEx>
          <w:tblCellMar>
            <w:top w:w="0" w:type="dxa"/>
            <w:left w:w="108" w:type="dxa"/>
            <w:bottom w:w="0" w:type="dxa"/>
            <w:right w:w="108" w:type="dxa"/>
          </w:tblCellMar>
        </w:tblPrEx>
        <w:trPr>
          <w:trHeight w:val="629" w:hRule="atLeast"/>
          <w:jc w:val="center"/>
        </w:trPr>
        <w:tc>
          <w:tcPr>
            <w:tcW w:w="1079"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1937ECD1">
            <w:pPr>
              <w:jc w:val="center"/>
              <w:rPr>
                <w:rFonts w:hint="eastAsia" w:ascii="宋体" w:hAnsi="宋体" w:cs="宋体"/>
                <w:sz w:val="20"/>
                <w:szCs w:val="20"/>
              </w:rPr>
            </w:pPr>
          </w:p>
        </w:tc>
        <w:tc>
          <w:tcPr>
            <w:tcW w:w="1484" w:type="dxa"/>
            <w:gridSpan w:val="2"/>
            <w:tcBorders>
              <w:top w:val="single" w:color="000000" w:sz="4" w:space="0"/>
              <w:left w:val="single" w:color="000000" w:sz="4" w:space="0"/>
              <w:bottom w:val="single" w:color="000000" w:sz="4" w:space="0"/>
              <w:right w:val="single" w:color="000000" w:sz="4" w:space="0"/>
            </w:tcBorders>
            <w:noWrap w:val="0"/>
            <w:vAlign w:val="center"/>
          </w:tcPr>
          <w:p w14:paraId="168F8AFC">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使用规范性</w:t>
            </w:r>
          </w:p>
        </w:tc>
        <w:tc>
          <w:tcPr>
            <w:tcW w:w="3386" w:type="dxa"/>
            <w:gridSpan w:val="4"/>
            <w:tcBorders>
              <w:top w:val="single" w:color="000000" w:sz="4" w:space="0"/>
              <w:left w:val="single" w:color="000000" w:sz="4" w:space="0"/>
              <w:bottom w:val="single" w:color="000000" w:sz="4" w:space="0"/>
              <w:right w:val="single" w:color="000000" w:sz="4" w:space="0"/>
            </w:tcBorders>
            <w:noWrap w:val="0"/>
            <w:vAlign w:val="center"/>
          </w:tcPr>
          <w:p w14:paraId="7E719B3F">
            <w:pPr>
              <w:pStyle w:val="7"/>
              <w:rPr>
                <w:rFonts w:hint="eastAsia" w:ascii="Times New Roman" w:hAnsi="Times New Roman" w:eastAsia="宋体" w:cs="Times New Roman"/>
                <w:color w:val="auto"/>
                <w:kern w:val="0"/>
                <w:sz w:val="20"/>
                <w:szCs w:val="20"/>
                <w:lang w:bidi="ar"/>
              </w:rPr>
            </w:pPr>
            <w:r>
              <w:rPr>
                <w:rFonts w:hint="eastAsia" w:ascii="Times New Roman" w:hAnsi="Times New Roman" w:eastAsia="宋体" w:cs="Times New Roman"/>
                <w:color w:val="auto"/>
                <w:kern w:val="0"/>
                <w:sz w:val="20"/>
                <w:szCs w:val="20"/>
                <w:lang w:bidi="ar"/>
              </w:rPr>
              <w:t>严格按照</w:t>
            </w:r>
            <w:r>
              <w:rPr>
                <w:rFonts w:ascii="Times New Roman" w:hAnsi="Times New Roman" w:eastAsia="宋体" w:cs="Times New Roman"/>
                <w:color w:val="auto"/>
                <w:kern w:val="0"/>
                <w:sz w:val="20"/>
                <w:szCs w:val="20"/>
                <w:lang w:bidi="ar"/>
              </w:rPr>
              <w:t>《</w:t>
            </w:r>
            <w:r>
              <w:rPr>
                <w:rFonts w:hint="eastAsia" w:ascii="Times New Roman" w:hAnsi="Times New Roman" w:eastAsia="宋体" w:cs="Times New Roman"/>
                <w:color w:val="auto"/>
                <w:kern w:val="0"/>
                <w:sz w:val="20"/>
                <w:szCs w:val="20"/>
                <w:lang w:bidi="ar"/>
              </w:rPr>
              <w:t>财政部 生态环境部关于印发</w:t>
            </w:r>
            <w:r>
              <w:rPr>
                <w:rFonts w:ascii="Times New Roman" w:hAnsi="Times New Roman" w:eastAsia="宋体" w:cs="Times New Roman"/>
                <w:color w:val="auto"/>
                <w:kern w:val="0"/>
                <w:sz w:val="20"/>
                <w:szCs w:val="20"/>
                <w:lang w:bidi="ar"/>
              </w:rPr>
              <w:t>〈</w:t>
            </w:r>
            <w:r>
              <w:rPr>
                <w:rFonts w:hint="eastAsia" w:ascii="Times New Roman" w:hAnsi="Times New Roman" w:eastAsia="宋体" w:cs="Times New Roman"/>
                <w:color w:val="auto"/>
                <w:kern w:val="0"/>
                <w:sz w:val="20"/>
                <w:szCs w:val="20"/>
                <w:lang w:bidi="ar"/>
              </w:rPr>
              <w:t>土壤</w:t>
            </w:r>
            <w:r>
              <w:rPr>
                <w:rFonts w:ascii="Times New Roman" w:hAnsi="Times New Roman" w:eastAsia="宋体" w:cs="Times New Roman"/>
                <w:color w:val="auto"/>
                <w:kern w:val="0"/>
                <w:sz w:val="20"/>
                <w:szCs w:val="20"/>
                <w:lang w:bidi="ar"/>
              </w:rPr>
              <w:t>污染防治资金管理办法〉的通知》（财资环〔2022〕</w:t>
            </w:r>
            <w:r>
              <w:rPr>
                <w:rFonts w:hint="eastAsia" w:ascii="Times New Roman" w:hAnsi="Times New Roman" w:eastAsia="宋体" w:cs="Times New Roman"/>
                <w:color w:val="auto"/>
                <w:kern w:val="0"/>
                <w:sz w:val="20"/>
                <w:szCs w:val="20"/>
                <w:lang w:bidi="ar"/>
              </w:rPr>
              <w:t>28</w:t>
            </w:r>
            <w:r>
              <w:rPr>
                <w:rFonts w:ascii="Times New Roman" w:hAnsi="Times New Roman" w:eastAsia="宋体" w:cs="Times New Roman"/>
                <w:color w:val="auto"/>
                <w:kern w:val="0"/>
                <w:sz w:val="20"/>
                <w:szCs w:val="20"/>
                <w:lang w:bidi="ar"/>
              </w:rPr>
              <w:t>号）</w:t>
            </w:r>
            <w:r>
              <w:rPr>
                <w:rFonts w:hint="eastAsia" w:ascii="Times New Roman" w:hAnsi="Times New Roman" w:eastAsia="宋体" w:cs="Times New Roman"/>
                <w:color w:val="auto"/>
                <w:kern w:val="0"/>
                <w:sz w:val="20"/>
                <w:szCs w:val="20"/>
                <w:lang w:bidi="ar"/>
              </w:rPr>
              <w:t>有关规定</w:t>
            </w:r>
            <w:r>
              <w:rPr>
                <w:rFonts w:ascii="Times New Roman" w:hAnsi="Times New Roman" w:eastAsia="宋体" w:cs="Times New Roman"/>
                <w:color w:val="auto"/>
                <w:kern w:val="0"/>
                <w:sz w:val="20"/>
                <w:szCs w:val="20"/>
                <w:lang w:bidi="ar"/>
              </w:rPr>
              <w:t>，</w:t>
            </w:r>
            <w:r>
              <w:rPr>
                <w:rFonts w:hint="eastAsia" w:ascii="Times New Roman" w:hAnsi="Times New Roman" w:eastAsia="宋体" w:cs="Times New Roman"/>
                <w:color w:val="auto"/>
                <w:kern w:val="0"/>
                <w:sz w:val="20"/>
                <w:szCs w:val="20"/>
                <w:lang w:bidi="ar"/>
              </w:rPr>
              <w:t>所有支持项目均从中央土壤污染防治资金项目储备库中选取， 202</w:t>
            </w:r>
            <w:r>
              <w:rPr>
                <w:rFonts w:ascii="Times New Roman" w:hAnsi="Times New Roman" w:eastAsia="宋体" w:cs="Times New Roman"/>
                <w:color w:val="auto"/>
                <w:kern w:val="0"/>
                <w:sz w:val="20"/>
                <w:szCs w:val="20"/>
                <w:lang w:bidi="ar"/>
              </w:rPr>
              <w:t>4</w:t>
            </w:r>
            <w:r>
              <w:rPr>
                <w:rFonts w:hint="eastAsia" w:ascii="Times New Roman" w:hAnsi="Times New Roman" w:eastAsia="宋体" w:cs="Times New Roman"/>
                <w:color w:val="auto"/>
                <w:kern w:val="0"/>
                <w:sz w:val="20"/>
                <w:szCs w:val="20"/>
                <w:lang w:bidi="ar"/>
              </w:rPr>
              <w:t>年土壤污染防治资金用于</w:t>
            </w:r>
            <w:r>
              <w:rPr>
                <w:rFonts w:ascii="Times New Roman" w:hAnsi="Times New Roman" w:eastAsia="宋体" w:cs="Times New Roman"/>
                <w:color w:val="auto"/>
                <w:kern w:val="0"/>
                <w:sz w:val="20"/>
                <w:szCs w:val="20"/>
                <w:lang w:bidi="ar"/>
              </w:rPr>
              <w:t>支持</w:t>
            </w:r>
            <w:r>
              <w:rPr>
                <w:rFonts w:hint="eastAsia" w:ascii="Times New Roman" w:hAnsi="Times New Roman" w:eastAsia="宋体" w:cs="Times New Roman"/>
                <w:color w:val="auto"/>
                <w:kern w:val="0"/>
                <w:sz w:val="20"/>
                <w:szCs w:val="20"/>
                <w:lang w:bidi="ar"/>
              </w:rPr>
              <w:t>土壤污染防治项目共2</w:t>
            </w:r>
            <w:r>
              <w:rPr>
                <w:rFonts w:ascii="Times New Roman" w:hAnsi="Times New Roman" w:eastAsia="宋体" w:cs="Times New Roman"/>
                <w:color w:val="auto"/>
                <w:kern w:val="0"/>
                <w:sz w:val="20"/>
                <w:szCs w:val="20"/>
                <w:lang w:bidi="ar"/>
              </w:rPr>
              <w:t>5</w:t>
            </w:r>
            <w:r>
              <w:rPr>
                <w:rFonts w:hint="eastAsia" w:ascii="Times New Roman" w:hAnsi="Times New Roman" w:eastAsia="宋体" w:cs="Times New Roman"/>
                <w:color w:val="auto"/>
                <w:kern w:val="0"/>
                <w:sz w:val="20"/>
                <w:szCs w:val="20"/>
                <w:lang w:bidi="ar"/>
              </w:rPr>
              <w:t>个，其中，土壤污染风险管控与修复项目3个，土壤污染源头防控项目1</w:t>
            </w:r>
            <w:r>
              <w:rPr>
                <w:rFonts w:ascii="Times New Roman" w:hAnsi="Times New Roman" w:eastAsia="宋体" w:cs="Times New Roman"/>
                <w:color w:val="auto"/>
                <w:kern w:val="0"/>
                <w:sz w:val="20"/>
                <w:szCs w:val="20"/>
                <w:lang w:bidi="ar"/>
              </w:rPr>
              <w:t>5</w:t>
            </w:r>
            <w:r>
              <w:rPr>
                <w:rFonts w:hint="eastAsia" w:ascii="Times New Roman" w:hAnsi="Times New Roman" w:eastAsia="宋体" w:cs="Times New Roman"/>
                <w:color w:val="auto"/>
                <w:kern w:val="0"/>
                <w:sz w:val="20"/>
                <w:szCs w:val="20"/>
                <w:lang w:bidi="ar"/>
              </w:rPr>
              <w:t>个，此外，由自治区统筹实施耕地土壤重金属污染成因排查项目</w:t>
            </w:r>
            <w:r>
              <w:rPr>
                <w:rFonts w:ascii="Times New Roman" w:hAnsi="Times New Roman" w:eastAsia="宋体" w:cs="Times New Roman"/>
                <w:color w:val="auto"/>
                <w:kern w:val="0"/>
                <w:sz w:val="20"/>
                <w:szCs w:val="20"/>
                <w:lang w:bidi="ar"/>
              </w:rPr>
              <w:t>3</w:t>
            </w:r>
            <w:r>
              <w:rPr>
                <w:rFonts w:hint="eastAsia" w:ascii="Times New Roman" w:hAnsi="Times New Roman" w:eastAsia="宋体" w:cs="Times New Roman"/>
                <w:color w:val="auto"/>
                <w:kern w:val="0"/>
                <w:sz w:val="20"/>
                <w:szCs w:val="20"/>
                <w:lang w:bidi="ar"/>
              </w:rPr>
              <w:t>个、涉镉等重金属矿区历史遗留固体废物调查项目1个、优先监管地块重点监测项目</w:t>
            </w:r>
            <w:r>
              <w:rPr>
                <w:rFonts w:ascii="Times New Roman" w:hAnsi="Times New Roman" w:eastAsia="宋体" w:cs="Times New Roman"/>
                <w:color w:val="auto"/>
                <w:kern w:val="0"/>
                <w:sz w:val="20"/>
                <w:szCs w:val="20"/>
                <w:lang w:bidi="ar"/>
              </w:rPr>
              <w:t>1</w:t>
            </w:r>
            <w:r>
              <w:rPr>
                <w:rFonts w:hint="eastAsia" w:ascii="Times New Roman" w:hAnsi="Times New Roman" w:eastAsia="宋体" w:cs="Times New Roman"/>
                <w:color w:val="auto"/>
                <w:kern w:val="0"/>
                <w:sz w:val="20"/>
                <w:szCs w:val="20"/>
                <w:lang w:bidi="ar"/>
              </w:rPr>
              <w:t>个、典型行业企业用地及周边农用地土壤污染状况调查项目1个、建设用地地块空间信息调查项目1个，均符合《土壤</w:t>
            </w:r>
            <w:r>
              <w:rPr>
                <w:rFonts w:ascii="Times New Roman" w:hAnsi="Times New Roman" w:eastAsia="宋体" w:cs="Times New Roman"/>
                <w:color w:val="auto"/>
                <w:kern w:val="0"/>
                <w:sz w:val="20"/>
                <w:szCs w:val="20"/>
                <w:lang w:bidi="ar"/>
              </w:rPr>
              <w:t>污染防治资金管理办法</w:t>
            </w:r>
            <w:r>
              <w:rPr>
                <w:rFonts w:hint="eastAsia" w:ascii="Times New Roman" w:hAnsi="Times New Roman" w:eastAsia="宋体" w:cs="Times New Roman"/>
                <w:color w:val="auto"/>
                <w:kern w:val="0"/>
                <w:sz w:val="20"/>
                <w:szCs w:val="20"/>
                <w:lang w:bidi="ar"/>
              </w:rPr>
              <w:t>》规定的支持范围。为进一步规范资金使用，自治区生态环境厅制定并印发《自治区生态环境厅办公室关于开展中央及自治区生态环境资金项目跟踪问效工作的通知》（桂环办函〔202</w:t>
            </w:r>
            <w:r>
              <w:rPr>
                <w:rFonts w:ascii="Times New Roman" w:hAnsi="Times New Roman" w:eastAsia="宋体" w:cs="Times New Roman"/>
                <w:color w:val="auto"/>
                <w:kern w:val="0"/>
                <w:sz w:val="20"/>
                <w:szCs w:val="20"/>
                <w:lang w:bidi="ar"/>
              </w:rPr>
              <w:t>4</w:t>
            </w:r>
            <w:r>
              <w:rPr>
                <w:rFonts w:hint="eastAsia" w:ascii="Times New Roman" w:hAnsi="Times New Roman" w:eastAsia="宋体" w:cs="Times New Roman"/>
                <w:color w:val="auto"/>
                <w:kern w:val="0"/>
                <w:sz w:val="20"/>
                <w:szCs w:val="20"/>
                <w:lang w:bidi="ar"/>
              </w:rPr>
              <w:t>〕</w:t>
            </w:r>
            <w:r>
              <w:rPr>
                <w:rFonts w:ascii="Times New Roman" w:hAnsi="Times New Roman" w:eastAsia="宋体" w:cs="Times New Roman"/>
                <w:color w:val="auto"/>
                <w:kern w:val="0"/>
                <w:sz w:val="20"/>
                <w:szCs w:val="20"/>
                <w:lang w:bidi="ar"/>
              </w:rPr>
              <w:t>266</w:t>
            </w:r>
            <w:r>
              <w:rPr>
                <w:rFonts w:hint="eastAsia" w:ascii="Times New Roman" w:hAnsi="Times New Roman" w:eastAsia="宋体" w:cs="Times New Roman"/>
                <w:color w:val="auto"/>
                <w:kern w:val="0"/>
                <w:sz w:val="20"/>
                <w:szCs w:val="20"/>
                <w:lang w:bidi="ar"/>
              </w:rPr>
              <w:t>号），通过座谈交流、查阅资料、实地踏勘等方式对202</w:t>
            </w:r>
            <w:r>
              <w:rPr>
                <w:rFonts w:ascii="Times New Roman" w:hAnsi="Times New Roman" w:eastAsia="宋体" w:cs="Times New Roman"/>
                <w:color w:val="auto"/>
                <w:kern w:val="0"/>
                <w:sz w:val="20"/>
                <w:szCs w:val="20"/>
                <w:lang w:bidi="ar"/>
              </w:rPr>
              <w:t>4</w:t>
            </w:r>
            <w:r>
              <w:rPr>
                <w:rFonts w:hint="eastAsia" w:ascii="Times New Roman" w:hAnsi="Times New Roman" w:eastAsia="宋体" w:cs="Times New Roman"/>
                <w:color w:val="auto"/>
                <w:kern w:val="0"/>
                <w:sz w:val="20"/>
                <w:szCs w:val="20"/>
                <w:lang w:bidi="ar"/>
              </w:rPr>
              <w:t>年中央及自治区生态环境专项资金项目进行跟踪问效、帮扶指导，要求各项目单位落实相关制度要求，加快推进项目实施和预算执行进度，切实提高资金使用效益。</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31E406F6">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无</w:t>
            </w:r>
          </w:p>
        </w:tc>
      </w:tr>
      <w:tr w14:paraId="040E0B9B">
        <w:tblPrEx>
          <w:tblCellMar>
            <w:top w:w="0" w:type="dxa"/>
            <w:left w:w="108" w:type="dxa"/>
            <w:bottom w:w="0" w:type="dxa"/>
            <w:right w:w="108" w:type="dxa"/>
          </w:tblCellMar>
        </w:tblPrEx>
        <w:trPr>
          <w:trHeight w:val="699" w:hRule="atLeast"/>
          <w:jc w:val="center"/>
        </w:trPr>
        <w:tc>
          <w:tcPr>
            <w:tcW w:w="1079"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479C610F">
            <w:pPr>
              <w:jc w:val="center"/>
              <w:rPr>
                <w:rFonts w:hint="eastAsia" w:ascii="宋体" w:hAnsi="宋体" w:cs="宋体"/>
                <w:sz w:val="20"/>
                <w:szCs w:val="20"/>
              </w:rPr>
            </w:pPr>
          </w:p>
        </w:tc>
        <w:tc>
          <w:tcPr>
            <w:tcW w:w="1484" w:type="dxa"/>
            <w:gridSpan w:val="2"/>
            <w:tcBorders>
              <w:top w:val="single" w:color="000000" w:sz="4" w:space="0"/>
              <w:left w:val="single" w:color="000000" w:sz="4" w:space="0"/>
              <w:bottom w:val="single" w:color="000000" w:sz="4" w:space="0"/>
              <w:right w:val="single" w:color="000000" w:sz="4" w:space="0"/>
            </w:tcBorders>
            <w:noWrap w:val="0"/>
            <w:vAlign w:val="center"/>
          </w:tcPr>
          <w:p w14:paraId="169A0437">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执行准确性</w:t>
            </w:r>
          </w:p>
        </w:tc>
        <w:tc>
          <w:tcPr>
            <w:tcW w:w="3386" w:type="dxa"/>
            <w:gridSpan w:val="4"/>
            <w:tcBorders>
              <w:top w:val="single" w:color="000000" w:sz="4" w:space="0"/>
              <w:left w:val="single" w:color="000000" w:sz="4" w:space="0"/>
              <w:bottom w:val="single" w:color="000000" w:sz="4" w:space="0"/>
              <w:right w:val="single" w:color="000000" w:sz="4" w:space="0"/>
            </w:tcBorders>
            <w:noWrap w:val="0"/>
            <w:vAlign w:val="center"/>
          </w:tcPr>
          <w:p w14:paraId="63BE3BD3">
            <w:pPr>
              <w:widowControl/>
              <w:spacing w:line="300" w:lineRule="exact"/>
              <w:jc w:val="left"/>
              <w:textAlignment w:val="center"/>
              <w:rPr>
                <w:rFonts w:hint="eastAsia" w:ascii="Times New Roman" w:hAnsi="Times New Roman"/>
                <w:sz w:val="20"/>
                <w:szCs w:val="20"/>
              </w:rPr>
            </w:pPr>
            <w:r>
              <w:rPr>
                <w:rFonts w:hint="eastAsia" w:ascii="Times New Roman" w:hAnsi="Times New Roman"/>
                <w:kern w:val="0"/>
                <w:sz w:val="20"/>
                <w:szCs w:val="20"/>
                <w:lang w:bidi="ar"/>
              </w:rPr>
              <w:t>各级中央土壤污染防治资金严格按照下达预算的科目和项目执行，未发现截留、挤占、挪用或擅自调整等问题。各项目单位严格按照分配下达的中央土壤污染防治资金执行，未发现执行数偏离预算数较多的问题。但由于支持的项目实施周期均为2年左右，目前仍在实施周期内，加之部分项目招投标前期工作耗时长，目前尚未开工，未达到资金拨付条件，导致资金执行率整体偏低，截至目前广西2024年度中央土壤污染防治资金执行率为48.66%。</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1903A79F">
            <w:pPr>
              <w:widowControl/>
              <w:ind w:firstLine="0" w:firstLineChars="0"/>
              <w:jc w:val="both"/>
              <w:textAlignment w:val="center"/>
              <w:rPr>
                <w:rFonts w:hint="eastAsia" w:ascii="宋体" w:hAnsi="宋体" w:cs="宋体"/>
                <w:kern w:val="0"/>
                <w:sz w:val="20"/>
                <w:szCs w:val="20"/>
                <w:lang w:eastAsia="zh-CN" w:bidi="ar"/>
              </w:rPr>
            </w:pPr>
            <w:r>
              <w:rPr>
                <w:rFonts w:hint="eastAsia" w:ascii="宋体" w:hAnsi="宋体" w:cs="宋体"/>
                <w:kern w:val="0"/>
                <w:sz w:val="20"/>
                <w:szCs w:val="20"/>
                <w:lang w:val="en-US" w:eastAsia="zh-CN" w:bidi="ar"/>
              </w:rPr>
              <w:t>1.存在问题：</w:t>
            </w:r>
            <w:r>
              <w:rPr>
                <w:rFonts w:hint="eastAsia" w:ascii="宋体" w:hAnsi="宋体" w:cs="宋体"/>
                <w:kern w:val="0"/>
                <w:sz w:val="20"/>
                <w:szCs w:val="20"/>
                <w:lang w:bidi="ar"/>
              </w:rPr>
              <w:t>获得2024年第二批中央资金支持的原武鸣县保利矿业有限责任公司历史遗留污染源整治项目、广西武鸣区马头镇三源选矿厂历史遗留污染源治理项目、宾阳县三伞历史遗留固体废物堆存区环境治理工程、宾阳县良泗历史遗留固体废物堆存区环境治理工程、刁江流域污染矿区治理-铁丰福利矿冶场地治理修复工程和武宣县泰龙矿业有限责任公司狮子岭铅锌矿历史遗留固体废物整治项目等6个历史遗留污染源治理项目，因开展项目测绘、勘察、施工图设计、财政评审、招投标等前期工作耗时较长，导致</w:t>
            </w:r>
            <w:r>
              <w:rPr>
                <w:rFonts w:hint="eastAsia" w:ascii="宋体" w:hAnsi="宋体" w:cs="宋体"/>
                <w:kern w:val="0"/>
                <w:sz w:val="20"/>
                <w:szCs w:val="20"/>
                <w:lang w:eastAsia="zh-CN" w:bidi="ar"/>
              </w:rPr>
              <w:t>项目</w:t>
            </w:r>
            <w:r>
              <w:rPr>
                <w:rFonts w:hint="eastAsia" w:ascii="宋体" w:hAnsi="宋体" w:cs="宋体"/>
                <w:kern w:val="0"/>
                <w:sz w:val="20"/>
                <w:szCs w:val="20"/>
                <w:lang w:bidi="ar"/>
              </w:rPr>
              <w:t>目前</w:t>
            </w:r>
            <w:r>
              <w:rPr>
                <w:rFonts w:hint="eastAsia" w:ascii="宋体" w:hAnsi="宋体" w:cs="宋体"/>
                <w:kern w:val="0"/>
                <w:sz w:val="20"/>
                <w:szCs w:val="20"/>
                <w:lang w:eastAsia="zh-CN" w:bidi="ar"/>
              </w:rPr>
              <w:t>尚未开工，未达到资金拨付条件。</w:t>
            </w:r>
          </w:p>
          <w:p w14:paraId="36FFB9C3">
            <w:pPr>
              <w:widowControl/>
              <w:ind w:firstLine="0" w:firstLineChars="0"/>
              <w:jc w:val="both"/>
              <w:textAlignment w:val="center"/>
              <w:rPr>
                <w:rFonts w:hint="default" w:ascii="宋体" w:hAnsi="宋体" w:cs="宋体"/>
                <w:kern w:val="0"/>
                <w:sz w:val="20"/>
                <w:szCs w:val="20"/>
                <w:lang w:val="en-US" w:eastAsia="zh-CN" w:bidi="ar"/>
              </w:rPr>
            </w:pPr>
            <w:r>
              <w:rPr>
                <w:rFonts w:hint="eastAsia" w:ascii="宋体" w:hAnsi="宋体" w:cs="宋体"/>
                <w:kern w:val="0"/>
                <w:sz w:val="20"/>
                <w:szCs w:val="20"/>
                <w:lang w:val="en-US" w:eastAsia="zh-CN" w:bidi="ar"/>
              </w:rPr>
              <w:t>2.改进措施：加大帮扶指导，督促项目实施单位尽快按相关程序开展实施，加快项目开工建设。</w:t>
            </w:r>
          </w:p>
        </w:tc>
      </w:tr>
      <w:tr w14:paraId="4BC0A727">
        <w:tblPrEx>
          <w:tblCellMar>
            <w:top w:w="0" w:type="dxa"/>
            <w:left w:w="108" w:type="dxa"/>
            <w:bottom w:w="0" w:type="dxa"/>
            <w:right w:w="108" w:type="dxa"/>
          </w:tblCellMar>
        </w:tblPrEx>
        <w:trPr>
          <w:trHeight w:val="1076" w:hRule="atLeast"/>
          <w:jc w:val="center"/>
        </w:trPr>
        <w:tc>
          <w:tcPr>
            <w:tcW w:w="1079"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73E85701">
            <w:pPr>
              <w:jc w:val="center"/>
              <w:rPr>
                <w:rFonts w:hint="eastAsia" w:ascii="宋体" w:hAnsi="宋体" w:cs="宋体"/>
                <w:sz w:val="20"/>
                <w:szCs w:val="20"/>
              </w:rPr>
            </w:pPr>
          </w:p>
        </w:tc>
        <w:tc>
          <w:tcPr>
            <w:tcW w:w="1484" w:type="dxa"/>
            <w:gridSpan w:val="2"/>
            <w:tcBorders>
              <w:top w:val="single" w:color="000000" w:sz="4" w:space="0"/>
              <w:left w:val="single" w:color="000000" w:sz="4" w:space="0"/>
              <w:bottom w:val="single" w:color="000000" w:sz="4" w:space="0"/>
              <w:right w:val="single" w:color="000000" w:sz="4" w:space="0"/>
            </w:tcBorders>
            <w:noWrap w:val="0"/>
            <w:vAlign w:val="center"/>
          </w:tcPr>
          <w:p w14:paraId="5E5F6DCD">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预算绩效管理情况</w:t>
            </w:r>
          </w:p>
        </w:tc>
        <w:tc>
          <w:tcPr>
            <w:tcW w:w="3386" w:type="dxa"/>
            <w:gridSpan w:val="4"/>
            <w:tcBorders>
              <w:top w:val="single" w:color="000000" w:sz="4" w:space="0"/>
              <w:left w:val="single" w:color="000000" w:sz="4" w:space="0"/>
              <w:bottom w:val="single" w:color="000000" w:sz="4" w:space="0"/>
              <w:right w:val="single" w:color="000000" w:sz="4" w:space="0"/>
            </w:tcBorders>
            <w:noWrap w:val="0"/>
            <w:vAlign w:val="center"/>
          </w:tcPr>
          <w:p w14:paraId="250B2316">
            <w:pPr>
              <w:widowControl/>
              <w:spacing w:line="300" w:lineRule="exact"/>
              <w:jc w:val="left"/>
              <w:textAlignment w:val="center"/>
              <w:rPr>
                <w:rFonts w:ascii="Times New Roman" w:hAnsi="Times New Roman"/>
                <w:sz w:val="20"/>
                <w:szCs w:val="20"/>
              </w:rPr>
            </w:pPr>
            <w:r>
              <w:rPr>
                <w:rFonts w:hint="eastAsia" w:ascii="Times New Roman" w:hAnsi="Times New Roman"/>
                <w:kern w:val="0"/>
                <w:sz w:val="20"/>
                <w:szCs w:val="20"/>
                <w:lang w:bidi="ar"/>
              </w:rPr>
              <w:t>自治区生态环境厅严格按照中央文件下达的绩效目标组织项目实施，开展资金绩效运行监控和绩效自评。</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5E75C927">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无</w:t>
            </w:r>
          </w:p>
        </w:tc>
      </w:tr>
      <w:tr w14:paraId="671942B5">
        <w:tblPrEx>
          <w:tblCellMar>
            <w:top w:w="0" w:type="dxa"/>
            <w:left w:w="108" w:type="dxa"/>
            <w:bottom w:w="0" w:type="dxa"/>
            <w:right w:w="108" w:type="dxa"/>
          </w:tblCellMar>
        </w:tblPrEx>
        <w:trPr>
          <w:trHeight w:val="1270" w:hRule="atLeast"/>
          <w:jc w:val="center"/>
        </w:trPr>
        <w:tc>
          <w:tcPr>
            <w:tcW w:w="1079" w:type="dxa"/>
            <w:gridSpan w:val="2"/>
            <w:vMerge w:val="continue"/>
            <w:tcBorders>
              <w:top w:val="single" w:color="000000" w:sz="4" w:space="0"/>
              <w:left w:val="single" w:color="000000" w:sz="4" w:space="0"/>
              <w:bottom w:val="single" w:color="000000" w:sz="4" w:space="0"/>
              <w:right w:val="single" w:color="000000" w:sz="4" w:space="0"/>
            </w:tcBorders>
            <w:noWrap w:val="0"/>
            <w:vAlign w:val="center"/>
          </w:tcPr>
          <w:p w14:paraId="311324A6">
            <w:pPr>
              <w:jc w:val="center"/>
              <w:rPr>
                <w:rFonts w:hint="eastAsia" w:ascii="宋体" w:hAnsi="宋体" w:cs="宋体"/>
                <w:sz w:val="20"/>
                <w:szCs w:val="20"/>
              </w:rPr>
            </w:pPr>
          </w:p>
        </w:tc>
        <w:tc>
          <w:tcPr>
            <w:tcW w:w="1484" w:type="dxa"/>
            <w:gridSpan w:val="2"/>
            <w:tcBorders>
              <w:top w:val="single" w:color="000000" w:sz="4" w:space="0"/>
              <w:left w:val="single" w:color="000000" w:sz="4" w:space="0"/>
              <w:bottom w:val="single" w:color="000000" w:sz="4" w:space="0"/>
              <w:right w:val="single" w:color="000000" w:sz="4" w:space="0"/>
            </w:tcBorders>
            <w:noWrap w:val="0"/>
            <w:vAlign w:val="center"/>
          </w:tcPr>
          <w:p w14:paraId="41D19A39">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支出责任履行情况</w:t>
            </w:r>
          </w:p>
        </w:tc>
        <w:tc>
          <w:tcPr>
            <w:tcW w:w="3386" w:type="dxa"/>
            <w:gridSpan w:val="4"/>
            <w:tcBorders>
              <w:top w:val="single" w:color="000000" w:sz="4" w:space="0"/>
              <w:left w:val="single" w:color="000000" w:sz="4" w:space="0"/>
              <w:bottom w:val="single" w:color="000000" w:sz="4" w:space="0"/>
              <w:right w:val="single" w:color="000000" w:sz="4" w:space="0"/>
            </w:tcBorders>
            <w:noWrap w:val="0"/>
            <w:vAlign w:val="center"/>
          </w:tcPr>
          <w:p w14:paraId="0D7E41DC">
            <w:pPr>
              <w:widowControl/>
              <w:spacing w:line="300" w:lineRule="exact"/>
              <w:jc w:val="left"/>
              <w:textAlignment w:val="center"/>
              <w:rPr>
                <w:rFonts w:ascii="Times New Roman" w:hAnsi="Times New Roman"/>
                <w:sz w:val="20"/>
                <w:szCs w:val="20"/>
              </w:rPr>
            </w:pPr>
            <w:r>
              <w:rPr>
                <w:rFonts w:hint="eastAsia" w:ascii="Times New Roman" w:hAnsi="Times New Roman"/>
                <w:sz w:val="20"/>
                <w:szCs w:val="20"/>
              </w:rPr>
              <w:t>中央土壤污染防治资金属于中央专项转移支付支出，</w:t>
            </w:r>
            <w:r>
              <w:rPr>
                <w:rFonts w:ascii="Times New Roman" w:hAnsi="Times New Roman"/>
                <w:sz w:val="20"/>
                <w:szCs w:val="20"/>
              </w:rPr>
              <w:t>2024年广西</w:t>
            </w:r>
            <w:r>
              <w:rPr>
                <w:rFonts w:hint="eastAsia" w:ascii="Times New Roman" w:hAnsi="Times New Roman"/>
                <w:sz w:val="20"/>
                <w:szCs w:val="20"/>
              </w:rPr>
              <w:t>共</w:t>
            </w:r>
            <w:r>
              <w:rPr>
                <w:rFonts w:ascii="Times New Roman" w:hAnsi="Times New Roman"/>
                <w:sz w:val="20"/>
                <w:szCs w:val="20"/>
              </w:rPr>
              <w:t>获得中央资金31949</w:t>
            </w:r>
            <w:r>
              <w:rPr>
                <w:rFonts w:hint="eastAsia" w:ascii="Times New Roman" w:hAnsi="Times New Roman"/>
                <w:sz w:val="20"/>
                <w:szCs w:val="20"/>
              </w:rPr>
              <w:t>万元</w:t>
            </w:r>
            <w:r>
              <w:rPr>
                <w:rFonts w:ascii="Times New Roman" w:hAnsi="Times New Roman"/>
                <w:sz w:val="20"/>
                <w:szCs w:val="20"/>
              </w:rPr>
              <w:t>，</w:t>
            </w:r>
            <w:r>
              <w:rPr>
                <w:rFonts w:hint="eastAsia" w:ascii="Times New Roman" w:hAnsi="Times New Roman"/>
                <w:sz w:val="20"/>
                <w:szCs w:val="20"/>
              </w:rPr>
              <w:t>带动地方和社会资金投入</w:t>
            </w:r>
            <w:r>
              <w:rPr>
                <w:rFonts w:ascii="Times New Roman" w:hAnsi="Times New Roman"/>
                <w:sz w:val="20"/>
                <w:szCs w:val="20"/>
              </w:rPr>
              <w:t>68813.31</w:t>
            </w:r>
            <w:r>
              <w:rPr>
                <w:rFonts w:hint="eastAsia" w:ascii="Times New Roman" w:hAnsi="Times New Roman"/>
                <w:sz w:val="20"/>
                <w:szCs w:val="20"/>
              </w:rPr>
              <w:t>万元</w:t>
            </w:r>
            <w:r>
              <w:rPr>
                <w:rFonts w:ascii="Times New Roman" w:hAnsi="Times New Roman"/>
                <w:sz w:val="20"/>
                <w:szCs w:val="20"/>
              </w:rPr>
              <w:t>。</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4C1DF844">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无</w:t>
            </w:r>
          </w:p>
        </w:tc>
      </w:tr>
      <w:tr w14:paraId="46D2F730">
        <w:tblPrEx>
          <w:tblCellMar>
            <w:top w:w="0" w:type="dxa"/>
            <w:left w:w="108" w:type="dxa"/>
            <w:bottom w:w="0" w:type="dxa"/>
            <w:right w:w="108" w:type="dxa"/>
          </w:tblCellMar>
        </w:tblPrEx>
        <w:trPr>
          <w:trHeight w:val="391" w:hRule="atLeast"/>
          <w:jc w:val="center"/>
        </w:trPr>
        <w:tc>
          <w:tcPr>
            <w:tcW w:w="416" w:type="dxa"/>
            <w:vMerge w:val="restart"/>
            <w:tcBorders>
              <w:top w:val="single" w:color="000000" w:sz="4" w:space="0"/>
              <w:left w:val="single" w:color="000000" w:sz="4" w:space="0"/>
              <w:bottom w:val="single" w:color="000000" w:sz="4" w:space="0"/>
              <w:right w:val="single" w:color="000000" w:sz="4" w:space="0"/>
            </w:tcBorders>
            <w:noWrap w:val="0"/>
            <w:vAlign w:val="center"/>
          </w:tcPr>
          <w:p w14:paraId="1442B0C9">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总体目标完成情况</w:t>
            </w:r>
          </w:p>
        </w:tc>
        <w:tc>
          <w:tcPr>
            <w:tcW w:w="3213" w:type="dxa"/>
            <w:gridSpan w:val="4"/>
            <w:tcBorders>
              <w:top w:val="single" w:color="000000" w:sz="4" w:space="0"/>
              <w:left w:val="single" w:color="000000" w:sz="4" w:space="0"/>
              <w:bottom w:val="single" w:color="000000" w:sz="4" w:space="0"/>
              <w:right w:val="single" w:color="000000" w:sz="4" w:space="0"/>
            </w:tcBorders>
            <w:noWrap w:val="0"/>
            <w:vAlign w:val="center"/>
          </w:tcPr>
          <w:p w14:paraId="128B2BDC">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总体目标</w:t>
            </w:r>
          </w:p>
        </w:tc>
        <w:tc>
          <w:tcPr>
            <w:tcW w:w="6127" w:type="dxa"/>
            <w:gridSpan w:val="4"/>
            <w:tcBorders>
              <w:top w:val="single" w:color="000000" w:sz="4" w:space="0"/>
              <w:left w:val="single" w:color="000000" w:sz="4" w:space="0"/>
              <w:bottom w:val="single" w:color="000000" w:sz="4" w:space="0"/>
              <w:right w:val="single" w:color="000000" w:sz="4" w:space="0"/>
            </w:tcBorders>
            <w:noWrap w:val="0"/>
            <w:vAlign w:val="center"/>
          </w:tcPr>
          <w:p w14:paraId="2A589758">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全年实际完成情况</w:t>
            </w:r>
          </w:p>
        </w:tc>
      </w:tr>
      <w:tr w14:paraId="52675F98">
        <w:tblPrEx>
          <w:tblCellMar>
            <w:top w:w="0" w:type="dxa"/>
            <w:left w:w="108" w:type="dxa"/>
            <w:bottom w:w="0" w:type="dxa"/>
            <w:right w:w="108" w:type="dxa"/>
          </w:tblCellMar>
        </w:tblPrEx>
        <w:trPr>
          <w:trHeight w:val="373" w:hRule="atLeast"/>
          <w:jc w:val="center"/>
        </w:trPr>
        <w:tc>
          <w:tcPr>
            <w:tcW w:w="4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3BFA2A89">
            <w:pPr>
              <w:jc w:val="center"/>
              <w:rPr>
                <w:rFonts w:hint="eastAsia" w:ascii="宋体" w:hAnsi="宋体" w:cs="宋体"/>
                <w:sz w:val="20"/>
                <w:szCs w:val="20"/>
              </w:rPr>
            </w:pPr>
          </w:p>
        </w:tc>
        <w:tc>
          <w:tcPr>
            <w:tcW w:w="3213"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14:paraId="13BF5F89">
            <w:pPr>
              <w:widowControl/>
              <w:spacing w:line="300" w:lineRule="exact"/>
              <w:jc w:val="left"/>
              <w:textAlignment w:val="center"/>
              <w:rPr>
                <w:rFonts w:ascii="Times New Roman" w:hAnsi="Times New Roman"/>
                <w:kern w:val="0"/>
                <w:sz w:val="20"/>
                <w:szCs w:val="20"/>
                <w:lang w:bidi="ar"/>
              </w:rPr>
            </w:pPr>
            <w:r>
              <w:rPr>
                <w:rFonts w:hint="eastAsia" w:ascii="Times New Roman" w:hAnsi="Times New Roman"/>
                <w:kern w:val="0"/>
                <w:sz w:val="20"/>
                <w:szCs w:val="20"/>
                <w:lang w:bidi="ar"/>
              </w:rPr>
              <w:t>支持自治区本级以及南宁、桂林、钦州、百色、河池、来宾等市开展土壤污染源头防控、土壤污染源头调查、在产企业土壤污染源头预防、建设用地土壤污染风险管控与修复、地块调查和监测等土壤污染防治项目，实施涉重金属历史遗留矿渣污染治理项目，妥善解决一批历史遗留污染问题，保持辖区土壤环境质量稳中向好。</w:t>
            </w:r>
          </w:p>
        </w:tc>
        <w:tc>
          <w:tcPr>
            <w:tcW w:w="6127" w:type="dxa"/>
            <w:gridSpan w:val="4"/>
            <w:vMerge w:val="restart"/>
            <w:tcBorders>
              <w:top w:val="single" w:color="000000" w:sz="4" w:space="0"/>
              <w:left w:val="single" w:color="000000" w:sz="4" w:space="0"/>
              <w:bottom w:val="single" w:color="000000" w:sz="4" w:space="0"/>
              <w:right w:val="single" w:color="000000" w:sz="4" w:space="0"/>
            </w:tcBorders>
            <w:noWrap w:val="0"/>
            <w:vAlign w:val="center"/>
          </w:tcPr>
          <w:p w14:paraId="6F716F25">
            <w:pPr>
              <w:widowControl/>
              <w:spacing w:line="300" w:lineRule="exact"/>
              <w:jc w:val="left"/>
              <w:textAlignment w:val="center"/>
              <w:rPr>
                <w:rFonts w:ascii="Times New Roman" w:hAnsi="Times New Roman"/>
                <w:kern w:val="0"/>
                <w:sz w:val="20"/>
                <w:szCs w:val="20"/>
                <w:lang w:bidi="ar"/>
              </w:rPr>
            </w:pPr>
            <w:r>
              <w:rPr>
                <w:rFonts w:hint="eastAsia" w:ascii="Times New Roman" w:hAnsi="Times New Roman"/>
                <w:kern w:val="0"/>
                <w:sz w:val="20"/>
                <w:szCs w:val="20"/>
                <w:lang w:bidi="ar"/>
              </w:rPr>
              <w:t>2024年共支持自治区本级以及南宁、桂林、钦州、百色、河池、来宾等市开展25个土壤污染防治项目，其中，土壤污染源头防控及在产企业土壤污染源头预防项目共11个，土壤污染源头调查项目8个，建设用地土壤污染风险管控与修复项目3个，地块调查和监测项目3个。组织实施涉重金属历史遗留矿渣污染治理项目8个，其中6个项目仍处于前期阶段尚未开工，2个项目仍在实施周期内，尚未完成污染源管控治理工作，对周边耕地的影响风险仍存在，因此未能妥善解决历史遗留污染问题，2024年度总体绩效目标部分未达成。</w:t>
            </w:r>
          </w:p>
        </w:tc>
      </w:tr>
      <w:tr w14:paraId="1EE83DE6">
        <w:tblPrEx>
          <w:tblCellMar>
            <w:top w:w="0" w:type="dxa"/>
            <w:left w:w="108" w:type="dxa"/>
            <w:bottom w:w="0" w:type="dxa"/>
            <w:right w:w="108" w:type="dxa"/>
          </w:tblCellMar>
        </w:tblPrEx>
        <w:trPr>
          <w:trHeight w:val="3231" w:hRule="atLeast"/>
          <w:jc w:val="center"/>
        </w:trPr>
        <w:tc>
          <w:tcPr>
            <w:tcW w:w="4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61919BAD">
            <w:pPr>
              <w:jc w:val="center"/>
              <w:rPr>
                <w:rFonts w:hint="eastAsia" w:ascii="宋体" w:hAnsi="宋体" w:cs="宋体"/>
                <w:sz w:val="20"/>
                <w:szCs w:val="20"/>
              </w:rPr>
            </w:pPr>
          </w:p>
        </w:tc>
        <w:tc>
          <w:tcPr>
            <w:tcW w:w="3213"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14:paraId="2A22613F">
            <w:pPr>
              <w:jc w:val="left"/>
              <w:rPr>
                <w:rFonts w:hint="eastAsia" w:ascii="宋体" w:hAnsi="宋体" w:cs="宋体"/>
                <w:sz w:val="20"/>
                <w:szCs w:val="20"/>
              </w:rPr>
            </w:pPr>
          </w:p>
        </w:tc>
        <w:tc>
          <w:tcPr>
            <w:tcW w:w="6127" w:type="dxa"/>
            <w:gridSpan w:val="4"/>
            <w:vMerge w:val="continue"/>
            <w:tcBorders>
              <w:top w:val="single" w:color="000000" w:sz="4" w:space="0"/>
              <w:left w:val="single" w:color="000000" w:sz="4" w:space="0"/>
              <w:bottom w:val="single" w:color="000000" w:sz="4" w:space="0"/>
              <w:right w:val="single" w:color="000000" w:sz="4" w:space="0"/>
            </w:tcBorders>
            <w:noWrap w:val="0"/>
            <w:vAlign w:val="center"/>
          </w:tcPr>
          <w:p w14:paraId="65C3240E">
            <w:pPr>
              <w:jc w:val="left"/>
              <w:rPr>
                <w:rFonts w:hint="eastAsia" w:ascii="宋体" w:hAnsi="宋体" w:cs="宋体"/>
                <w:sz w:val="20"/>
                <w:szCs w:val="20"/>
              </w:rPr>
            </w:pPr>
          </w:p>
        </w:tc>
      </w:tr>
      <w:tr w14:paraId="509264D7">
        <w:tblPrEx>
          <w:tblCellMar>
            <w:top w:w="0" w:type="dxa"/>
            <w:left w:w="108" w:type="dxa"/>
            <w:bottom w:w="0" w:type="dxa"/>
            <w:right w:w="108" w:type="dxa"/>
          </w:tblCellMar>
        </w:tblPrEx>
        <w:trPr>
          <w:trHeight w:val="640" w:hRule="atLeast"/>
          <w:jc w:val="center"/>
        </w:trPr>
        <w:tc>
          <w:tcPr>
            <w:tcW w:w="416" w:type="dxa"/>
            <w:vMerge w:val="restart"/>
            <w:tcBorders>
              <w:top w:val="single" w:color="000000" w:sz="4" w:space="0"/>
              <w:left w:val="single" w:color="000000" w:sz="4" w:space="0"/>
              <w:bottom w:val="single" w:color="000000" w:sz="4" w:space="0"/>
              <w:right w:val="single" w:color="000000" w:sz="4" w:space="0"/>
            </w:tcBorders>
            <w:noWrap w:val="0"/>
            <w:vAlign w:val="center"/>
          </w:tcPr>
          <w:p w14:paraId="6059AE17">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绩效指标</w:t>
            </w:r>
          </w:p>
        </w:tc>
        <w:tc>
          <w:tcPr>
            <w:tcW w:w="663" w:type="dxa"/>
            <w:tcBorders>
              <w:top w:val="single" w:color="000000" w:sz="4" w:space="0"/>
              <w:left w:val="single" w:color="000000" w:sz="4" w:space="0"/>
              <w:bottom w:val="single" w:color="000000" w:sz="4" w:space="0"/>
              <w:right w:val="single" w:color="000000" w:sz="4" w:space="0"/>
            </w:tcBorders>
            <w:noWrap w:val="0"/>
            <w:vAlign w:val="center"/>
          </w:tcPr>
          <w:p w14:paraId="4DF8533F">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一级指标</w:t>
            </w:r>
          </w:p>
        </w:tc>
        <w:tc>
          <w:tcPr>
            <w:tcW w:w="785" w:type="dxa"/>
            <w:tcBorders>
              <w:top w:val="single" w:color="000000" w:sz="4" w:space="0"/>
              <w:left w:val="single" w:color="000000" w:sz="4" w:space="0"/>
              <w:bottom w:val="single" w:color="000000" w:sz="4" w:space="0"/>
              <w:right w:val="single" w:color="000000" w:sz="4" w:space="0"/>
            </w:tcBorders>
            <w:noWrap w:val="0"/>
            <w:vAlign w:val="center"/>
          </w:tcPr>
          <w:p w14:paraId="014C1FBF">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二级指标</w:t>
            </w:r>
          </w:p>
        </w:tc>
        <w:tc>
          <w:tcPr>
            <w:tcW w:w="1765" w:type="dxa"/>
            <w:gridSpan w:val="2"/>
            <w:tcBorders>
              <w:top w:val="single" w:color="000000" w:sz="4" w:space="0"/>
              <w:left w:val="nil"/>
              <w:bottom w:val="single" w:color="000000" w:sz="4" w:space="0"/>
              <w:right w:val="single" w:color="000000" w:sz="4" w:space="0"/>
            </w:tcBorders>
            <w:noWrap w:val="0"/>
            <w:vAlign w:val="center"/>
          </w:tcPr>
          <w:p w14:paraId="4D4BAEFF">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三级指标</w:t>
            </w:r>
          </w:p>
        </w:tc>
        <w:tc>
          <w:tcPr>
            <w:tcW w:w="1082" w:type="dxa"/>
            <w:tcBorders>
              <w:top w:val="single" w:color="000000" w:sz="4" w:space="0"/>
              <w:left w:val="single" w:color="000000" w:sz="4" w:space="0"/>
              <w:bottom w:val="single" w:color="000000" w:sz="4" w:space="0"/>
              <w:right w:val="single" w:color="000000" w:sz="4" w:space="0"/>
            </w:tcBorders>
            <w:noWrap w:val="0"/>
            <w:vAlign w:val="center"/>
          </w:tcPr>
          <w:p w14:paraId="1F8DAA5F">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年度指标值</w:t>
            </w:r>
          </w:p>
        </w:tc>
        <w:tc>
          <w:tcPr>
            <w:tcW w:w="1238" w:type="dxa"/>
            <w:gridSpan w:val="2"/>
            <w:tcBorders>
              <w:top w:val="single" w:color="000000" w:sz="4" w:space="0"/>
              <w:left w:val="single" w:color="000000" w:sz="4" w:space="0"/>
              <w:bottom w:val="single" w:color="000000" w:sz="4" w:space="0"/>
              <w:right w:val="single" w:color="000000" w:sz="4" w:space="0"/>
            </w:tcBorders>
            <w:noWrap w:val="0"/>
            <w:vAlign w:val="center"/>
          </w:tcPr>
          <w:p w14:paraId="2C348964">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全年完成值</w:t>
            </w:r>
          </w:p>
        </w:tc>
        <w:tc>
          <w:tcPr>
            <w:tcW w:w="3807" w:type="dxa"/>
            <w:tcBorders>
              <w:top w:val="single" w:color="000000" w:sz="4" w:space="0"/>
              <w:left w:val="single" w:color="000000" w:sz="4" w:space="0"/>
              <w:bottom w:val="single" w:color="000000" w:sz="4" w:space="0"/>
              <w:right w:val="single" w:color="000000" w:sz="4" w:space="0"/>
            </w:tcBorders>
            <w:noWrap/>
            <w:vAlign w:val="center"/>
          </w:tcPr>
          <w:p w14:paraId="63E6262F">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未完成原因和改进措施</w:t>
            </w:r>
          </w:p>
        </w:tc>
      </w:tr>
      <w:tr w14:paraId="63011BB9">
        <w:tblPrEx>
          <w:tblCellMar>
            <w:top w:w="0" w:type="dxa"/>
            <w:left w:w="108" w:type="dxa"/>
            <w:bottom w:w="0" w:type="dxa"/>
            <w:right w:w="108" w:type="dxa"/>
          </w:tblCellMar>
        </w:tblPrEx>
        <w:trPr>
          <w:trHeight w:val="90" w:hRule="atLeast"/>
          <w:jc w:val="center"/>
        </w:trPr>
        <w:tc>
          <w:tcPr>
            <w:tcW w:w="4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3C64E7D3">
            <w:pPr>
              <w:jc w:val="center"/>
              <w:rPr>
                <w:rFonts w:hint="eastAsia" w:ascii="宋体" w:hAnsi="宋体" w:cs="宋体"/>
                <w:sz w:val="20"/>
                <w:szCs w:val="20"/>
              </w:rPr>
            </w:pPr>
          </w:p>
        </w:tc>
        <w:tc>
          <w:tcPr>
            <w:tcW w:w="663" w:type="dxa"/>
            <w:vMerge w:val="restart"/>
            <w:tcBorders>
              <w:top w:val="single" w:color="000000" w:sz="4" w:space="0"/>
              <w:left w:val="single" w:color="000000" w:sz="4" w:space="0"/>
              <w:bottom w:val="single" w:color="000000" w:sz="4" w:space="0"/>
              <w:right w:val="single" w:color="000000" w:sz="4" w:space="0"/>
            </w:tcBorders>
            <w:noWrap w:val="0"/>
            <w:vAlign w:val="center"/>
          </w:tcPr>
          <w:p w14:paraId="56C71E65">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产出指标</w:t>
            </w:r>
          </w:p>
        </w:tc>
        <w:tc>
          <w:tcPr>
            <w:tcW w:w="785" w:type="dxa"/>
            <w:vMerge w:val="restart"/>
            <w:tcBorders>
              <w:top w:val="single" w:color="000000" w:sz="4" w:space="0"/>
              <w:left w:val="single" w:color="000000" w:sz="4" w:space="0"/>
              <w:bottom w:val="single" w:color="000000" w:sz="4" w:space="0"/>
              <w:right w:val="single" w:color="000000" w:sz="4" w:space="0"/>
            </w:tcBorders>
            <w:noWrap w:val="0"/>
            <w:vAlign w:val="center"/>
          </w:tcPr>
          <w:p w14:paraId="2864BFE1">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数量指标</w:t>
            </w:r>
          </w:p>
        </w:tc>
        <w:tc>
          <w:tcPr>
            <w:tcW w:w="1765" w:type="dxa"/>
            <w:gridSpan w:val="2"/>
            <w:tcBorders>
              <w:top w:val="single" w:color="000000" w:sz="4" w:space="0"/>
              <w:left w:val="nil"/>
              <w:bottom w:val="single" w:color="000000" w:sz="4" w:space="0"/>
              <w:right w:val="single" w:color="000000" w:sz="4" w:space="0"/>
            </w:tcBorders>
            <w:noWrap w:val="0"/>
            <w:vAlign w:val="center"/>
          </w:tcPr>
          <w:p w14:paraId="54C16C9C">
            <w:pPr>
              <w:widowControl/>
              <w:spacing w:line="300" w:lineRule="exact"/>
              <w:jc w:val="center"/>
              <w:textAlignment w:val="center"/>
              <w:rPr>
                <w:rFonts w:ascii="Times New Roman" w:hAnsi="Times New Roman"/>
                <w:kern w:val="0"/>
                <w:sz w:val="20"/>
                <w:szCs w:val="20"/>
                <w:lang w:bidi="ar"/>
              </w:rPr>
            </w:pPr>
            <w:r>
              <w:rPr>
                <w:rFonts w:hint="eastAsia" w:ascii="Times New Roman" w:hAnsi="Times New Roman"/>
                <w:kern w:val="0"/>
                <w:sz w:val="20"/>
                <w:szCs w:val="20"/>
                <w:lang w:bidi="ar"/>
              </w:rPr>
              <w:t>开展</w:t>
            </w:r>
            <w:r>
              <w:rPr>
                <w:rFonts w:ascii="Times New Roman" w:hAnsi="Times New Roman"/>
                <w:kern w:val="0"/>
                <w:sz w:val="20"/>
                <w:szCs w:val="20"/>
                <w:lang w:bidi="ar"/>
              </w:rPr>
              <w:t>土壤污染监测点位数（个）</w:t>
            </w:r>
          </w:p>
        </w:tc>
        <w:tc>
          <w:tcPr>
            <w:tcW w:w="1082" w:type="dxa"/>
            <w:tcBorders>
              <w:top w:val="single" w:color="000000" w:sz="4" w:space="0"/>
              <w:left w:val="single" w:color="000000" w:sz="4" w:space="0"/>
              <w:bottom w:val="single" w:color="000000" w:sz="4" w:space="0"/>
              <w:right w:val="single" w:color="000000" w:sz="4" w:space="0"/>
            </w:tcBorders>
            <w:noWrap w:val="0"/>
            <w:vAlign w:val="center"/>
          </w:tcPr>
          <w:p w14:paraId="5AF187A5">
            <w:pPr>
              <w:widowControl/>
              <w:jc w:val="center"/>
              <w:textAlignment w:val="center"/>
              <w:rPr>
                <w:rFonts w:ascii="Times New Roman" w:hAnsi="Times New Roman"/>
                <w:sz w:val="20"/>
                <w:szCs w:val="20"/>
              </w:rPr>
            </w:pPr>
            <w:r>
              <w:rPr>
                <w:rFonts w:ascii="Times New Roman" w:hAnsi="Times New Roman"/>
                <w:kern w:val="0"/>
                <w:sz w:val="20"/>
                <w:szCs w:val="20"/>
                <w:lang w:bidi="ar"/>
              </w:rPr>
              <w:t>≥2282</w:t>
            </w:r>
          </w:p>
        </w:tc>
        <w:tc>
          <w:tcPr>
            <w:tcW w:w="1238" w:type="dxa"/>
            <w:gridSpan w:val="2"/>
            <w:tcBorders>
              <w:top w:val="single" w:color="000000" w:sz="4" w:space="0"/>
              <w:left w:val="single" w:color="000000" w:sz="4" w:space="0"/>
              <w:bottom w:val="single" w:color="000000" w:sz="4" w:space="0"/>
              <w:right w:val="single" w:color="000000" w:sz="4" w:space="0"/>
            </w:tcBorders>
            <w:noWrap w:val="0"/>
            <w:vAlign w:val="center"/>
          </w:tcPr>
          <w:p w14:paraId="30C1228A">
            <w:pPr>
              <w:widowControl/>
              <w:jc w:val="center"/>
              <w:textAlignment w:val="center"/>
              <w:rPr>
                <w:rFonts w:ascii="Times New Roman" w:hAnsi="Times New Roman"/>
                <w:sz w:val="20"/>
                <w:szCs w:val="20"/>
              </w:rPr>
            </w:pPr>
            <w:r>
              <w:rPr>
                <w:rFonts w:hint="eastAsia" w:ascii="Times New Roman" w:hAnsi="Times New Roman"/>
                <w:sz w:val="20"/>
                <w:szCs w:val="20"/>
              </w:rPr>
              <w:t>2</w:t>
            </w:r>
            <w:r>
              <w:rPr>
                <w:rFonts w:ascii="Times New Roman" w:hAnsi="Times New Roman"/>
                <w:sz w:val="20"/>
                <w:szCs w:val="20"/>
              </w:rPr>
              <w:t>879</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7AAF8CE6">
            <w:pPr>
              <w:widowControl/>
              <w:jc w:val="center"/>
              <w:textAlignment w:val="center"/>
              <w:rPr>
                <w:rFonts w:ascii="Times New Roman" w:hAnsi="Times New Roman"/>
                <w:sz w:val="20"/>
                <w:szCs w:val="20"/>
              </w:rPr>
            </w:pPr>
            <w:r>
              <w:rPr>
                <w:rFonts w:ascii="Times New Roman" w:hAnsi="Times New Roman"/>
                <w:kern w:val="0"/>
                <w:sz w:val="20"/>
                <w:szCs w:val="20"/>
                <w:lang w:bidi="ar"/>
              </w:rPr>
              <w:t>无</w:t>
            </w:r>
          </w:p>
        </w:tc>
      </w:tr>
      <w:tr w14:paraId="03B9C543">
        <w:tblPrEx>
          <w:tblCellMar>
            <w:top w:w="0" w:type="dxa"/>
            <w:left w:w="108" w:type="dxa"/>
            <w:bottom w:w="0" w:type="dxa"/>
            <w:right w:w="108" w:type="dxa"/>
          </w:tblCellMar>
        </w:tblPrEx>
        <w:trPr>
          <w:trHeight w:val="656" w:hRule="atLeast"/>
          <w:jc w:val="center"/>
        </w:trPr>
        <w:tc>
          <w:tcPr>
            <w:tcW w:w="4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7C210CDA">
            <w:pPr>
              <w:jc w:val="center"/>
              <w:rPr>
                <w:rFonts w:hint="eastAsia" w:ascii="宋体" w:hAnsi="宋体" w:cs="宋体"/>
                <w:sz w:val="20"/>
                <w:szCs w:val="20"/>
              </w:rPr>
            </w:pPr>
          </w:p>
        </w:tc>
        <w:tc>
          <w:tcPr>
            <w:tcW w:w="66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CB4224">
            <w:pPr>
              <w:jc w:val="center"/>
              <w:rPr>
                <w:rFonts w:hint="eastAsia" w:ascii="宋体" w:hAnsi="宋体" w:cs="宋体"/>
                <w:sz w:val="20"/>
                <w:szCs w:val="20"/>
              </w:rPr>
            </w:pPr>
          </w:p>
        </w:tc>
        <w:tc>
          <w:tcPr>
            <w:tcW w:w="7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620BE3B3">
            <w:pPr>
              <w:jc w:val="center"/>
              <w:rPr>
                <w:rFonts w:hint="eastAsia" w:ascii="宋体" w:hAnsi="宋体" w:cs="宋体"/>
                <w:sz w:val="20"/>
                <w:szCs w:val="20"/>
              </w:rPr>
            </w:pPr>
          </w:p>
        </w:tc>
        <w:tc>
          <w:tcPr>
            <w:tcW w:w="1765" w:type="dxa"/>
            <w:gridSpan w:val="2"/>
            <w:tcBorders>
              <w:top w:val="single" w:color="000000" w:sz="4" w:space="0"/>
              <w:left w:val="nil"/>
              <w:bottom w:val="single" w:color="000000" w:sz="4" w:space="0"/>
              <w:right w:val="single" w:color="000000" w:sz="4" w:space="0"/>
            </w:tcBorders>
            <w:noWrap w:val="0"/>
            <w:vAlign w:val="center"/>
          </w:tcPr>
          <w:p w14:paraId="7B74AF5B">
            <w:pPr>
              <w:widowControl/>
              <w:spacing w:line="300" w:lineRule="exact"/>
              <w:jc w:val="center"/>
              <w:textAlignment w:val="center"/>
              <w:rPr>
                <w:rFonts w:ascii="Times New Roman" w:hAnsi="Times New Roman"/>
                <w:kern w:val="0"/>
                <w:sz w:val="20"/>
                <w:szCs w:val="20"/>
                <w:lang w:bidi="ar"/>
              </w:rPr>
            </w:pPr>
            <w:r>
              <w:rPr>
                <w:rFonts w:hint="eastAsia" w:ascii="Times New Roman" w:hAnsi="Times New Roman"/>
                <w:kern w:val="0"/>
                <w:sz w:val="20"/>
                <w:szCs w:val="20"/>
                <w:lang w:bidi="ar"/>
              </w:rPr>
              <w:t>实施</w:t>
            </w:r>
            <w:r>
              <w:rPr>
                <w:rFonts w:ascii="Times New Roman" w:hAnsi="Times New Roman"/>
                <w:kern w:val="0"/>
                <w:sz w:val="20"/>
                <w:szCs w:val="20"/>
                <w:lang w:bidi="ar"/>
              </w:rPr>
              <w:t>土壤污染调查、评估面积（亩）</w:t>
            </w:r>
          </w:p>
        </w:tc>
        <w:tc>
          <w:tcPr>
            <w:tcW w:w="1082" w:type="dxa"/>
            <w:tcBorders>
              <w:top w:val="single" w:color="000000" w:sz="4" w:space="0"/>
              <w:left w:val="single" w:color="000000" w:sz="4" w:space="0"/>
              <w:bottom w:val="single" w:color="000000" w:sz="4" w:space="0"/>
              <w:right w:val="single" w:color="000000" w:sz="4" w:space="0"/>
            </w:tcBorders>
            <w:noWrap w:val="0"/>
            <w:vAlign w:val="center"/>
          </w:tcPr>
          <w:p w14:paraId="7F3F00C5">
            <w:pPr>
              <w:widowControl/>
              <w:jc w:val="center"/>
              <w:textAlignment w:val="center"/>
              <w:rPr>
                <w:rFonts w:ascii="Times New Roman" w:hAnsi="Times New Roman"/>
                <w:sz w:val="20"/>
                <w:szCs w:val="20"/>
              </w:rPr>
            </w:pPr>
            <w:r>
              <w:rPr>
                <w:rFonts w:ascii="Times New Roman" w:hAnsi="Times New Roman"/>
                <w:kern w:val="0"/>
                <w:sz w:val="20"/>
                <w:szCs w:val="20"/>
                <w:lang w:bidi="ar"/>
              </w:rPr>
              <w:t>≥7615</w:t>
            </w:r>
          </w:p>
        </w:tc>
        <w:tc>
          <w:tcPr>
            <w:tcW w:w="1238" w:type="dxa"/>
            <w:gridSpan w:val="2"/>
            <w:tcBorders>
              <w:top w:val="single" w:color="000000" w:sz="4" w:space="0"/>
              <w:left w:val="single" w:color="000000" w:sz="4" w:space="0"/>
              <w:bottom w:val="single" w:color="000000" w:sz="4" w:space="0"/>
              <w:right w:val="single" w:color="000000" w:sz="4" w:space="0"/>
            </w:tcBorders>
            <w:noWrap w:val="0"/>
            <w:vAlign w:val="center"/>
          </w:tcPr>
          <w:p w14:paraId="232259F7">
            <w:pPr>
              <w:widowControl/>
              <w:jc w:val="center"/>
              <w:textAlignment w:val="center"/>
              <w:rPr>
                <w:rFonts w:ascii="Times New Roman" w:hAnsi="Times New Roman"/>
                <w:sz w:val="20"/>
                <w:szCs w:val="20"/>
              </w:rPr>
            </w:pPr>
            <w:r>
              <w:rPr>
                <w:rFonts w:hint="eastAsia" w:ascii="Times New Roman" w:hAnsi="Times New Roman"/>
                <w:sz w:val="20"/>
                <w:szCs w:val="20"/>
              </w:rPr>
              <w:t>7</w:t>
            </w:r>
            <w:r>
              <w:rPr>
                <w:rFonts w:ascii="Times New Roman" w:hAnsi="Times New Roman"/>
                <w:sz w:val="20"/>
                <w:szCs w:val="20"/>
              </w:rPr>
              <w:t>675.86</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35D9BA50">
            <w:pPr>
              <w:widowControl/>
              <w:jc w:val="center"/>
              <w:textAlignment w:val="center"/>
              <w:rPr>
                <w:rFonts w:ascii="Times New Roman" w:hAnsi="Times New Roman"/>
                <w:sz w:val="20"/>
                <w:szCs w:val="20"/>
              </w:rPr>
            </w:pPr>
            <w:r>
              <w:rPr>
                <w:rFonts w:ascii="Times New Roman" w:hAnsi="Times New Roman"/>
                <w:kern w:val="0"/>
                <w:sz w:val="20"/>
                <w:szCs w:val="20"/>
                <w:lang w:bidi="ar"/>
              </w:rPr>
              <w:t>无</w:t>
            </w:r>
          </w:p>
        </w:tc>
      </w:tr>
      <w:tr w14:paraId="596A2F96">
        <w:tblPrEx>
          <w:tblCellMar>
            <w:top w:w="0" w:type="dxa"/>
            <w:left w:w="108" w:type="dxa"/>
            <w:bottom w:w="0" w:type="dxa"/>
            <w:right w:w="108" w:type="dxa"/>
          </w:tblCellMar>
        </w:tblPrEx>
        <w:trPr>
          <w:trHeight w:val="757" w:hRule="atLeast"/>
          <w:jc w:val="center"/>
        </w:trPr>
        <w:tc>
          <w:tcPr>
            <w:tcW w:w="4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2285D13C">
            <w:pPr>
              <w:jc w:val="center"/>
              <w:rPr>
                <w:rFonts w:hint="eastAsia" w:ascii="宋体" w:hAnsi="宋体" w:cs="宋体"/>
                <w:sz w:val="20"/>
                <w:szCs w:val="20"/>
              </w:rPr>
            </w:pPr>
          </w:p>
        </w:tc>
        <w:tc>
          <w:tcPr>
            <w:tcW w:w="663" w:type="dxa"/>
            <w:vMerge w:val="continue"/>
            <w:tcBorders>
              <w:top w:val="single" w:color="000000" w:sz="4" w:space="0"/>
              <w:left w:val="single" w:color="000000" w:sz="4" w:space="0"/>
              <w:bottom w:val="single" w:color="000000" w:sz="4" w:space="0"/>
              <w:right w:val="single" w:color="000000" w:sz="4" w:space="0"/>
            </w:tcBorders>
            <w:noWrap w:val="0"/>
            <w:vAlign w:val="center"/>
          </w:tcPr>
          <w:p w14:paraId="00F59405">
            <w:pPr>
              <w:jc w:val="center"/>
              <w:rPr>
                <w:rFonts w:hint="eastAsia" w:ascii="宋体" w:hAnsi="宋体" w:cs="宋体"/>
                <w:sz w:val="20"/>
                <w:szCs w:val="20"/>
              </w:rPr>
            </w:pPr>
          </w:p>
        </w:tc>
        <w:tc>
          <w:tcPr>
            <w:tcW w:w="7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025C0A11">
            <w:pPr>
              <w:jc w:val="center"/>
              <w:rPr>
                <w:rFonts w:hint="eastAsia" w:ascii="宋体" w:hAnsi="宋体" w:cs="宋体"/>
                <w:sz w:val="20"/>
                <w:szCs w:val="20"/>
              </w:rPr>
            </w:pPr>
          </w:p>
        </w:tc>
        <w:tc>
          <w:tcPr>
            <w:tcW w:w="1765" w:type="dxa"/>
            <w:gridSpan w:val="2"/>
            <w:tcBorders>
              <w:top w:val="single" w:color="000000" w:sz="4" w:space="0"/>
              <w:left w:val="nil"/>
              <w:bottom w:val="single" w:color="000000" w:sz="4" w:space="0"/>
              <w:right w:val="single" w:color="000000" w:sz="4" w:space="0"/>
            </w:tcBorders>
            <w:noWrap w:val="0"/>
            <w:vAlign w:val="center"/>
          </w:tcPr>
          <w:p w14:paraId="756EE938">
            <w:pPr>
              <w:widowControl/>
              <w:spacing w:line="300" w:lineRule="exact"/>
              <w:jc w:val="center"/>
              <w:textAlignment w:val="center"/>
              <w:rPr>
                <w:rFonts w:hint="eastAsia" w:ascii="Times New Roman" w:hAnsi="Times New Roman"/>
                <w:kern w:val="0"/>
                <w:sz w:val="20"/>
                <w:szCs w:val="20"/>
                <w:lang w:bidi="ar"/>
              </w:rPr>
            </w:pPr>
            <w:r>
              <w:rPr>
                <w:rFonts w:hint="eastAsia" w:ascii="Times New Roman" w:hAnsi="Times New Roman"/>
                <w:kern w:val="0"/>
                <w:sz w:val="20"/>
                <w:szCs w:val="20"/>
                <w:lang w:bidi="ar"/>
              </w:rPr>
              <w:t>实施建设用地风险管控，治理修复</w:t>
            </w:r>
          </w:p>
          <w:p w14:paraId="6B8DE917">
            <w:pPr>
              <w:widowControl/>
              <w:spacing w:line="300" w:lineRule="exact"/>
              <w:jc w:val="center"/>
              <w:textAlignment w:val="center"/>
              <w:rPr>
                <w:rFonts w:ascii="Times New Roman" w:hAnsi="Times New Roman"/>
                <w:sz w:val="20"/>
                <w:szCs w:val="20"/>
              </w:rPr>
            </w:pPr>
            <w:r>
              <w:rPr>
                <w:rFonts w:hint="eastAsia" w:ascii="Times New Roman" w:hAnsi="Times New Roman"/>
                <w:kern w:val="0"/>
                <w:sz w:val="20"/>
                <w:szCs w:val="20"/>
                <w:lang w:bidi="ar"/>
              </w:rPr>
              <w:t>地块数（块）</w:t>
            </w:r>
          </w:p>
        </w:tc>
        <w:tc>
          <w:tcPr>
            <w:tcW w:w="1082" w:type="dxa"/>
            <w:tcBorders>
              <w:top w:val="single" w:color="000000" w:sz="4" w:space="0"/>
              <w:left w:val="single" w:color="000000" w:sz="4" w:space="0"/>
              <w:bottom w:val="single" w:color="000000" w:sz="4" w:space="0"/>
              <w:right w:val="single" w:color="000000" w:sz="4" w:space="0"/>
            </w:tcBorders>
            <w:noWrap w:val="0"/>
            <w:vAlign w:val="center"/>
          </w:tcPr>
          <w:p w14:paraId="7322553C">
            <w:pPr>
              <w:widowControl/>
              <w:jc w:val="center"/>
              <w:textAlignment w:val="center"/>
              <w:rPr>
                <w:rFonts w:ascii="Times New Roman" w:hAnsi="Times New Roman"/>
                <w:sz w:val="20"/>
                <w:szCs w:val="20"/>
              </w:rPr>
            </w:pPr>
            <w:r>
              <w:rPr>
                <w:rFonts w:ascii="Times New Roman" w:hAnsi="Times New Roman"/>
                <w:kern w:val="0"/>
                <w:sz w:val="20"/>
                <w:szCs w:val="20"/>
                <w:lang w:bidi="ar"/>
              </w:rPr>
              <w:t>≥7</w:t>
            </w:r>
          </w:p>
        </w:tc>
        <w:tc>
          <w:tcPr>
            <w:tcW w:w="1238" w:type="dxa"/>
            <w:gridSpan w:val="2"/>
            <w:tcBorders>
              <w:top w:val="single" w:color="000000" w:sz="4" w:space="0"/>
              <w:left w:val="single" w:color="000000" w:sz="4" w:space="0"/>
              <w:bottom w:val="single" w:color="000000" w:sz="4" w:space="0"/>
              <w:right w:val="single" w:color="000000" w:sz="4" w:space="0"/>
            </w:tcBorders>
            <w:noWrap w:val="0"/>
            <w:vAlign w:val="center"/>
          </w:tcPr>
          <w:p w14:paraId="1D0D0A26">
            <w:pPr>
              <w:widowControl/>
              <w:jc w:val="center"/>
              <w:textAlignment w:val="center"/>
              <w:rPr>
                <w:rFonts w:ascii="Times New Roman" w:hAnsi="Times New Roman"/>
                <w:sz w:val="20"/>
                <w:szCs w:val="20"/>
              </w:rPr>
            </w:pPr>
            <w:r>
              <w:rPr>
                <w:rFonts w:ascii="Times New Roman" w:hAnsi="Times New Roman"/>
                <w:kern w:val="0"/>
                <w:sz w:val="20"/>
                <w:szCs w:val="20"/>
                <w:lang w:bidi="ar"/>
              </w:rPr>
              <w:t>7</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2B7D7C75">
            <w:pPr>
              <w:widowControl/>
              <w:jc w:val="center"/>
              <w:textAlignment w:val="center"/>
              <w:rPr>
                <w:rFonts w:ascii="Times New Roman" w:hAnsi="Times New Roman"/>
                <w:sz w:val="20"/>
                <w:szCs w:val="20"/>
              </w:rPr>
            </w:pPr>
            <w:r>
              <w:rPr>
                <w:rFonts w:ascii="Times New Roman" w:hAnsi="Times New Roman"/>
                <w:kern w:val="0"/>
                <w:sz w:val="20"/>
                <w:szCs w:val="20"/>
                <w:lang w:bidi="ar"/>
              </w:rPr>
              <w:t>无</w:t>
            </w:r>
          </w:p>
        </w:tc>
      </w:tr>
      <w:tr w14:paraId="24627343">
        <w:tblPrEx>
          <w:tblCellMar>
            <w:top w:w="0" w:type="dxa"/>
            <w:left w:w="108" w:type="dxa"/>
            <w:bottom w:w="0" w:type="dxa"/>
            <w:right w:w="108" w:type="dxa"/>
          </w:tblCellMar>
        </w:tblPrEx>
        <w:trPr>
          <w:trHeight w:val="656" w:hRule="atLeast"/>
          <w:jc w:val="center"/>
        </w:trPr>
        <w:tc>
          <w:tcPr>
            <w:tcW w:w="4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5173D76C">
            <w:pPr>
              <w:jc w:val="center"/>
              <w:rPr>
                <w:rFonts w:hint="eastAsia" w:ascii="宋体" w:hAnsi="宋体" w:cs="宋体"/>
                <w:sz w:val="20"/>
                <w:szCs w:val="20"/>
              </w:rPr>
            </w:pPr>
          </w:p>
        </w:tc>
        <w:tc>
          <w:tcPr>
            <w:tcW w:w="663"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D96193">
            <w:pPr>
              <w:jc w:val="center"/>
              <w:rPr>
                <w:rFonts w:hint="eastAsia" w:ascii="宋体" w:hAnsi="宋体" w:cs="宋体"/>
                <w:sz w:val="20"/>
                <w:szCs w:val="20"/>
              </w:rPr>
            </w:pPr>
          </w:p>
        </w:tc>
        <w:tc>
          <w:tcPr>
            <w:tcW w:w="7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3ACEF7B9">
            <w:pPr>
              <w:jc w:val="center"/>
              <w:rPr>
                <w:rFonts w:hint="eastAsia" w:ascii="宋体" w:hAnsi="宋体" w:cs="宋体"/>
                <w:sz w:val="20"/>
                <w:szCs w:val="20"/>
              </w:rPr>
            </w:pPr>
          </w:p>
        </w:tc>
        <w:tc>
          <w:tcPr>
            <w:tcW w:w="1765" w:type="dxa"/>
            <w:gridSpan w:val="2"/>
            <w:tcBorders>
              <w:top w:val="single" w:color="000000" w:sz="4" w:space="0"/>
              <w:left w:val="nil"/>
              <w:bottom w:val="single" w:color="000000" w:sz="4" w:space="0"/>
              <w:right w:val="single" w:color="000000" w:sz="4" w:space="0"/>
            </w:tcBorders>
            <w:noWrap w:val="0"/>
            <w:vAlign w:val="center"/>
          </w:tcPr>
          <w:p w14:paraId="7FF102FB">
            <w:pPr>
              <w:widowControl/>
              <w:spacing w:line="300" w:lineRule="exact"/>
              <w:jc w:val="center"/>
              <w:textAlignment w:val="center"/>
              <w:rPr>
                <w:rFonts w:ascii="Times New Roman" w:hAnsi="Times New Roman"/>
                <w:sz w:val="20"/>
                <w:szCs w:val="20"/>
              </w:rPr>
            </w:pPr>
            <w:r>
              <w:rPr>
                <w:rFonts w:hint="eastAsia" w:ascii="Times New Roman" w:hAnsi="Times New Roman"/>
                <w:kern w:val="0"/>
                <w:sz w:val="20"/>
                <w:szCs w:val="20"/>
                <w:lang w:bidi="ar"/>
              </w:rPr>
              <w:t>实施土壤污染源头防控项目数量（个）</w:t>
            </w:r>
          </w:p>
        </w:tc>
        <w:tc>
          <w:tcPr>
            <w:tcW w:w="1082" w:type="dxa"/>
            <w:tcBorders>
              <w:top w:val="single" w:color="000000" w:sz="4" w:space="0"/>
              <w:left w:val="single" w:color="000000" w:sz="4" w:space="0"/>
              <w:bottom w:val="single" w:color="000000" w:sz="4" w:space="0"/>
              <w:right w:val="single" w:color="000000" w:sz="4" w:space="0"/>
            </w:tcBorders>
            <w:noWrap w:val="0"/>
            <w:vAlign w:val="center"/>
          </w:tcPr>
          <w:p w14:paraId="0A852FE3">
            <w:pPr>
              <w:widowControl/>
              <w:jc w:val="center"/>
              <w:textAlignment w:val="center"/>
              <w:rPr>
                <w:rFonts w:ascii="Times New Roman" w:hAnsi="Times New Roman"/>
                <w:sz w:val="20"/>
                <w:szCs w:val="20"/>
              </w:rPr>
            </w:pPr>
            <w:r>
              <w:rPr>
                <w:rFonts w:ascii="Times New Roman" w:hAnsi="Times New Roman"/>
                <w:kern w:val="0"/>
                <w:sz w:val="20"/>
                <w:szCs w:val="20"/>
                <w:lang w:bidi="ar"/>
              </w:rPr>
              <w:t>≥11</w:t>
            </w:r>
          </w:p>
        </w:tc>
        <w:tc>
          <w:tcPr>
            <w:tcW w:w="1238" w:type="dxa"/>
            <w:gridSpan w:val="2"/>
            <w:tcBorders>
              <w:top w:val="single" w:color="000000" w:sz="4" w:space="0"/>
              <w:left w:val="single" w:color="000000" w:sz="4" w:space="0"/>
              <w:bottom w:val="single" w:color="000000" w:sz="4" w:space="0"/>
              <w:right w:val="single" w:color="000000" w:sz="4" w:space="0"/>
            </w:tcBorders>
            <w:noWrap w:val="0"/>
            <w:vAlign w:val="center"/>
          </w:tcPr>
          <w:p w14:paraId="49CF401E">
            <w:pPr>
              <w:widowControl/>
              <w:jc w:val="center"/>
              <w:textAlignment w:val="center"/>
              <w:rPr>
                <w:rFonts w:ascii="Times New Roman" w:hAnsi="Times New Roman"/>
                <w:sz w:val="20"/>
                <w:szCs w:val="20"/>
              </w:rPr>
            </w:pPr>
            <w:r>
              <w:rPr>
                <w:rFonts w:ascii="Times New Roman" w:hAnsi="Times New Roman"/>
                <w:kern w:val="0"/>
                <w:sz w:val="20"/>
                <w:szCs w:val="20"/>
                <w:lang w:bidi="ar"/>
              </w:rPr>
              <w:t>11</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7E5CF9C3">
            <w:pPr>
              <w:widowControl/>
              <w:jc w:val="center"/>
              <w:textAlignment w:val="center"/>
              <w:rPr>
                <w:rFonts w:ascii="Times New Roman" w:hAnsi="Times New Roman"/>
                <w:sz w:val="20"/>
                <w:szCs w:val="20"/>
              </w:rPr>
            </w:pPr>
            <w:r>
              <w:rPr>
                <w:rFonts w:ascii="Times New Roman" w:hAnsi="Times New Roman"/>
                <w:kern w:val="0"/>
                <w:sz w:val="20"/>
                <w:szCs w:val="20"/>
                <w:lang w:bidi="ar"/>
              </w:rPr>
              <w:t>无</w:t>
            </w:r>
          </w:p>
        </w:tc>
      </w:tr>
      <w:tr w14:paraId="5E7913B2">
        <w:tblPrEx>
          <w:tblCellMar>
            <w:top w:w="0" w:type="dxa"/>
            <w:left w:w="108" w:type="dxa"/>
            <w:bottom w:w="0" w:type="dxa"/>
            <w:right w:w="108" w:type="dxa"/>
          </w:tblCellMar>
        </w:tblPrEx>
        <w:trPr>
          <w:trHeight w:val="656" w:hRule="atLeast"/>
          <w:jc w:val="center"/>
        </w:trPr>
        <w:tc>
          <w:tcPr>
            <w:tcW w:w="4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64DF5522">
            <w:pPr>
              <w:jc w:val="center"/>
              <w:rPr>
                <w:rFonts w:hint="eastAsia" w:ascii="宋体" w:hAnsi="宋体" w:cs="宋体"/>
                <w:sz w:val="20"/>
                <w:szCs w:val="20"/>
              </w:rPr>
            </w:pPr>
          </w:p>
        </w:tc>
        <w:tc>
          <w:tcPr>
            <w:tcW w:w="66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4DC0FFE">
            <w:pPr>
              <w:jc w:val="center"/>
              <w:rPr>
                <w:rFonts w:hint="eastAsia" w:ascii="宋体" w:hAnsi="宋体" w:cs="宋体"/>
                <w:sz w:val="20"/>
                <w:szCs w:val="20"/>
              </w:rPr>
            </w:pPr>
          </w:p>
        </w:tc>
        <w:tc>
          <w:tcPr>
            <w:tcW w:w="7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46DC4243">
            <w:pPr>
              <w:jc w:val="center"/>
              <w:rPr>
                <w:rFonts w:hint="eastAsia" w:ascii="宋体" w:hAnsi="宋体" w:cs="宋体"/>
                <w:sz w:val="20"/>
                <w:szCs w:val="20"/>
              </w:rPr>
            </w:pPr>
          </w:p>
        </w:tc>
        <w:tc>
          <w:tcPr>
            <w:tcW w:w="1765" w:type="dxa"/>
            <w:gridSpan w:val="2"/>
            <w:tcBorders>
              <w:top w:val="single" w:color="000000" w:sz="4" w:space="0"/>
              <w:left w:val="nil"/>
              <w:bottom w:val="single" w:color="000000" w:sz="4" w:space="0"/>
              <w:right w:val="single" w:color="000000" w:sz="4" w:space="0"/>
            </w:tcBorders>
            <w:noWrap w:val="0"/>
            <w:vAlign w:val="center"/>
          </w:tcPr>
          <w:p w14:paraId="0FABF5FA">
            <w:pPr>
              <w:widowControl/>
              <w:spacing w:line="300" w:lineRule="exact"/>
              <w:jc w:val="center"/>
              <w:textAlignment w:val="center"/>
              <w:rPr>
                <w:rFonts w:ascii="Times New Roman" w:hAnsi="Times New Roman"/>
                <w:kern w:val="0"/>
                <w:sz w:val="20"/>
                <w:szCs w:val="20"/>
                <w:lang w:bidi="ar"/>
              </w:rPr>
            </w:pPr>
            <w:r>
              <w:rPr>
                <w:rFonts w:hint="eastAsia" w:ascii="Times New Roman" w:hAnsi="Times New Roman"/>
                <w:kern w:val="0"/>
                <w:sz w:val="20"/>
                <w:szCs w:val="20"/>
                <w:lang w:bidi="ar"/>
              </w:rPr>
              <w:t>实施土壤污染源治理数量（个）</w:t>
            </w:r>
          </w:p>
        </w:tc>
        <w:tc>
          <w:tcPr>
            <w:tcW w:w="1082" w:type="dxa"/>
            <w:tcBorders>
              <w:top w:val="single" w:color="000000" w:sz="4" w:space="0"/>
              <w:left w:val="single" w:color="000000" w:sz="4" w:space="0"/>
              <w:bottom w:val="single" w:color="000000" w:sz="4" w:space="0"/>
              <w:right w:val="single" w:color="000000" w:sz="4" w:space="0"/>
            </w:tcBorders>
            <w:noWrap w:val="0"/>
            <w:vAlign w:val="center"/>
          </w:tcPr>
          <w:p w14:paraId="51142DE7">
            <w:pPr>
              <w:widowControl/>
              <w:jc w:val="center"/>
              <w:textAlignment w:val="center"/>
              <w:rPr>
                <w:rFonts w:ascii="Times New Roman" w:hAnsi="Times New Roman"/>
                <w:kern w:val="0"/>
                <w:sz w:val="20"/>
                <w:szCs w:val="20"/>
                <w:lang w:bidi="ar"/>
              </w:rPr>
            </w:pPr>
            <w:r>
              <w:rPr>
                <w:rFonts w:ascii="Times New Roman" w:hAnsi="Times New Roman"/>
                <w:kern w:val="0"/>
                <w:sz w:val="20"/>
                <w:szCs w:val="20"/>
                <w:lang w:bidi="ar"/>
              </w:rPr>
              <w:t>≥11</w:t>
            </w:r>
          </w:p>
        </w:tc>
        <w:tc>
          <w:tcPr>
            <w:tcW w:w="1238" w:type="dxa"/>
            <w:gridSpan w:val="2"/>
            <w:tcBorders>
              <w:top w:val="single" w:color="000000" w:sz="4" w:space="0"/>
              <w:left w:val="single" w:color="000000" w:sz="4" w:space="0"/>
              <w:bottom w:val="single" w:color="000000" w:sz="4" w:space="0"/>
              <w:right w:val="single" w:color="000000" w:sz="4" w:space="0"/>
            </w:tcBorders>
            <w:noWrap w:val="0"/>
            <w:vAlign w:val="center"/>
          </w:tcPr>
          <w:p w14:paraId="1F6CA439">
            <w:pPr>
              <w:widowControl/>
              <w:jc w:val="center"/>
              <w:textAlignment w:val="center"/>
              <w:rPr>
                <w:rFonts w:ascii="Times New Roman" w:hAnsi="Times New Roman"/>
                <w:kern w:val="0"/>
                <w:sz w:val="20"/>
                <w:szCs w:val="20"/>
                <w:lang w:bidi="ar"/>
              </w:rPr>
            </w:pPr>
            <w:r>
              <w:rPr>
                <w:rFonts w:ascii="Times New Roman" w:hAnsi="Times New Roman"/>
                <w:kern w:val="0"/>
                <w:sz w:val="20"/>
                <w:szCs w:val="20"/>
                <w:lang w:bidi="ar"/>
              </w:rPr>
              <w:t>11</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05FA2BC9">
            <w:pPr>
              <w:widowControl/>
              <w:jc w:val="center"/>
              <w:textAlignment w:val="center"/>
              <w:rPr>
                <w:rFonts w:ascii="Times New Roman" w:hAnsi="Times New Roman"/>
                <w:kern w:val="0"/>
                <w:sz w:val="20"/>
                <w:szCs w:val="20"/>
                <w:lang w:bidi="ar"/>
              </w:rPr>
            </w:pPr>
            <w:r>
              <w:rPr>
                <w:rFonts w:ascii="Times New Roman" w:hAnsi="Times New Roman"/>
                <w:kern w:val="0"/>
                <w:sz w:val="20"/>
                <w:szCs w:val="20"/>
                <w:lang w:bidi="ar"/>
              </w:rPr>
              <w:t>无</w:t>
            </w:r>
          </w:p>
        </w:tc>
      </w:tr>
      <w:tr w14:paraId="396B3F24">
        <w:tblPrEx>
          <w:tblCellMar>
            <w:top w:w="0" w:type="dxa"/>
            <w:left w:w="108" w:type="dxa"/>
            <w:bottom w:w="0" w:type="dxa"/>
            <w:right w:w="108" w:type="dxa"/>
          </w:tblCellMar>
        </w:tblPrEx>
        <w:trPr>
          <w:trHeight w:val="656" w:hRule="atLeast"/>
          <w:jc w:val="center"/>
        </w:trPr>
        <w:tc>
          <w:tcPr>
            <w:tcW w:w="4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5E8CAC2C">
            <w:pPr>
              <w:jc w:val="center"/>
              <w:rPr>
                <w:rFonts w:hint="eastAsia" w:ascii="宋体" w:hAnsi="宋体" w:cs="宋体"/>
                <w:sz w:val="20"/>
                <w:szCs w:val="20"/>
              </w:rPr>
            </w:pPr>
          </w:p>
        </w:tc>
        <w:tc>
          <w:tcPr>
            <w:tcW w:w="66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9A32CAB">
            <w:pPr>
              <w:jc w:val="center"/>
              <w:rPr>
                <w:rFonts w:hint="eastAsia" w:ascii="宋体" w:hAnsi="宋体" w:cs="宋体"/>
                <w:sz w:val="20"/>
                <w:szCs w:val="20"/>
              </w:rPr>
            </w:pPr>
          </w:p>
        </w:tc>
        <w:tc>
          <w:tcPr>
            <w:tcW w:w="7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6811EEFD">
            <w:pPr>
              <w:jc w:val="center"/>
              <w:rPr>
                <w:rFonts w:hint="eastAsia" w:ascii="宋体" w:hAnsi="宋体" w:cs="宋体"/>
                <w:sz w:val="20"/>
                <w:szCs w:val="20"/>
              </w:rPr>
            </w:pPr>
          </w:p>
        </w:tc>
        <w:tc>
          <w:tcPr>
            <w:tcW w:w="1765" w:type="dxa"/>
            <w:gridSpan w:val="2"/>
            <w:tcBorders>
              <w:top w:val="single" w:color="000000" w:sz="4" w:space="0"/>
              <w:left w:val="nil"/>
              <w:bottom w:val="single" w:color="000000" w:sz="4" w:space="0"/>
              <w:right w:val="single" w:color="000000" w:sz="4" w:space="0"/>
            </w:tcBorders>
            <w:noWrap w:val="0"/>
            <w:vAlign w:val="center"/>
          </w:tcPr>
          <w:p w14:paraId="34690452">
            <w:pPr>
              <w:widowControl/>
              <w:spacing w:line="300" w:lineRule="exact"/>
              <w:jc w:val="center"/>
              <w:textAlignment w:val="center"/>
              <w:rPr>
                <w:rFonts w:ascii="Times New Roman" w:hAnsi="Times New Roman"/>
                <w:kern w:val="0"/>
                <w:sz w:val="20"/>
                <w:szCs w:val="20"/>
                <w:lang w:bidi="ar"/>
              </w:rPr>
            </w:pPr>
            <w:r>
              <w:rPr>
                <w:rFonts w:hint="eastAsia" w:ascii="Times New Roman" w:hAnsi="Times New Roman"/>
                <w:kern w:val="0"/>
                <w:sz w:val="20"/>
                <w:szCs w:val="20"/>
                <w:lang w:bidi="ar"/>
              </w:rPr>
              <w:t>实施地块调查、监测项目数量（个）</w:t>
            </w:r>
          </w:p>
        </w:tc>
        <w:tc>
          <w:tcPr>
            <w:tcW w:w="1082" w:type="dxa"/>
            <w:tcBorders>
              <w:top w:val="single" w:color="000000" w:sz="4" w:space="0"/>
              <w:left w:val="single" w:color="000000" w:sz="4" w:space="0"/>
              <w:bottom w:val="single" w:color="000000" w:sz="4" w:space="0"/>
              <w:right w:val="single" w:color="000000" w:sz="4" w:space="0"/>
            </w:tcBorders>
            <w:noWrap w:val="0"/>
            <w:vAlign w:val="center"/>
          </w:tcPr>
          <w:p w14:paraId="0064A819">
            <w:pPr>
              <w:widowControl/>
              <w:jc w:val="center"/>
              <w:textAlignment w:val="center"/>
              <w:rPr>
                <w:rFonts w:ascii="Times New Roman" w:hAnsi="Times New Roman"/>
                <w:kern w:val="0"/>
                <w:sz w:val="20"/>
                <w:szCs w:val="20"/>
                <w:lang w:bidi="ar"/>
              </w:rPr>
            </w:pPr>
            <w:r>
              <w:rPr>
                <w:rFonts w:ascii="Times New Roman" w:hAnsi="Times New Roman"/>
                <w:kern w:val="0"/>
                <w:sz w:val="20"/>
                <w:szCs w:val="20"/>
                <w:lang w:bidi="ar"/>
              </w:rPr>
              <w:t>≥3</w:t>
            </w:r>
          </w:p>
        </w:tc>
        <w:tc>
          <w:tcPr>
            <w:tcW w:w="1238" w:type="dxa"/>
            <w:gridSpan w:val="2"/>
            <w:tcBorders>
              <w:top w:val="single" w:color="000000" w:sz="4" w:space="0"/>
              <w:left w:val="single" w:color="000000" w:sz="4" w:space="0"/>
              <w:bottom w:val="single" w:color="000000" w:sz="4" w:space="0"/>
              <w:right w:val="single" w:color="000000" w:sz="4" w:space="0"/>
            </w:tcBorders>
            <w:noWrap w:val="0"/>
            <w:vAlign w:val="center"/>
          </w:tcPr>
          <w:p w14:paraId="5CAC40DF">
            <w:pPr>
              <w:widowControl/>
              <w:jc w:val="center"/>
              <w:textAlignment w:val="center"/>
              <w:rPr>
                <w:rFonts w:ascii="Times New Roman" w:hAnsi="Times New Roman"/>
                <w:kern w:val="0"/>
                <w:sz w:val="20"/>
                <w:szCs w:val="20"/>
                <w:lang w:bidi="ar"/>
              </w:rPr>
            </w:pPr>
            <w:r>
              <w:rPr>
                <w:rFonts w:ascii="Times New Roman" w:hAnsi="Times New Roman"/>
                <w:kern w:val="0"/>
                <w:sz w:val="20"/>
                <w:szCs w:val="20"/>
                <w:lang w:bidi="ar"/>
              </w:rPr>
              <w:t>3</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253D2436">
            <w:pPr>
              <w:widowControl/>
              <w:jc w:val="center"/>
              <w:textAlignment w:val="center"/>
              <w:rPr>
                <w:rFonts w:ascii="Times New Roman" w:hAnsi="Times New Roman"/>
                <w:kern w:val="0"/>
                <w:sz w:val="20"/>
                <w:szCs w:val="20"/>
                <w:lang w:bidi="ar"/>
              </w:rPr>
            </w:pPr>
            <w:r>
              <w:rPr>
                <w:rFonts w:ascii="Times New Roman" w:hAnsi="Times New Roman"/>
                <w:kern w:val="0"/>
                <w:sz w:val="20"/>
                <w:szCs w:val="20"/>
                <w:lang w:bidi="ar"/>
              </w:rPr>
              <w:t>无</w:t>
            </w:r>
          </w:p>
        </w:tc>
      </w:tr>
      <w:tr w14:paraId="040B4280">
        <w:tblPrEx>
          <w:tblCellMar>
            <w:top w:w="0" w:type="dxa"/>
            <w:left w:w="108" w:type="dxa"/>
            <w:bottom w:w="0" w:type="dxa"/>
            <w:right w:w="108" w:type="dxa"/>
          </w:tblCellMar>
        </w:tblPrEx>
        <w:trPr>
          <w:trHeight w:val="640" w:hRule="atLeast"/>
          <w:jc w:val="center"/>
        </w:trPr>
        <w:tc>
          <w:tcPr>
            <w:tcW w:w="4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66EAE307">
            <w:pPr>
              <w:jc w:val="center"/>
              <w:rPr>
                <w:rFonts w:hint="eastAsia" w:ascii="宋体" w:hAnsi="宋体" w:cs="宋体"/>
                <w:sz w:val="20"/>
                <w:szCs w:val="20"/>
              </w:rPr>
            </w:pPr>
          </w:p>
        </w:tc>
        <w:tc>
          <w:tcPr>
            <w:tcW w:w="663" w:type="dxa"/>
            <w:vMerge w:val="continue"/>
            <w:tcBorders>
              <w:top w:val="single" w:color="000000" w:sz="4" w:space="0"/>
              <w:left w:val="single" w:color="000000" w:sz="4" w:space="0"/>
              <w:bottom w:val="single" w:color="000000" w:sz="4" w:space="0"/>
              <w:right w:val="single" w:color="000000" w:sz="4" w:space="0"/>
            </w:tcBorders>
            <w:noWrap w:val="0"/>
            <w:vAlign w:val="center"/>
          </w:tcPr>
          <w:p w14:paraId="70A1DD18">
            <w:pPr>
              <w:jc w:val="center"/>
              <w:rPr>
                <w:rFonts w:hint="eastAsia" w:ascii="宋体" w:hAnsi="宋体" w:cs="宋体"/>
                <w:sz w:val="20"/>
                <w:szCs w:val="20"/>
              </w:rPr>
            </w:pPr>
          </w:p>
        </w:tc>
        <w:tc>
          <w:tcPr>
            <w:tcW w:w="785" w:type="dxa"/>
            <w:vMerge w:val="continue"/>
            <w:tcBorders>
              <w:top w:val="single" w:color="000000" w:sz="4" w:space="0"/>
              <w:left w:val="single" w:color="000000" w:sz="4" w:space="0"/>
              <w:bottom w:val="single" w:color="000000" w:sz="4" w:space="0"/>
              <w:right w:val="single" w:color="000000" w:sz="4" w:space="0"/>
            </w:tcBorders>
            <w:noWrap w:val="0"/>
            <w:vAlign w:val="center"/>
          </w:tcPr>
          <w:p w14:paraId="18355546">
            <w:pPr>
              <w:jc w:val="center"/>
              <w:rPr>
                <w:rFonts w:hint="eastAsia" w:ascii="宋体" w:hAnsi="宋体" w:cs="宋体"/>
                <w:sz w:val="20"/>
                <w:szCs w:val="20"/>
              </w:rPr>
            </w:pPr>
          </w:p>
        </w:tc>
        <w:tc>
          <w:tcPr>
            <w:tcW w:w="1765" w:type="dxa"/>
            <w:gridSpan w:val="2"/>
            <w:tcBorders>
              <w:top w:val="single" w:color="000000" w:sz="4" w:space="0"/>
              <w:left w:val="nil"/>
              <w:bottom w:val="single" w:color="000000" w:sz="4" w:space="0"/>
              <w:right w:val="single" w:color="000000" w:sz="4" w:space="0"/>
            </w:tcBorders>
            <w:noWrap w:val="0"/>
            <w:vAlign w:val="center"/>
          </w:tcPr>
          <w:p w14:paraId="3F9600AC">
            <w:pPr>
              <w:widowControl/>
              <w:spacing w:line="300" w:lineRule="exact"/>
              <w:jc w:val="center"/>
              <w:textAlignment w:val="center"/>
              <w:rPr>
                <w:rFonts w:ascii="Times New Roman" w:hAnsi="Times New Roman"/>
                <w:sz w:val="20"/>
                <w:szCs w:val="20"/>
              </w:rPr>
            </w:pPr>
            <w:r>
              <w:rPr>
                <w:rFonts w:hint="eastAsia" w:ascii="Times New Roman" w:hAnsi="Times New Roman"/>
                <w:kern w:val="0"/>
                <w:sz w:val="20"/>
                <w:szCs w:val="20"/>
                <w:lang w:bidi="ar"/>
              </w:rPr>
              <w:t>实施土壤污染源头调查项目数量（个）</w:t>
            </w:r>
          </w:p>
        </w:tc>
        <w:tc>
          <w:tcPr>
            <w:tcW w:w="1082" w:type="dxa"/>
            <w:tcBorders>
              <w:top w:val="single" w:color="000000" w:sz="4" w:space="0"/>
              <w:left w:val="single" w:color="000000" w:sz="4" w:space="0"/>
              <w:bottom w:val="single" w:color="000000" w:sz="4" w:space="0"/>
              <w:right w:val="single" w:color="000000" w:sz="4" w:space="0"/>
            </w:tcBorders>
            <w:noWrap w:val="0"/>
            <w:vAlign w:val="center"/>
          </w:tcPr>
          <w:p w14:paraId="0B7FC7A8">
            <w:pPr>
              <w:widowControl/>
              <w:jc w:val="center"/>
              <w:textAlignment w:val="center"/>
              <w:rPr>
                <w:rFonts w:ascii="Times New Roman" w:hAnsi="Times New Roman"/>
                <w:sz w:val="20"/>
                <w:szCs w:val="20"/>
              </w:rPr>
            </w:pPr>
            <w:r>
              <w:rPr>
                <w:rFonts w:ascii="Times New Roman" w:hAnsi="Times New Roman"/>
                <w:kern w:val="0"/>
                <w:sz w:val="20"/>
                <w:szCs w:val="20"/>
                <w:lang w:bidi="ar"/>
              </w:rPr>
              <w:t>≥8</w:t>
            </w:r>
          </w:p>
        </w:tc>
        <w:tc>
          <w:tcPr>
            <w:tcW w:w="1238" w:type="dxa"/>
            <w:gridSpan w:val="2"/>
            <w:tcBorders>
              <w:top w:val="single" w:color="000000" w:sz="4" w:space="0"/>
              <w:left w:val="single" w:color="000000" w:sz="4" w:space="0"/>
              <w:bottom w:val="single" w:color="000000" w:sz="4" w:space="0"/>
              <w:right w:val="single" w:color="000000" w:sz="4" w:space="0"/>
            </w:tcBorders>
            <w:noWrap w:val="0"/>
            <w:vAlign w:val="center"/>
          </w:tcPr>
          <w:p w14:paraId="32FB188D">
            <w:pPr>
              <w:widowControl/>
              <w:jc w:val="center"/>
              <w:textAlignment w:val="center"/>
              <w:rPr>
                <w:rFonts w:ascii="Times New Roman" w:hAnsi="Times New Roman"/>
                <w:sz w:val="20"/>
                <w:szCs w:val="20"/>
              </w:rPr>
            </w:pPr>
            <w:r>
              <w:rPr>
                <w:rFonts w:ascii="Times New Roman" w:hAnsi="Times New Roman"/>
                <w:kern w:val="0"/>
                <w:sz w:val="20"/>
                <w:szCs w:val="20"/>
                <w:lang w:bidi="ar"/>
              </w:rPr>
              <w:t>8</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28653AC1">
            <w:pPr>
              <w:widowControl/>
              <w:jc w:val="center"/>
              <w:textAlignment w:val="center"/>
              <w:rPr>
                <w:rFonts w:ascii="Times New Roman" w:hAnsi="Times New Roman"/>
                <w:sz w:val="20"/>
                <w:szCs w:val="20"/>
              </w:rPr>
            </w:pPr>
            <w:r>
              <w:rPr>
                <w:rFonts w:ascii="Times New Roman" w:hAnsi="Times New Roman"/>
                <w:kern w:val="0"/>
                <w:sz w:val="20"/>
                <w:szCs w:val="20"/>
                <w:lang w:bidi="ar"/>
              </w:rPr>
              <w:t>无</w:t>
            </w:r>
          </w:p>
        </w:tc>
      </w:tr>
      <w:tr w14:paraId="442F4489">
        <w:tblPrEx>
          <w:tblCellMar>
            <w:top w:w="0" w:type="dxa"/>
            <w:left w:w="108" w:type="dxa"/>
            <w:bottom w:w="0" w:type="dxa"/>
            <w:right w:w="108" w:type="dxa"/>
          </w:tblCellMar>
        </w:tblPrEx>
        <w:trPr>
          <w:trHeight w:val="860" w:hRule="atLeast"/>
          <w:jc w:val="center"/>
        </w:trPr>
        <w:tc>
          <w:tcPr>
            <w:tcW w:w="4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0C70FEE6">
            <w:pPr>
              <w:jc w:val="center"/>
              <w:rPr>
                <w:rFonts w:hint="eastAsia" w:ascii="宋体" w:hAnsi="宋体" w:cs="宋体"/>
                <w:sz w:val="20"/>
                <w:szCs w:val="20"/>
              </w:rPr>
            </w:pPr>
          </w:p>
        </w:tc>
        <w:tc>
          <w:tcPr>
            <w:tcW w:w="663"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AD3A93">
            <w:pPr>
              <w:jc w:val="center"/>
              <w:rPr>
                <w:rFonts w:hint="eastAsia" w:ascii="宋体" w:hAnsi="宋体" w:cs="宋体"/>
                <w:sz w:val="20"/>
                <w:szCs w:val="20"/>
              </w:rPr>
            </w:pPr>
          </w:p>
        </w:tc>
        <w:tc>
          <w:tcPr>
            <w:tcW w:w="785" w:type="dxa"/>
            <w:vMerge w:val="restart"/>
            <w:tcBorders>
              <w:top w:val="single" w:color="000000" w:sz="4" w:space="0"/>
              <w:left w:val="single" w:color="000000" w:sz="4" w:space="0"/>
              <w:bottom w:val="single" w:color="000000" w:sz="4" w:space="0"/>
              <w:right w:val="single" w:color="000000" w:sz="4" w:space="0"/>
            </w:tcBorders>
            <w:noWrap w:val="0"/>
            <w:vAlign w:val="center"/>
          </w:tcPr>
          <w:p w14:paraId="5A4BBD6D">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质量指标</w:t>
            </w:r>
          </w:p>
        </w:tc>
        <w:tc>
          <w:tcPr>
            <w:tcW w:w="1765" w:type="dxa"/>
            <w:gridSpan w:val="2"/>
            <w:tcBorders>
              <w:top w:val="nil"/>
              <w:left w:val="nil"/>
              <w:bottom w:val="single" w:color="000000" w:sz="4" w:space="0"/>
              <w:right w:val="single" w:color="000000" w:sz="4" w:space="0"/>
            </w:tcBorders>
            <w:noWrap w:val="0"/>
            <w:vAlign w:val="center"/>
          </w:tcPr>
          <w:p w14:paraId="1B0D6486">
            <w:pPr>
              <w:widowControl/>
              <w:spacing w:line="300" w:lineRule="exact"/>
              <w:jc w:val="center"/>
              <w:textAlignment w:val="center"/>
              <w:rPr>
                <w:rFonts w:ascii="Times New Roman" w:hAnsi="Times New Roman"/>
                <w:kern w:val="0"/>
                <w:sz w:val="20"/>
                <w:szCs w:val="20"/>
                <w:lang w:bidi="ar"/>
              </w:rPr>
            </w:pPr>
            <w:r>
              <w:rPr>
                <w:rFonts w:hint="eastAsia" w:ascii="Times New Roman" w:hAnsi="Times New Roman"/>
                <w:kern w:val="0"/>
                <w:sz w:val="20"/>
                <w:szCs w:val="20"/>
                <w:lang w:bidi="ar"/>
              </w:rPr>
              <w:t>建设用地管控或修复项目效果评估通过率</w:t>
            </w:r>
          </w:p>
        </w:tc>
        <w:tc>
          <w:tcPr>
            <w:tcW w:w="1082" w:type="dxa"/>
            <w:tcBorders>
              <w:top w:val="single" w:color="000000" w:sz="4" w:space="0"/>
              <w:left w:val="single" w:color="000000" w:sz="4" w:space="0"/>
              <w:bottom w:val="single" w:color="000000" w:sz="4" w:space="0"/>
              <w:right w:val="single" w:color="000000" w:sz="4" w:space="0"/>
            </w:tcBorders>
            <w:noWrap w:val="0"/>
            <w:vAlign w:val="center"/>
          </w:tcPr>
          <w:p w14:paraId="2A974843">
            <w:pPr>
              <w:widowControl/>
              <w:jc w:val="center"/>
              <w:textAlignment w:val="center"/>
              <w:rPr>
                <w:rFonts w:ascii="Times New Roman" w:hAnsi="Times New Roman"/>
                <w:sz w:val="20"/>
                <w:szCs w:val="20"/>
              </w:rPr>
            </w:pPr>
            <w:r>
              <w:rPr>
                <w:rFonts w:ascii="Times New Roman" w:hAnsi="Times New Roman"/>
                <w:kern w:val="0"/>
                <w:sz w:val="20"/>
                <w:szCs w:val="20"/>
                <w:lang w:bidi="ar"/>
              </w:rPr>
              <w:t>100%</w:t>
            </w:r>
          </w:p>
        </w:tc>
        <w:tc>
          <w:tcPr>
            <w:tcW w:w="1238" w:type="dxa"/>
            <w:gridSpan w:val="2"/>
            <w:tcBorders>
              <w:top w:val="single" w:color="000000" w:sz="4" w:space="0"/>
              <w:left w:val="single" w:color="000000" w:sz="4" w:space="0"/>
              <w:bottom w:val="single" w:color="000000" w:sz="4" w:space="0"/>
              <w:right w:val="single" w:color="000000" w:sz="4" w:space="0"/>
            </w:tcBorders>
            <w:noWrap w:val="0"/>
            <w:vAlign w:val="center"/>
          </w:tcPr>
          <w:p w14:paraId="7AD2A1E4">
            <w:pPr>
              <w:widowControl/>
              <w:jc w:val="center"/>
              <w:textAlignment w:val="center"/>
              <w:rPr>
                <w:rFonts w:ascii="Times New Roman" w:hAnsi="Times New Roman"/>
                <w:sz w:val="20"/>
                <w:szCs w:val="20"/>
              </w:rPr>
            </w:pPr>
            <w:r>
              <w:rPr>
                <w:rFonts w:ascii="Times New Roman" w:hAnsi="Times New Roman"/>
                <w:kern w:val="0"/>
                <w:sz w:val="20"/>
                <w:szCs w:val="20"/>
                <w:lang w:bidi="ar"/>
              </w:rPr>
              <w:t>0</w:t>
            </w:r>
          </w:p>
        </w:tc>
        <w:tc>
          <w:tcPr>
            <w:tcW w:w="3807" w:type="dxa"/>
            <w:tcBorders>
              <w:top w:val="single" w:color="000000" w:sz="4" w:space="0"/>
              <w:left w:val="single" w:color="000000" w:sz="4" w:space="0"/>
              <w:bottom w:val="single" w:color="000000" w:sz="4" w:space="0"/>
              <w:right w:val="single" w:color="000000" w:sz="4" w:space="0"/>
            </w:tcBorders>
            <w:noWrap w:val="0"/>
            <w:vAlign w:val="center"/>
          </w:tcPr>
          <w:p w14:paraId="4FF5BCFC">
            <w:pPr>
              <w:widowControl/>
              <w:jc w:val="both"/>
              <w:textAlignment w:val="center"/>
              <w:rPr>
                <w:rFonts w:ascii="Times New Roman" w:hAnsi="Times New Roman"/>
                <w:sz w:val="20"/>
                <w:szCs w:val="20"/>
              </w:rPr>
            </w:pPr>
            <w:r>
              <w:rPr>
                <w:rFonts w:hint="eastAsia" w:ascii="Times New Roman" w:hAnsi="Times New Roman"/>
                <w:sz w:val="20"/>
                <w:szCs w:val="20"/>
              </w:rPr>
              <w:t>1.未完成原因：目前广西浦北县振兴皮革有限公司地块土壤污染修复项目、罗城仫佬族自治县横山有色金属冶炼厂与广西罗城明武矿业有限公司土壤污染风险管控项目、河池市金城江区五圩镇佳玉矿冶、新兴选矿厂、双龙冶化、芙兴选矿厂4个地块土壤污染风险管控项目共3个地块建设用地风险管控项目还在2年实施周期内，均未完工，未到效果评估时间。</w:t>
            </w:r>
          </w:p>
          <w:p w14:paraId="5887451C">
            <w:pPr>
              <w:widowControl/>
              <w:jc w:val="both"/>
              <w:textAlignment w:val="center"/>
              <w:rPr>
                <w:rFonts w:hint="eastAsia"/>
              </w:rPr>
            </w:pPr>
            <w:r>
              <w:rPr>
                <w:rFonts w:hint="eastAsia" w:ascii="Times New Roman" w:hAnsi="Times New Roman"/>
                <w:sz w:val="20"/>
                <w:szCs w:val="20"/>
              </w:rPr>
              <w:t>2</w:t>
            </w:r>
            <w:r>
              <w:rPr>
                <w:rFonts w:ascii="Times New Roman" w:hAnsi="Times New Roman"/>
                <w:sz w:val="20"/>
                <w:szCs w:val="20"/>
              </w:rPr>
              <w:t>.</w:t>
            </w:r>
            <w:r>
              <w:rPr>
                <w:rFonts w:hint="eastAsia" w:ascii="Times New Roman" w:hAnsi="Times New Roman"/>
                <w:sz w:val="20"/>
                <w:szCs w:val="20"/>
              </w:rPr>
              <w:t>改进措施：继续跟进项目实施进度，督促项目按照实施期限加快实施，保证工程质量及修复效果，确保顺利通过效果评估。</w:t>
            </w:r>
          </w:p>
        </w:tc>
      </w:tr>
      <w:tr w14:paraId="457136AD">
        <w:tblPrEx>
          <w:tblCellMar>
            <w:top w:w="0" w:type="dxa"/>
            <w:left w:w="108" w:type="dxa"/>
            <w:bottom w:w="0" w:type="dxa"/>
            <w:right w:w="108" w:type="dxa"/>
          </w:tblCellMar>
        </w:tblPrEx>
        <w:trPr>
          <w:trHeight w:val="402" w:hRule="atLeast"/>
          <w:jc w:val="center"/>
        </w:trPr>
        <w:tc>
          <w:tcPr>
            <w:tcW w:w="4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569EF76B">
            <w:pPr>
              <w:jc w:val="center"/>
              <w:rPr>
                <w:rFonts w:hint="eastAsia" w:ascii="宋体" w:hAnsi="宋体" w:cs="宋体"/>
                <w:sz w:val="20"/>
                <w:szCs w:val="20"/>
              </w:rPr>
            </w:pPr>
          </w:p>
        </w:tc>
        <w:tc>
          <w:tcPr>
            <w:tcW w:w="663" w:type="dxa"/>
            <w:vMerge w:val="continue"/>
            <w:tcBorders>
              <w:top w:val="single" w:color="000000" w:sz="4" w:space="0"/>
              <w:left w:val="single" w:color="000000" w:sz="4" w:space="0"/>
              <w:bottom w:val="single" w:color="000000" w:sz="4" w:space="0"/>
              <w:right w:val="single" w:color="000000" w:sz="4" w:space="0"/>
            </w:tcBorders>
            <w:noWrap w:val="0"/>
            <w:vAlign w:val="center"/>
          </w:tcPr>
          <w:p w14:paraId="210D00EF">
            <w:pPr>
              <w:jc w:val="center"/>
              <w:rPr>
                <w:rFonts w:hint="eastAsia" w:ascii="宋体" w:hAnsi="宋体" w:cs="宋体"/>
                <w:sz w:val="20"/>
                <w:szCs w:val="20"/>
              </w:rPr>
            </w:pPr>
          </w:p>
        </w:tc>
        <w:tc>
          <w:tcPr>
            <w:tcW w:w="785" w:type="dxa"/>
            <w:vMerge w:val="continue"/>
            <w:tcBorders>
              <w:top w:val="single" w:color="000000" w:sz="4" w:space="0"/>
              <w:left w:val="single" w:color="000000" w:sz="4" w:space="0"/>
              <w:bottom w:val="single" w:color="auto" w:sz="4" w:space="0"/>
              <w:right w:val="single" w:color="000000" w:sz="4" w:space="0"/>
            </w:tcBorders>
            <w:noWrap w:val="0"/>
            <w:vAlign w:val="center"/>
          </w:tcPr>
          <w:p w14:paraId="430946F0">
            <w:pPr>
              <w:jc w:val="center"/>
              <w:rPr>
                <w:rFonts w:hint="eastAsia" w:ascii="宋体" w:hAnsi="宋体" w:cs="宋体"/>
                <w:sz w:val="20"/>
                <w:szCs w:val="20"/>
              </w:rPr>
            </w:pPr>
          </w:p>
        </w:tc>
        <w:tc>
          <w:tcPr>
            <w:tcW w:w="1765" w:type="dxa"/>
            <w:gridSpan w:val="2"/>
            <w:tcBorders>
              <w:top w:val="single" w:color="000000" w:sz="4" w:space="0"/>
              <w:left w:val="nil"/>
              <w:bottom w:val="single" w:color="auto" w:sz="4" w:space="0"/>
              <w:right w:val="single" w:color="000000" w:sz="4" w:space="0"/>
            </w:tcBorders>
            <w:noWrap w:val="0"/>
            <w:vAlign w:val="center"/>
          </w:tcPr>
          <w:p w14:paraId="3A7F5F05">
            <w:pPr>
              <w:widowControl/>
              <w:spacing w:line="300" w:lineRule="exact"/>
              <w:jc w:val="center"/>
              <w:textAlignment w:val="center"/>
              <w:rPr>
                <w:rFonts w:ascii="Times New Roman" w:hAnsi="Times New Roman"/>
                <w:sz w:val="20"/>
                <w:szCs w:val="20"/>
              </w:rPr>
            </w:pPr>
            <w:r>
              <w:rPr>
                <w:rFonts w:ascii="Times New Roman" w:hAnsi="Times New Roman"/>
                <w:kern w:val="0"/>
                <w:sz w:val="20"/>
                <w:szCs w:val="20"/>
                <w:lang w:bidi="ar"/>
              </w:rPr>
              <w:t>项目验收合格率</w:t>
            </w:r>
          </w:p>
        </w:tc>
        <w:tc>
          <w:tcPr>
            <w:tcW w:w="1082" w:type="dxa"/>
            <w:tcBorders>
              <w:top w:val="single" w:color="000000" w:sz="4" w:space="0"/>
              <w:left w:val="single" w:color="000000" w:sz="4" w:space="0"/>
              <w:bottom w:val="single" w:color="auto" w:sz="4" w:space="0"/>
              <w:right w:val="single" w:color="000000" w:sz="4" w:space="0"/>
            </w:tcBorders>
            <w:noWrap w:val="0"/>
            <w:vAlign w:val="center"/>
          </w:tcPr>
          <w:p w14:paraId="150DCAAA">
            <w:pPr>
              <w:widowControl/>
              <w:jc w:val="center"/>
              <w:textAlignment w:val="center"/>
              <w:rPr>
                <w:rFonts w:ascii="Times New Roman" w:hAnsi="Times New Roman"/>
                <w:sz w:val="20"/>
                <w:szCs w:val="20"/>
              </w:rPr>
            </w:pPr>
            <w:r>
              <w:rPr>
                <w:rFonts w:ascii="Times New Roman" w:hAnsi="Times New Roman"/>
                <w:kern w:val="0"/>
                <w:sz w:val="20"/>
                <w:szCs w:val="20"/>
                <w:lang w:bidi="ar"/>
              </w:rPr>
              <w:t>100%</w:t>
            </w:r>
          </w:p>
        </w:tc>
        <w:tc>
          <w:tcPr>
            <w:tcW w:w="1238" w:type="dxa"/>
            <w:gridSpan w:val="2"/>
            <w:tcBorders>
              <w:top w:val="single" w:color="000000" w:sz="4" w:space="0"/>
              <w:left w:val="single" w:color="000000" w:sz="4" w:space="0"/>
              <w:bottom w:val="single" w:color="auto" w:sz="4" w:space="0"/>
              <w:right w:val="single" w:color="000000" w:sz="4" w:space="0"/>
            </w:tcBorders>
            <w:noWrap w:val="0"/>
            <w:vAlign w:val="center"/>
          </w:tcPr>
          <w:p w14:paraId="56EFD4D4">
            <w:pPr>
              <w:widowControl/>
              <w:jc w:val="center"/>
              <w:textAlignment w:val="center"/>
              <w:rPr>
                <w:rFonts w:ascii="Times New Roman" w:hAnsi="Times New Roman"/>
                <w:sz w:val="20"/>
                <w:szCs w:val="20"/>
              </w:rPr>
            </w:pPr>
            <w:r>
              <w:rPr>
                <w:rFonts w:ascii="Times New Roman" w:hAnsi="Times New Roman"/>
                <w:kern w:val="0"/>
                <w:sz w:val="20"/>
                <w:szCs w:val="20"/>
                <w:lang w:bidi="ar"/>
              </w:rPr>
              <w:t>100%</w:t>
            </w:r>
          </w:p>
        </w:tc>
        <w:tc>
          <w:tcPr>
            <w:tcW w:w="3807" w:type="dxa"/>
            <w:tcBorders>
              <w:top w:val="single" w:color="000000" w:sz="4" w:space="0"/>
              <w:left w:val="single" w:color="000000" w:sz="4" w:space="0"/>
              <w:bottom w:val="single" w:color="auto" w:sz="4" w:space="0"/>
              <w:right w:val="single" w:color="000000" w:sz="4" w:space="0"/>
            </w:tcBorders>
            <w:noWrap w:val="0"/>
            <w:vAlign w:val="center"/>
          </w:tcPr>
          <w:p w14:paraId="4B681255">
            <w:pPr>
              <w:widowControl/>
              <w:jc w:val="center"/>
              <w:textAlignment w:val="center"/>
              <w:rPr>
                <w:rFonts w:ascii="Times New Roman" w:hAnsi="Times New Roman"/>
                <w:sz w:val="20"/>
                <w:szCs w:val="20"/>
              </w:rPr>
            </w:pPr>
            <w:r>
              <w:rPr>
                <w:rFonts w:ascii="Times New Roman" w:hAnsi="Times New Roman"/>
                <w:kern w:val="0"/>
                <w:sz w:val="20"/>
                <w:szCs w:val="20"/>
                <w:lang w:bidi="ar"/>
              </w:rPr>
              <w:t>无</w:t>
            </w:r>
          </w:p>
        </w:tc>
      </w:tr>
      <w:tr w14:paraId="08880EC7">
        <w:tblPrEx>
          <w:tblCellMar>
            <w:top w:w="0" w:type="dxa"/>
            <w:left w:w="108" w:type="dxa"/>
            <w:bottom w:w="0" w:type="dxa"/>
            <w:right w:w="108" w:type="dxa"/>
          </w:tblCellMar>
        </w:tblPrEx>
        <w:trPr>
          <w:trHeight w:val="90" w:hRule="atLeast"/>
          <w:jc w:val="center"/>
        </w:trPr>
        <w:tc>
          <w:tcPr>
            <w:tcW w:w="4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5ABD3678">
            <w:pPr>
              <w:jc w:val="center"/>
              <w:rPr>
                <w:rFonts w:hint="eastAsia" w:ascii="宋体" w:hAnsi="宋体" w:cs="宋体"/>
                <w:sz w:val="20"/>
                <w:szCs w:val="20"/>
              </w:rPr>
            </w:pPr>
          </w:p>
        </w:tc>
        <w:tc>
          <w:tcPr>
            <w:tcW w:w="663" w:type="dxa"/>
            <w:vMerge w:val="continue"/>
            <w:tcBorders>
              <w:top w:val="single" w:color="000000" w:sz="4" w:space="0"/>
              <w:left w:val="single" w:color="000000" w:sz="4" w:space="0"/>
              <w:bottom w:val="single" w:color="000000" w:sz="4" w:space="0"/>
              <w:right w:val="single" w:color="auto" w:sz="4" w:space="0"/>
            </w:tcBorders>
            <w:noWrap w:val="0"/>
            <w:vAlign w:val="center"/>
          </w:tcPr>
          <w:p w14:paraId="7D82F31C">
            <w:pPr>
              <w:jc w:val="center"/>
              <w:rPr>
                <w:rFonts w:hint="eastAsia" w:ascii="宋体" w:hAnsi="宋体" w:cs="宋体"/>
                <w:sz w:val="20"/>
                <w:szCs w:val="20"/>
              </w:rPr>
            </w:pPr>
          </w:p>
        </w:tc>
        <w:tc>
          <w:tcPr>
            <w:tcW w:w="785" w:type="dxa"/>
            <w:vMerge w:val="restart"/>
            <w:tcBorders>
              <w:top w:val="single" w:color="auto" w:sz="4" w:space="0"/>
              <w:left w:val="single" w:color="auto" w:sz="4" w:space="0"/>
              <w:bottom w:val="single" w:color="auto" w:sz="4" w:space="0"/>
              <w:right w:val="single" w:color="auto" w:sz="4" w:space="0"/>
            </w:tcBorders>
            <w:noWrap w:val="0"/>
            <w:vAlign w:val="center"/>
          </w:tcPr>
          <w:p w14:paraId="35BD9DEC">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时效指标</w:t>
            </w:r>
          </w:p>
        </w:tc>
        <w:tc>
          <w:tcPr>
            <w:tcW w:w="1765" w:type="dxa"/>
            <w:gridSpan w:val="2"/>
            <w:tcBorders>
              <w:top w:val="single" w:color="auto" w:sz="4" w:space="0"/>
              <w:left w:val="single" w:color="auto" w:sz="4" w:space="0"/>
              <w:bottom w:val="single" w:color="auto" w:sz="4" w:space="0"/>
              <w:right w:val="single" w:color="auto" w:sz="4" w:space="0"/>
            </w:tcBorders>
            <w:noWrap w:val="0"/>
            <w:vAlign w:val="center"/>
          </w:tcPr>
          <w:p w14:paraId="67B6211E">
            <w:pPr>
              <w:widowControl/>
              <w:jc w:val="center"/>
              <w:textAlignment w:val="center"/>
              <w:rPr>
                <w:rFonts w:ascii="Times New Roman" w:hAnsi="Times New Roman"/>
                <w:sz w:val="20"/>
                <w:szCs w:val="20"/>
              </w:rPr>
            </w:pPr>
            <w:r>
              <w:rPr>
                <w:rFonts w:ascii="Times New Roman" w:hAnsi="Times New Roman"/>
                <w:kern w:val="0"/>
                <w:sz w:val="20"/>
                <w:szCs w:val="20"/>
                <w:lang w:bidi="ar"/>
              </w:rPr>
              <w:t>项目开工率</w:t>
            </w:r>
          </w:p>
        </w:tc>
        <w:tc>
          <w:tcPr>
            <w:tcW w:w="1082" w:type="dxa"/>
            <w:tcBorders>
              <w:top w:val="single" w:color="auto" w:sz="4" w:space="0"/>
              <w:left w:val="single" w:color="auto" w:sz="4" w:space="0"/>
              <w:bottom w:val="single" w:color="auto" w:sz="4" w:space="0"/>
              <w:right w:val="single" w:color="auto" w:sz="4" w:space="0"/>
            </w:tcBorders>
            <w:noWrap w:val="0"/>
            <w:vAlign w:val="center"/>
          </w:tcPr>
          <w:p w14:paraId="5AA4DBC0">
            <w:pPr>
              <w:widowControl/>
              <w:jc w:val="center"/>
              <w:textAlignment w:val="center"/>
              <w:rPr>
                <w:rFonts w:ascii="Times New Roman" w:hAnsi="Times New Roman"/>
                <w:sz w:val="20"/>
                <w:szCs w:val="20"/>
              </w:rPr>
            </w:pPr>
            <w:r>
              <w:rPr>
                <w:rFonts w:ascii="Times New Roman" w:hAnsi="Times New Roman"/>
                <w:kern w:val="0"/>
                <w:sz w:val="20"/>
                <w:szCs w:val="20"/>
                <w:lang w:bidi="ar"/>
              </w:rPr>
              <w:t>100%</w:t>
            </w:r>
          </w:p>
        </w:tc>
        <w:tc>
          <w:tcPr>
            <w:tcW w:w="1238" w:type="dxa"/>
            <w:gridSpan w:val="2"/>
            <w:tcBorders>
              <w:top w:val="single" w:color="auto" w:sz="4" w:space="0"/>
              <w:left w:val="single" w:color="auto" w:sz="4" w:space="0"/>
              <w:bottom w:val="single" w:color="auto" w:sz="4" w:space="0"/>
              <w:right w:val="single" w:color="auto" w:sz="4" w:space="0"/>
            </w:tcBorders>
            <w:noWrap w:val="0"/>
            <w:vAlign w:val="center"/>
          </w:tcPr>
          <w:p w14:paraId="769F29AE">
            <w:pPr>
              <w:widowControl/>
              <w:jc w:val="center"/>
              <w:textAlignment w:val="center"/>
              <w:rPr>
                <w:rFonts w:ascii="Times New Roman" w:hAnsi="Times New Roman"/>
                <w:sz w:val="20"/>
                <w:szCs w:val="20"/>
              </w:rPr>
            </w:pPr>
            <w:r>
              <w:rPr>
                <w:rFonts w:ascii="Times New Roman" w:hAnsi="Times New Roman"/>
                <w:kern w:val="0"/>
                <w:sz w:val="20"/>
                <w:szCs w:val="20"/>
                <w:lang w:bidi="ar"/>
              </w:rPr>
              <w:t>76%</w:t>
            </w:r>
          </w:p>
        </w:tc>
        <w:tc>
          <w:tcPr>
            <w:tcW w:w="3807" w:type="dxa"/>
            <w:tcBorders>
              <w:top w:val="single" w:color="auto" w:sz="4" w:space="0"/>
              <w:left w:val="single" w:color="auto" w:sz="4" w:space="0"/>
              <w:bottom w:val="single" w:color="auto" w:sz="4" w:space="0"/>
              <w:right w:val="single" w:color="auto" w:sz="4" w:space="0"/>
            </w:tcBorders>
            <w:noWrap w:val="0"/>
            <w:vAlign w:val="center"/>
          </w:tcPr>
          <w:p w14:paraId="3A8BC943">
            <w:pPr>
              <w:widowControl/>
              <w:spacing w:line="300" w:lineRule="exact"/>
              <w:textAlignment w:val="center"/>
              <w:rPr>
                <w:rFonts w:ascii="Times New Roman" w:hAnsi="Times New Roman"/>
                <w:sz w:val="20"/>
                <w:szCs w:val="20"/>
              </w:rPr>
            </w:pPr>
            <w:r>
              <w:rPr>
                <w:rFonts w:ascii="Times New Roman" w:hAnsi="Times New Roman"/>
                <w:kern w:val="0"/>
                <w:sz w:val="20"/>
                <w:szCs w:val="20"/>
                <w:lang w:bidi="ar"/>
              </w:rPr>
              <w:t>1.</w:t>
            </w:r>
            <w:r>
              <w:rPr>
                <w:rFonts w:hint="eastAsia" w:ascii="Times New Roman" w:hAnsi="Times New Roman"/>
                <w:kern w:val="0"/>
                <w:sz w:val="20"/>
                <w:szCs w:val="20"/>
                <w:lang w:bidi="ar"/>
              </w:rPr>
              <w:t>未完成原因：</w:t>
            </w:r>
            <w:bookmarkStart w:id="0" w:name="_Hlk193126126"/>
            <w:r>
              <w:rPr>
                <w:rFonts w:ascii="Times New Roman" w:hAnsi="Times New Roman"/>
                <w:kern w:val="0"/>
                <w:sz w:val="20"/>
                <w:szCs w:val="20"/>
                <w:lang w:bidi="ar"/>
              </w:rPr>
              <w:t>截至2024年</w:t>
            </w:r>
            <w:r>
              <w:rPr>
                <w:rFonts w:hint="eastAsia" w:ascii="Times New Roman" w:hAnsi="Times New Roman"/>
                <w:kern w:val="0"/>
                <w:sz w:val="20"/>
                <w:szCs w:val="20"/>
                <w:lang w:bidi="ar"/>
              </w:rPr>
              <w:t>3</w:t>
            </w:r>
            <w:r>
              <w:rPr>
                <w:rFonts w:ascii="Times New Roman" w:hAnsi="Times New Roman"/>
                <w:kern w:val="0"/>
                <w:sz w:val="20"/>
                <w:szCs w:val="20"/>
                <w:lang w:bidi="ar"/>
              </w:rPr>
              <w:t>月</w:t>
            </w:r>
            <w:r>
              <w:rPr>
                <w:rFonts w:hint="eastAsia" w:ascii="Times New Roman" w:hAnsi="Times New Roman"/>
                <w:kern w:val="0"/>
                <w:sz w:val="20"/>
                <w:szCs w:val="20"/>
                <w:lang w:val="en-US" w:eastAsia="zh-CN" w:bidi="ar"/>
              </w:rPr>
              <w:t>25</w:t>
            </w:r>
            <w:r>
              <w:rPr>
                <w:rFonts w:hint="eastAsia" w:ascii="Times New Roman" w:hAnsi="Times New Roman"/>
                <w:kern w:val="0"/>
                <w:sz w:val="20"/>
                <w:szCs w:val="20"/>
                <w:lang w:bidi="ar"/>
              </w:rPr>
              <w:t>日</w:t>
            </w:r>
            <w:r>
              <w:rPr>
                <w:rFonts w:ascii="Times New Roman" w:hAnsi="Times New Roman"/>
                <w:kern w:val="0"/>
                <w:sz w:val="20"/>
                <w:szCs w:val="20"/>
                <w:lang w:bidi="ar"/>
              </w:rPr>
              <w:t>，资金支持实施的25个项目中，已开工项目19个，开工率为76%。</w:t>
            </w:r>
            <w:r>
              <w:rPr>
                <w:rFonts w:hint="eastAsia" w:ascii="Times New Roman" w:hAnsi="Times New Roman"/>
                <w:kern w:val="0"/>
                <w:sz w:val="20"/>
                <w:szCs w:val="20"/>
                <w:lang w:bidi="ar"/>
              </w:rPr>
              <w:t>获得2</w:t>
            </w:r>
            <w:r>
              <w:rPr>
                <w:rFonts w:ascii="Times New Roman" w:hAnsi="Times New Roman"/>
                <w:kern w:val="0"/>
                <w:sz w:val="20"/>
                <w:szCs w:val="20"/>
                <w:lang w:bidi="ar"/>
              </w:rPr>
              <w:t>024</w:t>
            </w:r>
            <w:r>
              <w:rPr>
                <w:rFonts w:hint="eastAsia" w:ascii="Times New Roman" w:hAnsi="Times New Roman"/>
                <w:kern w:val="0"/>
                <w:sz w:val="20"/>
                <w:szCs w:val="20"/>
                <w:lang w:bidi="ar"/>
              </w:rPr>
              <w:t>年第二批中央资金支持的原武鸣县保利矿业有限责任公司历史遗留污染源整治项目、广西武鸣区马头镇三源选矿厂历史遗留污染源治理项目、宾阳县三伞历史遗留固体废物堆存区环境治理工程、宾阳县良泗历史遗留固体废物堆存区环境治理工程、刁江流域污染矿区治理-铁丰福利矿冶场地治理修复工程和武宣县泰龙矿业有限责任公司狮子岭铅锌矿历史遗留固体废物整治项目等</w:t>
            </w:r>
            <w:r>
              <w:rPr>
                <w:rFonts w:ascii="Times New Roman" w:hAnsi="Times New Roman"/>
                <w:kern w:val="0"/>
                <w:sz w:val="20"/>
                <w:szCs w:val="20"/>
                <w:lang w:bidi="ar"/>
              </w:rPr>
              <w:t>6</w:t>
            </w:r>
            <w:r>
              <w:rPr>
                <w:rFonts w:hint="eastAsia" w:ascii="Times New Roman" w:hAnsi="Times New Roman"/>
                <w:kern w:val="0"/>
                <w:sz w:val="20"/>
                <w:szCs w:val="20"/>
                <w:lang w:bidi="ar"/>
              </w:rPr>
              <w:t>个历史遗留污染源治理项目因开展项目测绘、勘察、施工图设计、财政评审</w:t>
            </w:r>
            <w:r>
              <w:rPr>
                <w:rFonts w:hint="eastAsia" w:ascii="Times New Roman" w:hAnsi="Times New Roman"/>
                <w:kern w:val="0"/>
                <w:sz w:val="20"/>
                <w:szCs w:val="20"/>
                <w:lang w:eastAsia="zh-CN" w:bidi="ar"/>
              </w:rPr>
              <w:t>、招投标</w:t>
            </w:r>
            <w:r>
              <w:rPr>
                <w:rFonts w:hint="eastAsia" w:ascii="Times New Roman" w:hAnsi="Times New Roman"/>
                <w:kern w:val="0"/>
                <w:sz w:val="20"/>
                <w:szCs w:val="20"/>
                <w:lang w:bidi="ar"/>
              </w:rPr>
              <w:t>等前期工作，耗时较长，导致</w:t>
            </w:r>
            <w:r>
              <w:rPr>
                <w:rFonts w:hint="eastAsia" w:ascii="Times New Roman" w:hAnsi="Times New Roman"/>
                <w:kern w:val="0"/>
                <w:sz w:val="20"/>
                <w:szCs w:val="20"/>
                <w:lang w:eastAsia="zh-CN" w:bidi="ar"/>
              </w:rPr>
              <w:t>项目</w:t>
            </w:r>
            <w:r>
              <w:rPr>
                <w:rFonts w:hint="eastAsia" w:ascii="Times New Roman" w:hAnsi="Times New Roman"/>
                <w:kern w:val="0"/>
                <w:sz w:val="20"/>
                <w:szCs w:val="20"/>
                <w:lang w:bidi="ar"/>
              </w:rPr>
              <w:t>目前</w:t>
            </w:r>
            <w:r>
              <w:rPr>
                <w:rFonts w:hint="eastAsia" w:ascii="Times New Roman" w:hAnsi="Times New Roman"/>
                <w:kern w:val="0"/>
                <w:sz w:val="20"/>
                <w:szCs w:val="20"/>
                <w:lang w:eastAsia="zh-CN" w:bidi="ar"/>
              </w:rPr>
              <w:t>仍未</w:t>
            </w:r>
            <w:r>
              <w:rPr>
                <w:rFonts w:hint="eastAsia" w:ascii="Times New Roman" w:hAnsi="Times New Roman"/>
                <w:kern w:val="0"/>
                <w:sz w:val="20"/>
                <w:szCs w:val="20"/>
                <w:lang w:bidi="ar"/>
              </w:rPr>
              <w:t>开工</w:t>
            </w:r>
            <w:r>
              <w:rPr>
                <w:rFonts w:ascii="Times New Roman" w:hAnsi="Times New Roman"/>
                <w:kern w:val="0"/>
                <w:sz w:val="20"/>
                <w:szCs w:val="20"/>
                <w:lang w:bidi="ar"/>
              </w:rPr>
              <w:t>。</w:t>
            </w:r>
            <w:bookmarkEnd w:id="0"/>
            <w:r>
              <w:rPr>
                <w:rFonts w:ascii="Times New Roman" w:hAnsi="Times New Roman"/>
                <w:kern w:val="0"/>
                <w:sz w:val="20"/>
                <w:szCs w:val="20"/>
                <w:lang w:bidi="ar"/>
              </w:rPr>
              <w:br w:type="textWrapping"/>
            </w:r>
            <w:r>
              <w:rPr>
                <w:rFonts w:ascii="Times New Roman" w:hAnsi="Times New Roman"/>
                <w:kern w:val="0"/>
                <w:sz w:val="20"/>
                <w:szCs w:val="20"/>
                <w:lang w:bidi="ar"/>
              </w:rPr>
              <w:t>2.改进措施</w:t>
            </w:r>
            <w:r>
              <w:rPr>
                <w:rFonts w:hint="eastAsia" w:ascii="Times New Roman" w:hAnsi="Times New Roman"/>
                <w:kern w:val="0"/>
                <w:sz w:val="20"/>
                <w:szCs w:val="20"/>
                <w:lang w:bidi="ar"/>
              </w:rPr>
              <w:t>：</w:t>
            </w:r>
            <w:r>
              <w:rPr>
                <w:rFonts w:ascii="Times New Roman" w:hAnsi="Times New Roman"/>
                <w:kern w:val="0"/>
                <w:sz w:val="20"/>
                <w:szCs w:val="20"/>
                <w:lang w:bidi="ar"/>
              </w:rPr>
              <w:t>一是针对未能开工建设的项目，加大帮扶指导，尽快核实情况，按相关程序实施，加快项目开工建设。二是统筹推进资金项目监督工作，对监督检查中发现的资金项目存在的问题和漏洞，及时指导督促项目单位进行彻底整改，确保资金安全、规范、高效使用。</w:t>
            </w:r>
          </w:p>
        </w:tc>
      </w:tr>
      <w:tr w14:paraId="167A51AC">
        <w:tblPrEx>
          <w:tblCellMar>
            <w:top w:w="0" w:type="dxa"/>
            <w:left w:w="108" w:type="dxa"/>
            <w:bottom w:w="0" w:type="dxa"/>
            <w:right w:w="108" w:type="dxa"/>
          </w:tblCellMar>
        </w:tblPrEx>
        <w:trPr>
          <w:trHeight w:val="336" w:hRule="atLeast"/>
          <w:jc w:val="center"/>
        </w:trPr>
        <w:tc>
          <w:tcPr>
            <w:tcW w:w="4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5CF208CC">
            <w:pPr>
              <w:jc w:val="center"/>
              <w:rPr>
                <w:rFonts w:hint="eastAsia" w:ascii="宋体" w:hAnsi="宋体" w:cs="宋体"/>
                <w:sz w:val="20"/>
                <w:szCs w:val="20"/>
              </w:rPr>
            </w:pPr>
          </w:p>
        </w:tc>
        <w:tc>
          <w:tcPr>
            <w:tcW w:w="663" w:type="dxa"/>
            <w:vMerge w:val="continue"/>
            <w:tcBorders>
              <w:top w:val="single" w:color="000000" w:sz="4" w:space="0"/>
              <w:left w:val="single" w:color="000000" w:sz="4" w:space="0"/>
              <w:bottom w:val="single" w:color="000000" w:sz="4" w:space="0"/>
              <w:right w:val="single" w:color="auto" w:sz="4" w:space="0"/>
            </w:tcBorders>
            <w:noWrap w:val="0"/>
            <w:vAlign w:val="center"/>
          </w:tcPr>
          <w:p w14:paraId="63F5906B">
            <w:pPr>
              <w:jc w:val="center"/>
              <w:rPr>
                <w:rFonts w:hint="eastAsia" w:ascii="宋体" w:hAnsi="宋体" w:cs="宋体"/>
                <w:sz w:val="20"/>
                <w:szCs w:val="20"/>
              </w:rPr>
            </w:pPr>
          </w:p>
        </w:tc>
        <w:tc>
          <w:tcPr>
            <w:tcW w:w="785" w:type="dxa"/>
            <w:vMerge w:val="continue"/>
            <w:tcBorders>
              <w:top w:val="single" w:color="auto" w:sz="4" w:space="0"/>
              <w:left w:val="single" w:color="auto" w:sz="4" w:space="0"/>
              <w:bottom w:val="single" w:color="auto" w:sz="4" w:space="0"/>
              <w:right w:val="single" w:color="auto" w:sz="4" w:space="0"/>
            </w:tcBorders>
            <w:noWrap w:val="0"/>
            <w:vAlign w:val="center"/>
          </w:tcPr>
          <w:p w14:paraId="7728FC2E">
            <w:pPr>
              <w:jc w:val="center"/>
              <w:rPr>
                <w:rFonts w:hint="eastAsia" w:ascii="宋体" w:hAnsi="宋体" w:cs="宋体"/>
                <w:sz w:val="20"/>
                <w:szCs w:val="20"/>
              </w:rPr>
            </w:pPr>
          </w:p>
        </w:tc>
        <w:tc>
          <w:tcPr>
            <w:tcW w:w="1765" w:type="dxa"/>
            <w:gridSpan w:val="2"/>
            <w:tcBorders>
              <w:top w:val="single" w:color="auto" w:sz="4" w:space="0"/>
              <w:left w:val="single" w:color="auto" w:sz="4" w:space="0"/>
              <w:bottom w:val="single" w:color="auto" w:sz="4" w:space="0"/>
              <w:right w:val="single" w:color="auto" w:sz="4" w:space="0"/>
            </w:tcBorders>
            <w:noWrap w:val="0"/>
            <w:vAlign w:val="center"/>
          </w:tcPr>
          <w:p w14:paraId="466C743E">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项目完工率</w:t>
            </w:r>
          </w:p>
        </w:tc>
        <w:tc>
          <w:tcPr>
            <w:tcW w:w="1082" w:type="dxa"/>
            <w:tcBorders>
              <w:top w:val="single" w:color="auto" w:sz="4" w:space="0"/>
              <w:left w:val="single" w:color="auto" w:sz="4" w:space="0"/>
              <w:bottom w:val="single" w:color="auto" w:sz="4" w:space="0"/>
              <w:right w:val="single" w:color="auto" w:sz="4" w:space="0"/>
            </w:tcBorders>
            <w:noWrap w:val="0"/>
            <w:vAlign w:val="center"/>
          </w:tcPr>
          <w:p w14:paraId="6B164583">
            <w:pPr>
              <w:widowControl/>
              <w:jc w:val="center"/>
              <w:textAlignment w:val="center"/>
              <w:rPr>
                <w:rFonts w:ascii="Times New Roman" w:hAnsi="Times New Roman"/>
                <w:sz w:val="20"/>
                <w:szCs w:val="20"/>
              </w:rPr>
            </w:pPr>
            <w:r>
              <w:rPr>
                <w:rFonts w:ascii="Times New Roman" w:hAnsi="Times New Roman"/>
                <w:kern w:val="0"/>
                <w:sz w:val="20"/>
                <w:szCs w:val="20"/>
                <w:lang w:bidi="ar"/>
              </w:rPr>
              <w:t>≥20%</w:t>
            </w:r>
          </w:p>
        </w:tc>
        <w:tc>
          <w:tcPr>
            <w:tcW w:w="1238" w:type="dxa"/>
            <w:gridSpan w:val="2"/>
            <w:tcBorders>
              <w:top w:val="single" w:color="auto" w:sz="4" w:space="0"/>
              <w:left w:val="single" w:color="auto" w:sz="4" w:space="0"/>
              <w:bottom w:val="single" w:color="auto" w:sz="4" w:space="0"/>
              <w:right w:val="single" w:color="auto" w:sz="4" w:space="0"/>
            </w:tcBorders>
            <w:noWrap w:val="0"/>
            <w:vAlign w:val="center"/>
          </w:tcPr>
          <w:p w14:paraId="423B97F1">
            <w:pPr>
              <w:widowControl/>
              <w:jc w:val="center"/>
              <w:textAlignment w:val="center"/>
              <w:rPr>
                <w:rFonts w:ascii="Times New Roman" w:hAnsi="Times New Roman"/>
                <w:sz w:val="20"/>
                <w:szCs w:val="20"/>
              </w:rPr>
            </w:pPr>
            <w:r>
              <w:rPr>
                <w:rFonts w:ascii="Times New Roman" w:hAnsi="Times New Roman"/>
                <w:kern w:val="0"/>
                <w:sz w:val="20"/>
                <w:szCs w:val="20"/>
                <w:lang w:bidi="ar"/>
              </w:rPr>
              <w:t>20%</w:t>
            </w:r>
          </w:p>
        </w:tc>
        <w:tc>
          <w:tcPr>
            <w:tcW w:w="3807" w:type="dxa"/>
            <w:tcBorders>
              <w:top w:val="single" w:color="auto" w:sz="4" w:space="0"/>
              <w:left w:val="single" w:color="auto" w:sz="4" w:space="0"/>
              <w:bottom w:val="single" w:color="auto" w:sz="4" w:space="0"/>
              <w:right w:val="single" w:color="auto" w:sz="4" w:space="0"/>
            </w:tcBorders>
            <w:noWrap w:val="0"/>
            <w:vAlign w:val="center"/>
          </w:tcPr>
          <w:p w14:paraId="55B0889C">
            <w:pPr>
              <w:widowControl/>
              <w:spacing w:line="300" w:lineRule="exact"/>
              <w:jc w:val="center"/>
              <w:textAlignment w:val="center"/>
              <w:rPr>
                <w:rFonts w:hint="eastAsia" w:ascii="Times New Roman" w:hAnsi="Times New Roman"/>
                <w:sz w:val="20"/>
                <w:szCs w:val="20"/>
              </w:rPr>
            </w:pPr>
            <w:r>
              <w:rPr>
                <w:rFonts w:hint="eastAsia" w:ascii="Times New Roman" w:hAnsi="Times New Roman"/>
                <w:kern w:val="0"/>
                <w:sz w:val="20"/>
                <w:szCs w:val="20"/>
                <w:lang w:bidi="ar"/>
              </w:rPr>
              <w:t>无</w:t>
            </w:r>
          </w:p>
        </w:tc>
      </w:tr>
      <w:tr w14:paraId="6137BD9E">
        <w:tblPrEx>
          <w:tblCellMar>
            <w:top w:w="0" w:type="dxa"/>
            <w:left w:w="108" w:type="dxa"/>
            <w:bottom w:w="0" w:type="dxa"/>
            <w:right w:w="108" w:type="dxa"/>
          </w:tblCellMar>
        </w:tblPrEx>
        <w:trPr>
          <w:trHeight w:val="685" w:hRule="atLeast"/>
          <w:jc w:val="center"/>
        </w:trPr>
        <w:tc>
          <w:tcPr>
            <w:tcW w:w="4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18EB6AEA">
            <w:pPr>
              <w:jc w:val="center"/>
              <w:rPr>
                <w:rFonts w:hint="eastAsia" w:ascii="宋体" w:hAnsi="宋体" w:cs="宋体"/>
                <w:sz w:val="20"/>
                <w:szCs w:val="20"/>
              </w:rPr>
            </w:pPr>
          </w:p>
        </w:tc>
        <w:tc>
          <w:tcPr>
            <w:tcW w:w="663" w:type="dxa"/>
            <w:vMerge w:val="restart"/>
            <w:tcBorders>
              <w:top w:val="single" w:color="000000" w:sz="4" w:space="0"/>
              <w:left w:val="single" w:color="000000" w:sz="4" w:space="0"/>
              <w:bottom w:val="single" w:color="000000" w:sz="4" w:space="0"/>
              <w:right w:val="single" w:color="000000" w:sz="4" w:space="0"/>
            </w:tcBorders>
            <w:noWrap w:val="0"/>
            <w:vAlign w:val="center"/>
          </w:tcPr>
          <w:p w14:paraId="76D8C7AA">
            <w:pPr>
              <w:jc w:val="center"/>
              <w:rPr>
                <w:rFonts w:hint="eastAsia" w:ascii="宋体" w:hAnsi="宋体" w:cs="宋体"/>
                <w:sz w:val="20"/>
                <w:szCs w:val="20"/>
              </w:rPr>
            </w:pPr>
          </w:p>
        </w:tc>
        <w:tc>
          <w:tcPr>
            <w:tcW w:w="785" w:type="dxa"/>
            <w:vMerge w:val="restart"/>
            <w:tcBorders>
              <w:top w:val="single" w:color="auto" w:sz="4" w:space="0"/>
              <w:left w:val="single" w:color="000000" w:sz="4" w:space="0"/>
              <w:bottom w:val="single" w:color="000000" w:sz="4" w:space="0"/>
              <w:right w:val="single" w:color="000000" w:sz="4" w:space="0"/>
            </w:tcBorders>
            <w:noWrap w:val="0"/>
            <w:vAlign w:val="center"/>
          </w:tcPr>
          <w:p w14:paraId="61A98168">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生态效益指标</w:t>
            </w:r>
          </w:p>
        </w:tc>
        <w:tc>
          <w:tcPr>
            <w:tcW w:w="1765" w:type="dxa"/>
            <w:gridSpan w:val="2"/>
            <w:tcBorders>
              <w:top w:val="single" w:color="auto" w:sz="4" w:space="0"/>
              <w:left w:val="nil"/>
              <w:bottom w:val="single" w:color="000000" w:sz="4" w:space="0"/>
              <w:right w:val="single" w:color="000000" w:sz="4" w:space="0"/>
            </w:tcBorders>
            <w:noWrap w:val="0"/>
            <w:vAlign w:val="center"/>
          </w:tcPr>
          <w:p w14:paraId="0EF6C04D">
            <w:pPr>
              <w:widowControl/>
              <w:jc w:val="center"/>
              <w:textAlignment w:val="center"/>
              <w:rPr>
                <w:rFonts w:ascii="Times New Roman" w:hAnsi="Times New Roman"/>
                <w:kern w:val="0"/>
                <w:sz w:val="20"/>
                <w:szCs w:val="20"/>
                <w:lang w:bidi="ar"/>
              </w:rPr>
            </w:pPr>
            <w:r>
              <w:rPr>
                <w:rFonts w:ascii="Times New Roman" w:hAnsi="Times New Roman"/>
                <w:kern w:val="0"/>
                <w:sz w:val="20"/>
                <w:szCs w:val="20"/>
                <w:lang w:bidi="ar"/>
              </w:rPr>
              <w:t>土壤污染</w:t>
            </w:r>
          </w:p>
          <w:p w14:paraId="0AA03DE6">
            <w:pPr>
              <w:widowControl/>
              <w:jc w:val="center"/>
              <w:textAlignment w:val="center"/>
              <w:rPr>
                <w:rFonts w:ascii="Times New Roman" w:hAnsi="Times New Roman"/>
                <w:sz w:val="20"/>
                <w:szCs w:val="20"/>
              </w:rPr>
            </w:pPr>
            <w:r>
              <w:rPr>
                <w:rFonts w:ascii="Times New Roman" w:hAnsi="Times New Roman"/>
                <w:kern w:val="0"/>
                <w:sz w:val="20"/>
                <w:szCs w:val="20"/>
                <w:lang w:bidi="ar"/>
              </w:rPr>
              <w:t>风险隐患</w:t>
            </w:r>
          </w:p>
        </w:tc>
        <w:tc>
          <w:tcPr>
            <w:tcW w:w="1082" w:type="dxa"/>
            <w:tcBorders>
              <w:top w:val="single" w:color="auto" w:sz="4" w:space="0"/>
              <w:left w:val="single" w:color="000000" w:sz="4" w:space="0"/>
              <w:bottom w:val="single" w:color="000000" w:sz="4" w:space="0"/>
              <w:right w:val="single" w:color="000000" w:sz="4" w:space="0"/>
            </w:tcBorders>
            <w:noWrap w:val="0"/>
            <w:vAlign w:val="center"/>
          </w:tcPr>
          <w:p w14:paraId="6BF22F69">
            <w:pPr>
              <w:widowControl/>
              <w:jc w:val="center"/>
              <w:textAlignment w:val="center"/>
              <w:rPr>
                <w:rFonts w:ascii="Times New Roman" w:hAnsi="Times New Roman"/>
                <w:sz w:val="20"/>
                <w:szCs w:val="20"/>
              </w:rPr>
            </w:pPr>
            <w:r>
              <w:rPr>
                <w:rFonts w:ascii="Times New Roman" w:hAnsi="Times New Roman"/>
                <w:kern w:val="0"/>
                <w:sz w:val="20"/>
                <w:szCs w:val="20"/>
                <w:lang w:bidi="ar"/>
              </w:rPr>
              <w:t>基本消除</w:t>
            </w:r>
          </w:p>
        </w:tc>
        <w:tc>
          <w:tcPr>
            <w:tcW w:w="1238" w:type="dxa"/>
            <w:gridSpan w:val="2"/>
            <w:tcBorders>
              <w:top w:val="single" w:color="auto" w:sz="4" w:space="0"/>
              <w:left w:val="single" w:color="000000" w:sz="4" w:space="0"/>
              <w:bottom w:val="single" w:color="000000" w:sz="4" w:space="0"/>
              <w:right w:val="single" w:color="000000" w:sz="4" w:space="0"/>
            </w:tcBorders>
            <w:noWrap w:val="0"/>
            <w:vAlign w:val="center"/>
          </w:tcPr>
          <w:p w14:paraId="31C422B1">
            <w:pPr>
              <w:widowControl/>
              <w:jc w:val="center"/>
              <w:textAlignment w:val="center"/>
              <w:rPr>
                <w:rFonts w:ascii="Times New Roman" w:hAnsi="Times New Roman"/>
                <w:sz w:val="20"/>
                <w:szCs w:val="20"/>
              </w:rPr>
            </w:pPr>
            <w:r>
              <w:rPr>
                <w:rFonts w:hint="eastAsia" w:ascii="Times New Roman" w:hAnsi="Times New Roman"/>
                <w:kern w:val="0"/>
                <w:sz w:val="20"/>
                <w:szCs w:val="20"/>
                <w:lang w:bidi="ar"/>
              </w:rPr>
              <w:t>基本消除</w:t>
            </w:r>
          </w:p>
        </w:tc>
        <w:tc>
          <w:tcPr>
            <w:tcW w:w="3807" w:type="dxa"/>
            <w:tcBorders>
              <w:top w:val="single" w:color="auto" w:sz="4" w:space="0"/>
              <w:left w:val="single" w:color="000000" w:sz="4" w:space="0"/>
              <w:bottom w:val="single" w:color="000000" w:sz="4" w:space="0"/>
              <w:right w:val="single" w:color="000000" w:sz="4" w:space="0"/>
            </w:tcBorders>
            <w:noWrap w:val="0"/>
            <w:vAlign w:val="center"/>
          </w:tcPr>
          <w:p w14:paraId="00AE70A0">
            <w:pPr>
              <w:widowControl/>
              <w:jc w:val="center"/>
              <w:textAlignment w:val="center"/>
              <w:rPr>
                <w:rFonts w:ascii="Times New Roman" w:hAnsi="Times New Roman"/>
                <w:sz w:val="20"/>
                <w:szCs w:val="20"/>
              </w:rPr>
            </w:pPr>
            <w:r>
              <w:rPr>
                <w:rFonts w:ascii="Times New Roman" w:hAnsi="Times New Roman"/>
                <w:kern w:val="0"/>
                <w:sz w:val="20"/>
                <w:szCs w:val="20"/>
                <w:lang w:bidi="ar"/>
              </w:rPr>
              <w:t>无</w:t>
            </w:r>
          </w:p>
        </w:tc>
      </w:tr>
      <w:tr w14:paraId="2F646294">
        <w:tblPrEx>
          <w:tblCellMar>
            <w:top w:w="0" w:type="dxa"/>
            <w:left w:w="108" w:type="dxa"/>
            <w:bottom w:w="0" w:type="dxa"/>
            <w:right w:w="108" w:type="dxa"/>
          </w:tblCellMar>
        </w:tblPrEx>
        <w:trPr>
          <w:trHeight w:val="434" w:hRule="atLeast"/>
          <w:jc w:val="center"/>
        </w:trPr>
        <w:tc>
          <w:tcPr>
            <w:tcW w:w="416" w:type="dxa"/>
            <w:vMerge w:val="continue"/>
            <w:tcBorders>
              <w:top w:val="single" w:color="000000" w:sz="4" w:space="0"/>
              <w:left w:val="single" w:color="000000" w:sz="4" w:space="0"/>
              <w:bottom w:val="single" w:color="000000" w:sz="4" w:space="0"/>
              <w:right w:val="single" w:color="000000" w:sz="4" w:space="0"/>
            </w:tcBorders>
            <w:noWrap w:val="0"/>
            <w:vAlign w:val="center"/>
          </w:tcPr>
          <w:p w14:paraId="05D25D84">
            <w:pPr>
              <w:jc w:val="center"/>
              <w:rPr>
                <w:rFonts w:hint="eastAsia" w:ascii="宋体" w:hAnsi="宋体" w:cs="宋体"/>
                <w:sz w:val="20"/>
                <w:szCs w:val="20"/>
              </w:rPr>
            </w:pPr>
          </w:p>
        </w:tc>
        <w:tc>
          <w:tcPr>
            <w:tcW w:w="663" w:type="dxa"/>
            <w:vMerge w:val="continue"/>
            <w:tcBorders>
              <w:top w:val="single" w:color="000000" w:sz="4" w:space="0"/>
              <w:left w:val="single" w:color="000000" w:sz="4" w:space="0"/>
              <w:bottom w:val="single" w:color="auto" w:sz="4" w:space="0"/>
              <w:right w:val="single" w:color="000000" w:sz="4" w:space="0"/>
            </w:tcBorders>
            <w:noWrap w:val="0"/>
            <w:vAlign w:val="center"/>
          </w:tcPr>
          <w:p w14:paraId="6FE2E256">
            <w:pPr>
              <w:jc w:val="center"/>
              <w:rPr>
                <w:rFonts w:hint="eastAsia" w:ascii="宋体" w:hAnsi="宋体" w:cs="宋体"/>
                <w:sz w:val="20"/>
                <w:szCs w:val="20"/>
              </w:rPr>
            </w:pPr>
          </w:p>
        </w:tc>
        <w:tc>
          <w:tcPr>
            <w:tcW w:w="785" w:type="dxa"/>
            <w:vMerge w:val="continue"/>
            <w:tcBorders>
              <w:top w:val="single" w:color="000000" w:sz="4" w:space="0"/>
              <w:left w:val="single" w:color="000000" w:sz="4" w:space="0"/>
              <w:bottom w:val="single" w:color="auto" w:sz="4" w:space="0"/>
              <w:right w:val="single" w:color="000000" w:sz="4" w:space="0"/>
            </w:tcBorders>
            <w:noWrap w:val="0"/>
            <w:vAlign w:val="center"/>
          </w:tcPr>
          <w:p w14:paraId="5924830F">
            <w:pPr>
              <w:jc w:val="center"/>
              <w:rPr>
                <w:rFonts w:hint="eastAsia" w:ascii="宋体" w:hAnsi="宋体" w:cs="宋体"/>
                <w:sz w:val="20"/>
                <w:szCs w:val="20"/>
              </w:rPr>
            </w:pPr>
          </w:p>
        </w:tc>
        <w:tc>
          <w:tcPr>
            <w:tcW w:w="1765" w:type="dxa"/>
            <w:gridSpan w:val="2"/>
            <w:tcBorders>
              <w:top w:val="single" w:color="000000" w:sz="4" w:space="0"/>
              <w:left w:val="nil"/>
              <w:bottom w:val="single" w:color="auto" w:sz="4" w:space="0"/>
              <w:right w:val="single" w:color="000000" w:sz="4" w:space="0"/>
            </w:tcBorders>
            <w:noWrap w:val="0"/>
            <w:vAlign w:val="center"/>
          </w:tcPr>
          <w:p w14:paraId="2EEB9F49">
            <w:pPr>
              <w:widowControl/>
              <w:jc w:val="center"/>
              <w:textAlignment w:val="center"/>
              <w:rPr>
                <w:rFonts w:ascii="Times New Roman" w:hAnsi="Times New Roman"/>
                <w:sz w:val="20"/>
                <w:szCs w:val="20"/>
              </w:rPr>
            </w:pPr>
            <w:r>
              <w:rPr>
                <w:rFonts w:ascii="Times New Roman" w:hAnsi="Times New Roman"/>
                <w:kern w:val="0"/>
                <w:sz w:val="20"/>
                <w:szCs w:val="20"/>
                <w:lang w:bidi="ar"/>
              </w:rPr>
              <w:t>保护污染源周边耕地面积（亩）</w:t>
            </w:r>
          </w:p>
        </w:tc>
        <w:tc>
          <w:tcPr>
            <w:tcW w:w="1082" w:type="dxa"/>
            <w:tcBorders>
              <w:top w:val="single" w:color="000000" w:sz="4" w:space="0"/>
              <w:left w:val="single" w:color="000000" w:sz="4" w:space="0"/>
              <w:bottom w:val="single" w:color="auto" w:sz="4" w:space="0"/>
              <w:right w:val="single" w:color="000000" w:sz="4" w:space="0"/>
            </w:tcBorders>
            <w:noWrap w:val="0"/>
            <w:vAlign w:val="center"/>
          </w:tcPr>
          <w:p w14:paraId="2AD76395">
            <w:pPr>
              <w:widowControl/>
              <w:jc w:val="center"/>
              <w:textAlignment w:val="center"/>
              <w:rPr>
                <w:rFonts w:ascii="Times New Roman" w:hAnsi="Times New Roman"/>
                <w:sz w:val="20"/>
                <w:szCs w:val="20"/>
              </w:rPr>
            </w:pPr>
            <w:r>
              <w:rPr>
                <w:rFonts w:ascii="Times New Roman" w:hAnsi="Times New Roman"/>
                <w:kern w:val="0"/>
                <w:sz w:val="20"/>
                <w:szCs w:val="20"/>
                <w:lang w:bidi="ar"/>
              </w:rPr>
              <w:t>≥32.8</w:t>
            </w:r>
          </w:p>
        </w:tc>
        <w:tc>
          <w:tcPr>
            <w:tcW w:w="1238" w:type="dxa"/>
            <w:gridSpan w:val="2"/>
            <w:tcBorders>
              <w:top w:val="nil"/>
              <w:left w:val="single" w:color="000000" w:sz="4" w:space="0"/>
              <w:bottom w:val="single" w:color="auto" w:sz="4" w:space="0"/>
              <w:right w:val="single" w:color="000000" w:sz="4" w:space="0"/>
            </w:tcBorders>
            <w:noWrap w:val="0"/>
            <w:vAlign w:val="center"/>
          </w:tcPr>
          <w:p w14:paraId="67314768">
            <w:pPr>
              <w:widowControl/>
              <w:jc w:val="center"/>
              <w:textAlignment w:val="center"/>
              <w:rPr>
                <w:rFonts w:ascii="Times New Roman" w:hAnsi="Times New Roman"/>
                <w:sz w:val="20"/>
                <w:szCs w:val="20"/>
              </w:rPr>
            </w:pPr>
            <w:r>
              <w:rPr>
                <w:rFonts w:ascii="Times New Roman" w:hAnsi="Times New Roman"/>
                <w:kern w:val="0"/>
                <w:sz w:val="20"/>
                <w:szCs w:val="20"/>
                <w:lang w:bidi="ar"/>
              </w:rPr>
              <w:t>0</w:t>
            </w:r>
          </w:p>
        </w:tc>
        <w:tc>
          <w:tcPr>
            <w:tcW w:w="3807" w:type="dxa"/>
            <w:tcBorders>
              <w:top w:val="single" w:color="000000" w:sz="4" w:space="0"/>
              <w:left w:val="single" w:color="000000" w:sz="4" w:space="0"/>
              <w:bottom w:val="single" w:color="auto" w:sz="4" w:space="0"/>
              <w:right w:val="single" w:color="000000" w:sz="4" w:space="0"/>
            </w:tcBorders>
            <w:noWrap w:val="0"/>
            <w:vAlign w:val="center"/>
          </w:tcPr>
          <w:p w14:paraId="6088BDE9">
            <w:pPr>
              <w:widowControl/>
              <w:textAlignment w:val="center"/>
              <w:rPr>
                <w:rFonts w:ascii="Times New Roman" w:hAnsi="Times New Roman"/>
                <w:sz w:val="20"/>
                <w:szCs w:val="20"/>
              </w:rPr>
            </w:pPr>
            <w:r>
              <w:rPr>
                <w:rFonts w:hint="eastAsia" w:ascii="Times New Roman" w:hAnsi="Times New Roman"/>
                <w:sz w:val="20"/>
                <w:szCs w:val="20"/>
              </w:rPr>
              <w:t>1</w:t>
            </w:r>
            <w:r>
              <w:rPr>
                <w:rFonts w:ascii="Times New Roman" w:hAnsi="Times New Roman"/>
                <w:sz w:val="20"/>
                <w:szCs w:val="20"/>
              </w:rPr>
              <w:t>.</w:t>
            </w:r>
            <w:r>
              <w:rPr>
                <w:rFonts w:hint="eastAsia" w:ascii="Times New Roman" w:hAnsi="Times New Roman"/>
                <w:sz w:val="20"/>
                <w:szCs w:val="20"/>
              </w:rPr>
              <w:t>未完成原因：恭城瑶族自治县矿产公司原老山尾矿库残余尾矿砂整治工程项目技术路线是将尾矿砂清挖转运至某浮选厂新尾矿库进行安全填埋，</w:t>
            </w:r>
            <w:r>
              <w:rPr>
                <w:rFonts w:ascii="Times New Roman" w:hAnsi="Times New Roman"/>
                <w:sz w:val="20"/>
                <w:szCs w:val="20"/>
              </w:rPr>
              <w:t>2024</w:t>
            </w:r>
            <w:r>
              <w:rPr>
                <w:rFonts w:hint="eastAsia" w:ascii="Times New Roman" w:hAnsi="Times New Roman"/>
                <w:sz w:val="20"/>
                <w:szCs w:val="20"/>
              </w:rPr>
              <w:t>年</w:t>
            </w:r>
            <w:r>
              <w:rPr>
                <w:rFonts w:ascii="Times New Roman" w:hAnsi="Times New Roman"/>
                <w:sz w:val="20"/>
                <w:szCs w:val="20"/>
              </w:rPr>
              <w:t>10</w:t>
            </w:r>
            <w:r>
              <w:rPr>
                <w:rFonts w:hint="eastAsia" w:ascii="Times New Roman" w:hAnsi="Times New Roman"/>
                <w:sz w:val="20"/>
                <w:szCs w:val="20"/>
              </w:rPr>
              <w:t>月开始进场施工，但因运输道路受损等客观因素影响，导致施工进度缓慢，目前尚未完成尾矿砂清运工作，对周边耕地的影响风险仍存在，未完成保护污染源周边耕地面积3</w:t>
            </w:r>
            <w:r>
              <w:rPr>
                <w:rFonts w:ascii="Times New Roman" w:hAnsi="Times New Roman"/>
                <w:sz w:val="20"/>
                <w:szCs w:val="20"/>
              </w:rPr>
              <w:t>2.8</w:t>
            </w:r>
            <w:r>
              <w:rPr>
                <w:rFonts w:hint="eastAsia" w:ascii="Times New Roman" w:hAnsi="Times New Roman"/>
                <w:sz w:val="20"/>
                <w:szCs w:val="20"/>
              </w:rPr>
              <w:t>亩的目标。</w:t>
            </w:r>
          </w:p>
          <w:p w14:paraId="37CC368C">
            <w:pPr>
              <w:widowControl/>
              <w:spacing w:line="300" w:lineRule="exact"/>
              <w:textAlignment w:val="center"/>
              <w:rPr>
                <w:rFonts w:hint="eastAsia"/>
              </w:rPr>
            </w:pPr>
            <w:r>
              <w:rPr>
                <w:rFonts w:hint="eastAsia" w:ascii="Times New Roman" w:hAnsi="Times New Roman"/>
                <w:kern w:val="0"/>
                <w:sz w:val="20"/>
                <w:szCs w:val="20"/>
                <w:lang w:bidi="ar"/>
              </w:rPr>
              <w:t>2</w:t>
            </w:r>
            <w:r>
              <w:rPr>
                <w:rFonts w:ascii="Times New Roman" w:hAnsi="Times New Roman"/>
                <w:kern w:val="0"/>
                <w:sz w:val="20"/>
                <w:szCs w:val="20"/>
                <w:lang w:bidi="ar"/>
              </w:rPr>
              <w:t>.</w:t>
            </w:r>
            <w:r>
              <w:rPr>
                <w:rFonts w:hint="eastAsia" w:ascii="Times New Roman" w:hAnsi="Times New Roman"/>
                <w:kern w:val="0"/>
                <w:sz w:val="20"/>
                <w:szCs w:val="20"/>
                <w:lang w:bidi="ar"/>
              </w:rPr>
              <w:t>改进措施：对进展缓慢的项目进行重点跟踪，了解项目存在的难点堵点，督促项目按照实施期限加快施工，以达到治理预期效果。</w:t>
            </w:r>
          </w:p>
        </w:tc>
      </w:tr>
      <w:tr w14:paraId="1C2D35BA">
        <w:tblPrEx>
          <w:tblCellMar>
            <w:top w:w="0" w:type="dxa"/>
            <w:left w:w="108" w:type="dxa"/>
            <w:bottom w:w="0" w:type="dxa"/>
            <w:right w:w="108" w:type="dxa"/>
          </w:tblCellMar>
        </w:tblPrEx>
        <w:trPr>
          <w:trHeight w:val="955" w:hRule="atLeast"/>
          <w:jc w:val="center"/>
        </w:trPr>
        <w:tc>
          <w:tcPr>
            <w:tcW w:w="416" w:type="dxa"/>
            <w:vMerge w:val="continue"/>
            <w:tcBorders>
              <w:top w:val="single" w:color="000000" w:sz="4" w:space="0"/>
              <w:left w:val="single" w:color="000000" w:sz="4" w:space="0"/>
              <w:bottom w:val="single" w:color="000000" w:sz="4" w:space="0"/>
              <w:right w:val="single" w:color="auto" w:sz="4" w:space="0"/>
            </w:tcBorders>
            <w:noWrap w:val="0"/>
            <w:vAlign w:val="center"/>
          </w:tcPr>
          <w:p w14:paraId="2B8FDF9B">
            <w:pPr>
              <w:jc w:val="center"/>
              <w:rPr>
                <w:rFonts w:hint="eastAsia" w:ascii="宋体" w:hAnsi="宋体" w:cs="宋体"/>
                <w:sz w:val="20"/>
                <w:szCs w:val="20"/>
              </w:rPr>
            </w:pPr>
          </w:p>
        </w:tc>
        <w:tc>
          <w:tcPr>
            <w:tcW w:w="663" w:type="dxa"/>
            <w:tcBorders>
              <w:top w:val="single" w:color="auto" w:sz="4" w:space="0"/>
              <w:left w:val="single" w:color="auto" w:sz="4" w:space="0"/>
              <w:bottom w:val="single" w:color="auto" w:sz="4" w:space="0"/>
              <w:right w:val="single" w:color="auto" w:sz="4" w:space="0"/>
            </w:tcBorders>
            <w:noWrap w:val="0"/>
            <w:vAlign w:val="center"/>
          </w:tcPr>
          <w:p w14:paraId="1631B084">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满意度指标</w:t>
            </w:r>
          </w:p>
        </w:tc>
        <w:tc>
          <w:tcPr>
            <w:tcW w:w="785" w:type="dxa"/>
            <w:tcBorders>
              <w:top w:val="single" w:color="auto" w:sz="4" w:space="0"/>
              <w:left w:val="single" w:color="auto" w:sz="4" w:space="0"/>
              <w:bottom w:val="single" w:color="auto" w:sz="4" w:space="0"/>
              <w:right w:val="single" w:color="auto" w:sz="4" w:space="0"/>
            </w:tcBorders>
            <w:noWrap w:val="0"/>
            <w:vAlign w:val="center"/>
          </w:tcPr>
          <w:p w14:paraId="49E46B66">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服务对象满意度指标</w:t>
            </w:r>
          </w:p>
        </w:tc>
        <w:tc>
          <w:tcPr>
            <w:tcW w:w="1765" w:type="dxa"/>
            <w:gridSpan w:val="2"/>
            <w:tcBorders>
              <w:top w:val="single" w:color="auto" w:sz="4" w:space="0"/>
              <w:left w:val="single" w:color="auto" w:sz="4" w:space="0"/>
              <w:bottom w:val="single" w:color="auto" w:sz="4" w:space="0"/>
              <w:right w:val="single" w:color="auto" w:sz="4" w:space="0"/>
            </w:tcBorders>
            <w:noWrap w:val="0"/>
            <w:vAlign w:val="center"/>
          </w:tcPr>
          <w:p w14:paraId="2DA239CB">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服务对象满意度</w:t>
            </w:r>
          </w:p>
        </w:tc>
        <w:tc>
          <w:tcPr>
            <w:tcW w:w="1082" w:type="dxa"/>
            <w:tcBorders>
              <w:top w:val="single" w:color="auto" w:sz="4" w:space="0"/>
              <w:left w:val="single" w:color="auto" w:sz="4" w:space="0"/>
              <w:bottom w:val="single" w:color="auto" w:sz="4" w:space="0"/>
              <w:right w:val="single" w:color="auto" w:sz="4" w:space="0"/>
            </w:tcBorders>
            <w:noWrap w:val="0"/>
            <w:vAlign w:val="center"/>
          </w:tcPr>
          <w:p w14:paraId="02751D42">
            <w:pPr>
              <w:widowControl/>
              <w:jc w:val="center"/>
              <w:textAlignment w:val="center"/>
              <w:rPr>
                <w:rFonts w:hint="eastAsia" w:ascii="Times New Roman" w:hAnsi="Times New Roman"/>
                <w:kern w:val="0"/>
                <w:sz w:val="20"/>
                <w:szCs w:val="20"/>
                <w:lang w:bidi="ar"/>
              </w:rPr>
            </w:pPr>
            <w:r>
              <w:rPr>
                <w:rFonts w:hint="eastAsia" w:ascii="Times New Roman" w:hAnsi="Times New Roman"/>
                <w:kern w:val="0"/>
                <w:sz w:val="20"/>
                <w:szCs w:val="20"/>
                <w:lang w:bidi="ar"/>
              </w:rPr>
              <w:t>≥90%</w:t>
            </w:r>
          </w:p>
        </w:tc>
        <w:tc>
          <w:tcPr>
            <w:tcW w:w="1238" w:type="dxa"/>
            <w:gridSpan w:val="2"/>
            <w:tcBorders>
              <w:top w:val="single" w:color="auto" w:sz="4" w:space="0"/>
              <w:left w:val="single" w:color="auto" w:sz="4" w:space="0"/>
              <w:bottom w:val="single" w:color="auto" w:sz="4" w:space="0"/>
              <w:right w:val="single" w:color="auto" w:sz="4" w:space="0"/>
            </w:tcBorders>
            <w:noWrap w:val="0"/>
            <w:vAlign w:val="center"/>
          </w:tcPr>
          <w:p w14:paraId="0A68D6CE">
            <w:pPr>
              <w:widowControl/>
              <w:jc w:val="center"/>
              <w:textAlignment w:val="center"/>
              <w:rPr>
                <w:rFonts w:hint="eastAsia" w:ascii="Times New Roman" w:hAnsi="Times New Roman"/>
                <w:kern w:val="0"/>
                <w:sz w:val="20"/>
                <w:szCs w:val="20"/>
                <w:lang w:bidi="ar"/>
              </w:rPr>
            </w:pPr>
            <w:r>
              <w:rPr>
                <w:rFonts w:hint="eastAsia" w:ascii="Times New Roman" w:hAnsi="Times New Roman"/>
                <w:kern w:val="0"/>
                <w:sz w:val="20"/>
                <w:szCs w:val="20"/>
                <w:lang w:bidi="ar"/>
              </w:rPr>
              <w:t>≥90%</w:t>
            </w:r>
          </w:p>
        </w:tc>
        <w:tc>
          <w:tcPr>
            <w:tcW w:w="3807" w:type="dxa"/>
            <w:tcBorders>
              <w:top w:val="single" w:color="auto" w:sz="4" w:space="0"/>
              <w:left w:val="single" w:color="auto" w:sz="4" w:space="0"/>
              <w:bottom w:val="single" w:color="auto" w:sz="4" w:space="0"/>
              <w:right w:val="single" w:color="auto" w:sz="4" w:space="0"/>
            </w:tcBorders>
            <w:noWrap w:val="0"/>
            <w:vAlign w:val="center"/>
          </w:tcPr>
          <w:p w14:paraId="22E5F713">
            <w:pPr>
              <w:widowControl/>
              <w:jc w:val="center"/>
              <w:textAlignment w:val="center"/>
              <w:rPr>
                <w:rFonts w:hint="eastAsia" w:ascii="宋体" w:hAnsi="宋体" w:cs="宋体"/>
                <w:sz w:val="20"/>
                <w:szCs w:val="20"/>
              </w:rPr>
            </w:pPr>
            <w:r>
              <w:rPr>
                <w:rFonts w:hint="eastAsia" w:ascii="宋体" w:hAnsi="宋体" w:cs="宋体"/>
                <w:kern w:val="0"/>
                <w:sz w:val="20"/>
                <w:szCs w:val="20"/>
                <w:lang w:bidi="ar"/>
              </w:rPr>
              <w:t>无</w:t>
            </w:r>
          </w:p>
        </w:tc>
      </w:tr>
      <w:tr w14:paraId="7EE38C62">
        <w:tblPrEx>
          <w:tblCellMar>
            <w:top w:w="0" w:type="dxa"/>
            <w:left w:w="108" w:type="dxa"/>
            <w:bottom w:w="0" w:type="dxa"/>
            <w:right w:w="108" w:type="dxa"/>
          </w:tblCellMar>
        </w:tblPrEx>
        <w:trPr>
          <w:trHeight w:val="650" w:hRule="atLeast"/>
          <w:jc w:val="center"/>
        </w:trPr>
        <w:tc>
          <w:tcPr>
            <w:tcW w:w="416" w:type="dxa"/>
            <w:tcBorders>
              <w:top w:val="single" w:color="000000" w:sz="4" w:space="0"/>
              <w:left w:val="single" w:color="000000" w:sz="4" w:space="0"/>
              <w:bottom w:val="single" w:color="000000" w:sz="4" w:space="0"/>
              <w:right w:val="single" w:color="000000" w:sz="4" w:space="0"/>
            </w:tcBorders>
            <w:noWrap w:val="0"/>
            <w:vAlign w:val="center"/>
          </w:tcPr>
          <w:p w14:paraId="164D2149">
            <w:pPr>
              <w:widowControl/>
              <w:textAlignment w:val="center"/>
              <w:rPr>
                <w:rFonts w:hint="eastAsia" w:ascii="宋体" w:hAnsi="宋体" w:cs="宋体"/>
                <w:sz w:val="20"/>
                <w:szCs w:val="20"/>
              </w:rPr>
            </w:pPr>
            <w:r>
              <w:rPr>
                <w:rFonts w:hint="eastAsia" w:ascii="宋体" w:hAnsi="宋体" w:cs="宋体"/>
                <w:kern w:val="0"/>
                <w:sz w:val="20"/>
                <w:szCs w:val="20"/>
                <w:lang w:bidi="ar"/>
              </w:rPr>
              <w:t>说明</w:t>
            </w:r>
          </w:p>
        </w:tc>
        <w:tc>
          <w:tcPr>
            <w:tcW w:w="9340" w:type="dxa"/>
            <w:gridSpan w:val="8"/>
            <w:tcBorders>
              <w:top w:val="single" w:color="auto" w:sz="4" w:space="0"/>
              <w:left w:val="single" w:color="000000" w:sz="4" w:space="0"/>
              <w:bottom w:val="single" w:color="000000" w:sz="4" w:space="0"/>
              <w:right w:val="single" w:color="000000" w:sz="4" w:space="0"/>
            </w:tcBorders>
            <w:noWrap w:val="0"/>
            <w:vAlign w:val="center"/>
          </w:tcPr>
          <w:p w14:paraId="0A33ACC6">
            <w:pPr>
              <w:widowControl/>
              <w:textAlignment w:val="center"/>
              <w:rPr>
                <w:rFonts w:hint="eastAsia" w:ascii="宋体" w:hAnsi="宋体" w:cs="宋体"/>
                <w:sz w:val="20"/>
                <w:szCs w:val="20"/>
              </w:rPr>
            </w:pPr>
            <w:r>
              <w:rPr>
                <w:rFonts w:hint="eastAsia" w:ascii="宋体" w:hAnsi="宋体" w:cs="宋体"/>
                <w:kern w:val="0"/>
                <w:sz w:val="20"/>
                <w:szCs w:val="20"/>
                <w:lang w:bidi="ar"/>
              </w:rPr>
              <w:t>无。</w:t>
            </w:r>
          </w:p>
        </w:tc>
      </w:tr>
    </w:tbl>
    <w:p w14:paraId="5A81FB26"/>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AC8A9F31-252A-47D8-8B84-DAC0BEC7B7FF}"/>
  </w:font>
  <w:font w:name="新宋体′....">
    <w:altName w:val="宋体"/>
    <w:panose1 w:val="00000000000000000000"/>
    <w:charset w:val="86"/>
    <w:family w:val="modern"/>
    <w:pitch w:val="default"/>
    <w:sig w:usb0="00000000" w:usb1="00000000" w:usb2="00000010" w:usb3="00000000" w:csb0="00040000" w:csb1="00000000"/>
    <w:embedRegular r:id="rId2" w:fontKey="{0F13A9FC-1254-4F95-BA16-8B329AFA5DB9}"/>
  </w:font>
  <w:font w:name="方正小标宋简体">
    <w:panose1 w:val="02000000000000000000"/>
    <w:charset w:val="86"/>
    <w:family w:val="script"/>
    <w:pitch w:val="default"/>
    <w:sig w:usb0="00000001" w:usb1="08000000" w:usb2="00000000" w:usb3="00000000" w:csb0="00040000" w:csb1="00000000"/>
    <w:embedRegular r:id="rId3" w:fontKey="{27C134B1-9F9B-47A6-AF42-D66F002DA6F0}"/>
  </w:font>
  <w:font w:name="楷体_GB2312">
    <w:altName w:val="楷体"/>
    <w:panose1 w:val="02010609030101010101"/>
    <w:charset w:val="86"/>
    <w:family w:val="auto"/>
    <w:pitch w:val="default"/>
    <w:sig w:usb0="00000000" w:usb1="00000000" w:usb2="00000000" w:usb3="00000000" w:csb0="00040000" w:csb1="00000000"/>
    <w:embedRegular r:id="rId4" w:fontKey="{2E6176EB-A31D-4D23-8CF3-39DE31AE7894}"/>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0E8797">
    <w:pPr>
      <w:pStyle w:val="2"/>
      <w:ind w:right="280"/>
      <w:jc w:val="right"/>
      <w:rPr>
        <w:rFonts w:hint="eastAsia" w:ascii="仿宋_GB2312" w:hAnsi="仿宋_GB2312" w:eastAsia="仿宋_GB2312" w:cs="仿宋_GB2312"/>
        <w:sz w:val="28"/>
      </w:rPr>
    </w:pPr>
    <w:r>
      <w:rPr>
        <w:sz w:val="2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D856657">
                          <w:pPr>
                            <w:pStyle w:val="2"/>
                            <w:ind w:right="280"/>
                            <w:jc w:val="right"/>
                          </w:pPr>
                          <w:r>
                            <w:rPr>
                              <w:rFonts w:hint="default" w:ascii="Times New Roman" w:hAnsi="Times New Roman" w:cs="Times New Roman"/>
                              <w:kern w:val="0"/>
                              <w:sz w:val="28"/>
                              <w:szCs w:val="28"/>
                            </w:rPr>
                            <w:t xml:space="preserve">— </w:t>
                          </w:r>
                          <w:r>
                            <w:rPr>
                              <w:rFonts w:hint="default" w:ascii="Times New Roman" w:hAnsi="Times New Roman" w:cs="Times New Roman"/>
                              <w:kern w:val="0"/>
                              <w:sz w:val="28"/>
                              <w:szCs w:val="28"/>
                            </w:rPr>
                            <w:fldChar w:fldCharType="begin"/>
                          </w:r>
                          <w:r>
                            <w:rPr>
                              <w:rFonts w:hint="default" w:ascii="Times New Roman" w:hAnsi="Times New Roman" w:cs="Times New Roman"/>
                              <w:kern w:val="0"/>
                              <w:sz w:val="28"/>
                              <w:szCs w:val="28"/>
                            </w:rPr>
                            <w:instrText xml:space="preserve"> PAGE </w:instrText>
                          </w:r>
                          <w:r>
                            <w:rPr>
                              <w:rFonts w:hint="default" w:ascii="Times New Roman" w:hAnsi="Times New Roman" w:cs="Times New Roman"/>
                              <w:kern w:val="0"/>
                              <w:sz w:val="28"/>
                              <w:szCs w:val="28"/>
                            </w:rPr>
                            <w:fldChar w:fldCharType="separate"/>
                          </w:r>
                          <w:r>
                            <w:rPr>
                              <w:rFonts w:hint="default" w:ascii="Times New Roman" w:hAnsi="Times New Roman" w:cs="Times New Roman"/>
                              <w:kern w:val="0"/>
                              <w:sz w:val="28"/>
                              <w:szCs w:val="28"/>
                            </w:rPr>
                            <w:t>4</w:t>
                          </w:r>
                          <w:r>
                            <w:rPr>
                              <w:rFonts w:hint="default" w:ascii="Times New Roman" w:hAnsi="Times New Roman" w:cs="Times New Roman"/>
                              <w:kern w:val="0"/>
                              <w:sz w:val="28"/>
                              <w:szCs w:val="28"/>
                            </w:rPr>
                            <w:fldChar w:fldCharType="end"/>
                          </w:r>
                          <w:r>
                            <w:rPr>
                              <w:rFonts w:hint="default" w:ascii="Times New Roman" w:hAnsi="Times New Roman" w:cs="Times New Roman"/>
                              <w:kern w:val="0"/>
                              <w:sz w:val="28"/>
                              <w:szCs w:val="28"/>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path/>
              <v:fill on="f" focussize="0,0"/>
              <v:stroke on="f"/>
              <v:imagedata o:title=""/>
              <o:lock v:ext="edit" aspectratio="f"/>
              <v:textbox inset="0mm,0mm,0mm,0mm" style="mso-fit-shape-to-text:t;">
                <w:txbxContent>
                  <w:p w14:paraId="4D856657">
                    <w:pPr>
                      <w:pStyle w:val="2"/>
                      <w:ind w:right="280"/>
                      <w:jc w:val="right"/>
                    </w:pPr>
                    <w:r>
                      <w:rPr>
                        <w:rFonts w:hint="default" w:ascii="Times New Roman" w:hAnsi="Times New Roman" w:cs="Times New Roman"/>
                        <w:kern w:val="0"/>
                        <w:sz w:val="28"/>
                        <w:szCs w:val="28"/>
                      </w:rPr>
                      <w:t xml:space="preserve">— </w:t>
                    </w:r>
                    <w:r>
                      <w:rPr>
                        <w:rFonts w:hint="default" w:ascii="Times New Roman" w:hAnsi="Times New Roman" w:cs="Times New Roman"/>
                        <w:kern w:val="0"/>
                        <w:sz w:val="28"/>
                        <w:szCs w:val="28"/>
                      </w:rPr>
                      <w:fldChar w:fldCharType="begin"/>
                    </w:r>
                    <w:r>
                      <w:rPr>
                        <w:rFonts w:hint="default" w:ascii="Times New Roman" w:hAnsi="Times New Roman" w:cs="Times New Roman"/>
                        <w:kern w:val="0"/>
                        <w:sz w:val="28"/>
                        <w:szCs w:val="28"/>
                      </w:rPr>
                      <w:instrText xml:space="preserve"> PAGE </w:instrText>
                    </w:r>
                    <w:r>
                      <w:rPr>
                        <w:rFonts w:hint="default" w:ascii="Times New Roman" w:hAnsi="Times New Roman" w:cs="Times New Roman"/>
                        <w:kern w:val="0"/>
                        <w:sz w:val="28"/>
                        <w:szCs w:val="28"/>
                      </w:rPr>
                      <w:fldChar w:fldCharType="separate"/>
                    </w:r>
                    <w:r>
                      <w:rPr>
                        <w:rFonts w:hint="default" w:ascii="Times New Roman" w:hAnsi="Times New Roman" w:cs="Times New Roman"/>
                        <w:kern w:val="0"/>
                        <w:sz w:val="28"/>
                        <w:szCs w:val="28"/>
                      </w:rPr>
                      <w:t>4</w:t>
                    </w:r>
                    <w:r>
                      <w:rPr>
                        <w:rFonts w:hint="default" w:ascii="Times New Roman" w:hAnsi="Times New Roman" w:cs="Times New Roman"/>
                        <w:kern w:val="0"/>
                        <w:sz w:val="28"/>
                        <w:szCs w:val="28"/>
                      </w:rPr>
                      <w:fldChar w:fldCharType="end"/>
                    </w:r>
                    <w:r>
                      <w:rPr>
                        <w:rFonts w:hint="default" w:ascii="Times New Roman" w:hAnsi="Times New Roman" w:cs="Times New Roman"/>
                        <w:kern w:val="0"/>
                        <w:sz w:val="28"/>
                        <w:szCs w:val="28"/>
                      </w:rPr>
                      <w:t xml:space="preserve"> —</w:t>
                    </w:r>
                  </w:p>
                </w:txbxContent>
              </v:textbox>
            </v:shape>
          </w:pict>
        </mc:Fallback>
      </mc:AlternateContent>
    </w:r>
    <w:r>
      <w:rPr>
        <w:sz w:val="2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ED3B723">
                          <w:pPr>
                            <w:pStyle w:val="2"/>
                            <w:rPr>
                              <w:rFonts w:hint="eastAsia"/>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ml5N0zAEAAKcDAAAOAAAAAAAAAAEAIAAAAB4BAABkcnMvZTJv&#10;RG9jLnhtbFBLBQYAAAAABgAGAFkBAABcBQAAAAA=&#10;">
              <v:path/>
              <v:fill on="f" focussize="0,0"/>
              <v:stroke on="f"/>
              <v:imagedata o:title=""/>
              <o:lock v:ext="edit" aspectratio="f"/>
              <v:textbox inset="0mm,0mm,0mm,0mm" style="mso-fit-shape-to-text:t;">
                <w:txbxContent>
                  <w:p w14:paraId="1ED3B723">
                    <w:pPr>
                      <w:pStyle w:val="2"/>
                      <w:rPr>
                        <w:rFonts w:hint="eastAsia"/>
                      </w:rPr>
                    </w:pPr>
                  </w:p>
                </w:txbxContent>
              </v:textbox>
            </v:shape>
          </w:pict>
        </mc:Fallback>
      </mc:AlternateContent>
    </w:r>
    <w:r>
      <w:rPr>
        <w:sz w:val="2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6AFFB0AB">
                          <w:pPr>
                            <w:snapToGrid w:val="0"/>
                            <w:rPr>
                              <w:rFonts w:hint="eastAsia"/>
                              <w:sz w:val="18"/>
                            </w:rPr>
                          </w:pP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">
              <v:path/>
              <v:fill on="f" focussize="0,0"/>
              <v:stroke on="f"/>
              <v:imagedata o:title=""/>
              <o:lock v:ext="edit" aspectratio="f"/>
              <v:textbox inset="0mm,0mm,0mm,0mm" style="mso-fit-shape-to-text:t;">
                <w:txbxContent>
                  <w:p w14:paraId="6AFFB0AB">
                    <w:pPr>
                      <w:snapToGrid w:val="0"/>
                      <w:rPr>
                        <w:rFonts w:hint="eastAsia"/>
                        <w:sz w:val="18"/>
                      </w:rPr>
                    </w:pP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DBA50">
    <w:pPr>
      <w:pStyle w:val="4"/>
      <w:pBdr>
        <w:bottom w:val="none" w:color="auto" w:sz="0" w:space="1"/>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4"/>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16E7038"/>
    <w:rsid w:val="216E703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6">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szCs w:val="18"/>
    </w:rPr>
  </w:style>
  <w:style w:type="paragraph" w:styleId="3">
    <w:name w:val="index 6"/>
    <w:basedOn w:val="1"/>
    <w:next w:val="1"/>
    <w:qFormat/>
    <w:uiPriority w:val="0"/>
    <w:pPr>
      <w:ind w:left="2100"/>
    </w:pPr>
    <w:rPr>
      <w:rFonts w:ascii="Times New Roman" w:hAnsi="Times New Roman" w:eastAsia="宋体"/>
    </w:rPr>
  </w:style>
  <w:style w:type="paragraph" w:styleId="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7">
    <w:name w:val="Default"/>
    <w:basedOn w:val="8"/>
    <w:next w:val="3"/>
    <w:qFormat/>
    <w:uiPriority w:val="99"/>
    <w:pPr>
      <w:widowControl w:val="0"/>
      <w:autoSpaceDE w:val="0"/>
      <w:autoSpaceDN w:val="0"/>
      <w:adjustRightInd w:val="0"/>
    </w:pPr>
    <w:rPr>
      <w:rFonts w:ascii="新宋体′...." w:eastAsia="新宋体′...." w:cs="新宋体′...."/>
      <w:color w:val="000000"/>
      <w:sz w:val="24"/>
      <w:szCs w:val="24"/>
      <w:lang w:val="en-US" w:eastAsia="zh-CN" w:bidi="ar-SA"/>
    </w:rPr>
  </w:style>
  <w:style w:type="paragraph" w:customStyle="1" w:styleId="8">
    <w:name w:val="纯文本1"/>
    <w:basedOn w:val="1"/>
    <w:qFormat/>
    <w:uiPriority w:val="0"/>
    <w:pPr>
      <w:textAlignment w:val="baseline"/>
    </w:pPr>
    <w:rPr>
      <w:rFonts w:ascii="宋体" w:hAnsi="Courier New" w:eastAsia="宋体" w:cs="Times New Roman"/>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2025-04-17T08:23:00Z</dcterms:created>
  <dc:creator>叶子～</dc:creator>
  <cp:lastModifiedBy>叶子～</cp:lastModifiedBy>
  <dcterms:modified xsi:type="dcterms:W3CDTF">2025-04-17T08:24:43Z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02AF8ACAEEE441CEB99C5220264A2453_11</vt:lpwstr>
  </property>
  <property fmtid="{D5CDD505-2E9C-101B-9397-08002B2CF9AE}" pid="4" name="KSOTemplateDocerSaveRecord">
    <vt:lpwstr>eyJoZGlkIjoiY2M0N2E2ODUzODI5M2VkYjI2ZWI1ZjczOTg2M2M0MTkiLCJ1c2VySWQiOiI1Mjc0MDc3ODYifQ==</vt:lpwstr>
  </property>
</Properties>
</file>