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AE8B07">
      <w:pPr>
        <w:spacing w:line="600" w:lineRule="exact"/>
        <w:rPr>
          <w:rFonts w:ascii="Times New Roman" w:hAnsi="Times New Roman" w:eastAsia="仿宋_GB2312"/>
          <w:sz w:val="32"/>
          <w:szCs w:val="32"/>
        </w:rPr>
      </w:pPr>
      <w:r>
        <w:rPr>
          <w:rFonts w:ascii="Times New Roman" w:hAnsi="Times New Roman" w:eastAsia="黑体"/>
          <w:sz w:val="32"/>
          <w:szCs w:val="32"/>
        </w:rPr>
        <w:t>附件</w:t>
      </w:r>
    </w:p>
    <w:p w14:paraId="1E07DE25">
      <w:pPr>
        <w:adjustRightInd w:val="0"/>
        <w:snapToGrid w:val="0"/>
        <w:spacing w:line="600" w:lineRule="exact"/>
        <w:jc w:val="both"/>
        <w:rPr>
          <w:rFonts w:ascii="Times New Roman" w:hAnsi="Times New Roman" w:eastAsia="方正小标宋_GBK"/>
          <w:sz w:val="32"/>
          <w:szCs w:val="32"/>
        </w:rPr>
      </w:pPr>
    </w:p>
    <w:p w14:paraId="43E083D6">
      <w:pPr>
        <w:adjustRightInd w:val="0"/>
        <w:snapToGrid w:val="0"/>
        <w:spacing w:line="600" w:lineRule="exact"/>
        <w:jc w:val="center"/>
        <w:rPr>
          <w:rFonts w:ascii="Times New Roman" w:hAnsi="Times New Roman" w:eastAsia="方正小标宋_GBK"/>
          <w:sz w:val="44"/>
          <w:szCs w:val="44"/>
        </w:rPr>
      </w:pPr>
      <w:r>
        <w:rPr>
          <w:rFonts w:ascii="Times New Roman" w:hAnsi="Times New Roman" w:eastAsia="方正小标宋_GBK"/>
          <w:sz w:val="44"/>
          <w:szCs w:val="44"/>
        </w:rPr>
        <w:t>广西壮族自治区2024年度中央农村环境整治</w:t>
      </w:r>
    </w:p>
    <w:p w14:paraId="336E51BE">
      <w:pPr>
        <w:adjustRightInd w:val="0"/>
        <w:snapToGrid w:val="0"/>
        <w:spacing w:line="600" w:lineRule="exact"/>
        <w:jc w:val="center"/>
        <w:rPr>
          <w:rFonts w:ascii="Times New Roman" w:hAnsi="Times New Roman" w:eastAsia="方正小标宋_GBK"/>
          <w:sz w:val="44"/>
          <w:szCs w:val="44"/>
        </w:rPr>
      </w:pPr>
      <w:r>
        <w:rPr>
          <w:rFonts w:ascii="Times New Roman" w:hAnsi="Times New Roman" w:eastAsia="方正小标宋_GBK"/>
          <w:sz w:val="44"/>
          <w:szCs w:val="44"/>
        </w:rPr>
        <w:t>资金</w:t>
      </w:r>
      <w:r>
        <w:rPr>
          <w:rFonts w:hint="eastAsia" w:ascii="Times New Roman" w:hAnsi="Times New Roman" w:eastAsia="方正小标宋_GBK"/>
          <w:sz w:val="44"/>
          <w:szCs w:val="44"/>
        </w:rPr>
        <w:t>转移支付</w:t>
      </w:r>
      <w:r>
        <w:rPr>
          <w:rFonts w:hint="eastAsia" w:ascii="Times New Roman" w:hAnsi="Times New Roman" w:eastAsia="方正小标宋_GBK"/>
          <w:sz w:val="44"/>
          <w:szCs w:val="44"/>
          <w:lang w:eastAsia="zh-CN"/>
        </w:rPr>
        <w:t>区域</w:t>
      </w:r>
      <w:r>
        <w:rPr>
          <w:rFonts w:ascii="Times New Roman" w:hAnsi="Times New Roman" w:eastAsia="方正小标宋_GBK"/>
          <w:sz w:val="44"/>
          <w:szCs w:val="44"/>
        </w:rPr>
        <w:t>绩效</w:t>
      </w:r>
      <w:r>
        <w:rPr>
          <w:rFonts w:hint="eastAsia" w:ascii="Times New Roman" w:hAnsi="Times New Roman" w:eastAsia="方正小标宋_GBK"/>
          <w:sz w:val="44"/>
          <w:szCs w:val="44"/>
        </w:rPr>
        <w:t>目标</w:t>
      </w:r>
      <w:r>
        <w:rPr>
          <w:rFonts w:ascii="Times New Roman" w:hAnsi="Times New Roman" w:eastAsia="方正小标宋_GBK"/>
          <w:sz w:val="44"/>
          <w:szCs w:val="44"/>
        </w:rPr>
        <w:t>自评表</w:t>
      </w:r>
    </w:p>
    <w:p w14:paraId="3DE6B096">
      <w:pPr>
        <w:pStyle w:val="2"/>
      </w:pP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9"/>
        <w:gridCol w:w="577"/>
        <w:gridCol w:w="601"/>
        <w:gridCol w:w="729"/>
        <w:gridCol w:w="1705"/>
        <w:gridCol w:w="783"/>
        <w:gridCol w:w="985"/>
        <w:gridCol w:w="1903"/>
      </w:tblGrid>
      <w:tr w14:paraId="2D6DA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0" w:hRule="atLeast"/>
          <w:jc w:val="center"/>
        </w:trPr>
        <w:tc>
          <w:tcPr>
            <w:tcW w:w="1806" w:type="dxa"/>
            <w:gridSpan w:val="2"/>
            <w:tcBorders>
              <w:top w:val="single" w:color="000000" w:sz="4" w:space="0"/>
              <w:left w:val="single" w:color="000000" w:sz="4" w:space="0"/>
              <w:bottom w:val="single" w:color="000000" w:sz="4" w:space="0"/>
              <w:right w:val="single" w:color="000000" w:sz="4" w:space="0"/>
            </w:tcBorders>
            <w:noWrap w:val="0"/>
            <w:vAlign w:val="center"/>
          </w:tcPr>
          <w:p w14:paraId="33D5F565">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转移支付</w:t>
            </w:r>
          </w:p>
          <w:p w14:paraId="6841F03E">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（项目）名称</w:t>
            </w:r>
          </w:p>
        </w:tc>
        <w:tc>
          <w:tcPr>
            <w:tcW w:w="6706" w:type="dxa"/>
            <w:gridSpan w:val="6"/>
            <w:tcBorders>
              <w:top w:val="single" w:color="000000" w:sz="4" w:space="0"/>
              <w:left w:val="single" w:color="000000" w:sz="4" w:space="0"/>
              <w:bottom w:val="single" w:color="000000" w:sz="4" w:space="0"/>
              <w:right w:val="single" w:color="000000" w:sz="4" w:space="0"/>
            </w:tcBorders>
            <w:noWrap w:val="0"/>
            <w:vAlign w:val="center"/>
          </w:tcPr>
          <w:p w14:paraId="34FF1109">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农村环境整治资金</w:t>
            </w:r>
          </w:p>
        </w:tc>
      </w:tr>
      <w:tr w14:paraId="366F0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806" w:type="dxa"/>
            <w:gridSpan w:val="2"/>
            <w:tcBorders>
              <w:top w:val="single" w:color="000000" w:sz="4" w:space="0"/>
              <w:left w:val="single" w:color="000000" w:sz="4" w:space="0"/>
              <w:bottom w:val="single" w:color="000000" w:sz="4" w:space="0"/>
              <w:right w:val="single" w:color="000000" w:sz="4" w:space="0"/>
            </w:tcBorders>
            <w:noWrap w:val="0"/>
            <w:vAlign w:val="center"/>
          </w:tcPr>
          <w:p w14:paraId="6DD33BA5">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中央主管部门</w:t>
            </w:r>
          </w:p>
        </w:tc>
        <w:tc>
          <w:tcPr>
            <w:tcW w:w="6706" w:type="dxa"/>
            <w:gridSpan w:val="6"/>
            <w:tcBorders>
              <w:top w:val="single" w:color="000000" w:sz="4" w:space="0"/>
              <w:left w:val="single" w:color="000000" w:sz="4" w:space="0"/>
              <w:bottom w:val="single" w:color="000000" w:sz="4" w:space="0"/>
              <w:right w:val="single" w:color="000000" w:sz="4" w:space="0"/>
            </w:tcBorders>
            <w:noWrap w:val="0"/>
            <w:vAlign w:val="center"/>
          </w:tcPr>
          <w:p w14:paraId="4F4CD80E">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财政部、生态环境部</w:t>
            </w:r>
          </w:p>
        </w:tc>
      </w:tr>
      <w:tr w14:paraId="39E8E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806" w:type="dxa"/>
            <w:gridSpan w:val="2"/>
            <w:tcBorders>
              <w:top w:val="single" w:color="000000" w:sz="4" w:space="0"/>
              <w:left w:val="single" w:color="000000" w:sz="4" w:space="0"/>
              <w:bottom w:val="single" w:color="000000" w:sz="4" w:space="0"/>
              <w:right w:val="single" w:color="000000" w:sz="4" w:space="0"/>
            </w:tcBorders>
            <w:noWrap w:val="0"/>
            <w:vAlign w:val="center"/>
          </w:tcPr>
          <w:p w14:paraId="68C0EE65">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地方主管部门</w:t>
            </w:r>
          </w:p>
        </w:tc>
        <w:tc>
          <w:tcPr>
            <w:tcW w:w="3035" w:type="dxa"/>
            <w:gridSpan w:val="3"/>
            <w:tcBorders>
              <w:top w:val="single" w:color="000000" w:sz="4" w:space="0"/>
              <w:left w:val="single" w:color="000000" w:sz="4" w:space="0"/>
              <w:bottom w:val="single" w:color="000000" w:sz="4" w:space="0"/>
              <w:right w:val="single" w:color="000000" w:sz="4" w:space="0"/>
            </w:tcBorders>
            <w:noWrap w:val="0"/>
            <w:vAlign w:val="center"/>
          </w:tcPr>
          <w:p w14:paraId="483600B6">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广西壮族自治区财政厅、广西壮族自治区生态环境厅</w:t>
            </w:r>
          </w:p>
        </w:tc>
        <w:tc>
          <w:tcPr>
            <w:tcW w:w="1768" w:type="dxa"/>
            <w:gridSpan w:val="2"/>
            <w:tcBorders>
              <w:top w:val="single" w:color="000000" w:sz="4" w:space="0"/>
              <w:left w:val="single" w:color="000000" w:sz="4" w:space="0"/>
              <w:bottom w:val="single" w:color="000000" w:sz="4" w:space="0"/>
              <w:right w:val="single" w:color="000000" w:sz="4" w:space="0"/>
            </w:tcBorders>
            <w:noWrap w:val="0"/>
            <w:vAlign w:val="center"/>
          </w:tcPr>
          <w:p w14:paraId="59F4095C">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资金使用单位</w:t>
            </w:r>
          </w:p>
        </w:tc>
        <w:tc>
          <w:tcPr>
            <w:tcW w:w="1903" w:type="dxa"/>
            <w:tcBorders>
              <w:top w:val="single" w:color="000000" w:sz="4" w:space="0"/>
              <w:left w:val="single" w:color="000000" w:sz="4" w:space="0"/>
              <w:bottom w:val="single" w:color="000000" w:sz="4" w:space="0"/>
              <w:right w:val="single" w:color="000000" w:sz="4" w:space="0"/>
            </w:tcBorders>
            <w:noWrap w:val="0"/>
            <w:vAlign w:val="center"/>
          </w:tcPr>
          <w:p w14:paraId="5DC293CB">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横州市、灵川县、海城区、灵山县、德保县、金秀瑶族自治县、凭祥市、融水苗族自治县、钦南区、钦北区、金城江区、龙州县</w:t>
            </w:r>
          </w:p>
        </w:tc>
      </w:tr>
      <w:tr w14:paraId="102B1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117D38E8">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资金投入情况（万元）</w:t>
            </w: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36791323">
            <w:pPr>
              <w:spacing w:line="240" w:lineRule="exact"/>
              <w:jc w:val="center"/>
              <w:rPr>
                <w:rFonts w:ascii="Times New Roman" w:hAnsi="Times New Roman" w:eastAsia="仿宋"/>
                <w:sz w:val="18"/>
                <w:szCs w:val="18"/>
              </w:rPr>
            </w:pPr>
          </w:p>
        </w:tc>
        <w:tc>
          <w:tcPr>
            <w:tcW w:w="1705" w:type="dxa"/>
            <w:tcBorders>
              <w:top w:val="single" w:color="000000" w:sz="4" w:space="0"/>
              <w:left w:val="single" w:color="000000" w:sz="4" w:space="0"/>
              <w:bottom w:val="single" w:color="000000" w:sz="4" w:space="0"/>
              <w:right w:val="single" w:color="000000" w:sz="4" w:space="0"/>
            </w:tcBorders>
            <w:noWrap w:val="0"/>
            <w:vAlign w:val="center"/>
          </w:tcPr>
          <w:p w14:paraId="4FEEA1E8">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全年预算数（A）</w:t>
            </w:r>
          </w:p>
        </w:tc>
        <w:tc>
          <w:tcPr>
            <w:tcW w:w="1768" w:type="dxa"/>
            <w:gridSpan w:val="2"/>
            <w:tcBorders>
              <w:top w:val="single" w:color="000000" w:sz="4" w:space="0"/>
              <w:left w:val="single" w:color="000000" w:sz="4" w:space="0"/>
              <w:bottom w:val="single" w:color="000000" w:sz="4" w:space="0"/>
              <w:right w:val="single" w:color="000000" w:sz="4" w:space="0"/>
            </w:tcBorders>
            <w:noWrap w:val="0"/>
            <w:vAlign w:val="center"/>
          </w:tcPr>
          <w:p w14:paraId="08731AE7">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全年执行数（B）</w:t>
            </w:r>
          </w:p>
        </w:tc>
        <w:tc>
          <w:tcPr>
            <w:tcW w:w="1903" w:type="dxa"/>
            <w:tcBorders>
              <w:top w:val="single" w:color="000000" w:sz="4" w:space="0"/>
              <w:left w:val="nil"/>
              <w:bottom w:val="single" w:color="000000" w:sz="4" w:space="0"/>
              <w:right w:val="single" w:color="000000" w:sz="4" w:space="0"/>
            </w:tcBorders>
            <w:noWrap w:val="0"/>
            <w:vAlign w:val="center"/>
          </w:tcPr>
          <w:p w14:paraId="10774B7A">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预算执行率（B/A）</w:t>
            </w:r>
          </w:p>
        </w:tc>
      </w:tr>
      <w:tr w14:paraId="68D46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007C1FC0">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71F2D14A">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年度资金总额：</w:t>
            </w:r>
          </w:p>
        </w:tc>
        <w:tc>
          <w:tcPr>
            <w:tcW w:w="1705" w:type="dxa"/>
            <w:tcBorders>
              <w:top w:val="single" w:color="000000" w:sz="4" w:space="0"/>
              <w:left w:val="single" w:color="000000" w:sz="4" w:space="0"/>
              <w:bottom w:val="single" w:color="000000" w:sz="4" w:space="0"/>
              <w:right w:val="single" w:color="000000" w:sz="4" w:space="0"/>
            </w:tcBorders>
            <w:noWrap w:val="0"/>
            <w:vAlign w:val="center"/>
          </w:tcPr>
          <w:p w14:paraId="35E1C956">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5917.59</w:t>
            </w:r>
          </w:p>
        </w:tc>
        <w:tc>
          <w:tcPr>
            <w:tcW w:w="1768" w:type="dxa"/>
            <w:gridSpan w:val="2"/>
            <w:tcBorders>
              <w:top w:val="single" w:color="000000" w:sz="4" w:space="0"/>
              <w:left w:val="single" w:color="000000" w:sz="4" w:space="0"/>
              <w:bottom w:val="single" w:color="000000" w:sz="4" w:space="0"/>
              <w:right w:val="single" w:color="000000" w:sz="4" w:space="0"/>
            </w:tcBorders>
            <w:noWrap w:val="0"/>
            <w:vAlign w:val="center"/>
          </w:tcPr>
          <w:p w14:paraId="1314A7A6">
            <w:pPr>
              <w:widowControl/>
              <w:spacing w:line="240" w:lineRule="exact"/>
              <w:jc w:val="center"/>
              <w:textAlignment w:val="center"/>
              <w:rPr>
                <w:rFonts w:hint="default" w:ascii="Times New Roman" w:hAnsi="Times New Roman" w:eastAsia="仿宋"/>
                <w:sz w:val="18"/>
                <w:szCs w:val="18"/>
                <w:lang w:val="en-US" w:eastAsia="zh-CN"/>
              </w:rPr>
            </w:pPr>
            <w:r>
              <w:rPr>
                <w:rFonts w:hint="eastAsia" w:ascii="Times New Roman" w:hAnsi="Times New Roman" w:eastAsia="仿宋"/>
                <w:kern w:val="0"/>
                <w:sz w:val="18"/>
                <w:szCs w:val="18"/>
                <w:lang w:val="en-US" w:eastAsia="zh-CN" w:bidi="ar"/>
              </w:rPr>
              <w:t>2545.31</w:t>
            </w:r>
          </w:p>
        </w:tc>
        <w:tc>
          <w:tcPr>
            <w:tcW w:w="1903" w:type="dxa"/>
            <w:tcBorders>
              <w:top w:val="single" w:color="000000" w:sz="4" w:space="0"/>
              <w:left w:val="nil"/>
              <w:bottom w:val="single" w:color="000000" w:sz="4" w:space="0"/>
              <w:right w:val="single" w:color="000000" w:sz="4" w:space="0"/>
            </w:tcBorders>
            <w:noWrap w:val="0"/>
            <w:vAlign w:val="center"/>
          </w:tcPr>
          <w:p w14:paraId="56C6636E">
            <w:pPr>
              <w:widowControl/>
              <w:spacing w:line="240" w:lineRule="exact"/>
              <w:jc w:val="center"/>
              <w:textAlignment w:val="center"/>
              <w:rPr>
                <w:rFonts w:ascii="Times New Roman" w:hAnsi="Times New Roman" w:eastAsia="仿宋"/>
                <w:sz w:val="18"/>
                <w:szCs w:val="18"/>
              </w:rPr>
            </w:pPr>
            <w:r>
              <w:rPr>
                <w:rFonts w:hint="eastAsia" w:ascii="Times New Roman" w:hAnsi="Times New Roman" w:eastAsia="仿宋"/>
                <w:kern w:val="0"/>
                <w:sz w:val="18"/>
                <w:szCs w:val="18"/>
                <w:lang w:val="en-US" w:eastAsia="zh-CN" w:bidi="ar"/>
              </w:rPr>
              <w:t>43.01</w:t>
            </w:r>
            <w:r>
              <w:rPr>
                <w:rFonts w:ascii="Times New Roman" w:hAnsi="Times New Roman" w:eastAsia="仿宋"/>
                <w:kern w:val="0"/>
                <w:sz w:val="18"/>
                <w:szCs w:val="18"/>
                <w:lang w:bidi="ar"/>
              </w:rPr>
              <w:t>%</w:t>
            </w:r>
          </w:p>
        </w:tc>
      </w:tr>
      <w:tr w14:paraId="4ED88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4EDE7C03">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5A59F04E">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其中：中央财政资金</w:t>
            </w:r>
          </w:p>
        </w:tc>
        <w:tc>
          <w:tcPr>
            <w:tcW w:w="1705" w:type="dxa"/>
            <w:tcBorders>
              <w:top w:val="single" w:color="000000" w:sz="4" w:space="0"/>
              <w:left w:val="single" w:color="000000" w:sz="4" w:space="0"/>
              <w:bottom w:val="single" w:color="000000" w:sz="4" w:space="0"/>
              <w:right w:val="single" w:color="000000" w:sz="4" w:space="0"/>
            </w:tcBorders>
            <w:noWrap w:val="0"/>
            <w:vAlign w:val="center"/>
          </w:tcPr>
          <w:p w14:paraId="6BDFB301">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5314</w:t>
            </w:r>
          </w:p>
        </w:tc>
        <w:tc>
          <w:tcPr>
            <w:tcW w:w="1768" w:type="dxa"/>
            <w:gridSpan w:val="2"/>
            <w:tcBorders>
              <w:top w:val="single" w:color="000000" w:sz="4" w:space="0"/>
              <w:left w:val="single" w:color="000000" w:sz="4" w:space="0"/>
              <w:bottom w:val="single" w:color="000000" w:sz="4" w:space="0"/>
              <w:right w:val="single" w:color="000000" w:sz="4" w:space="0"/>
            </w:tcBorders>
            <w:noWrap w:val="0"/>
            <w:vAlign w:val="center"/>
          </w:tcPr>
          <w:p w14:paraId="15B6B581">
            <w:pPr>
              <w:widowControl/>
              <w:spacing w:line="240" w:lineRule="exact"/>
              <w:jc w:val="center"/>
              <w:textAlignment w:val="center"/>
              <w:rPr>
                <w:rFonts w:hint="default" w:ascii="Times New Roman" w:hAnsi="Times New Roman" w:eastAsia="仿宋"/>
                <w:sz w:val="18"/>
                <w:szCs w:val="18"/>
                <w:lang w:val="en-US" w:eastAsia="zh-CN"/>
              </w:rPr>
            </w:pPr>
            <w:r>
              <w:rPr>
                <w:rFonts w:hint="eastAsia" w:ascii="Times New Roman" w:hAnsi="Times New Roman" w:eastAsia="仿宋"/>
                <w:kern w:val="0"/>
                <w:sz w:val="18"/>
                <w:szCs w:val="18"/>
                <w:lang w:val="en-US" w:eastAsia="zh-CN" w:bidi="ar"/>
              </w:rPr>
              <w:t>2405.28</w:t>
            </w:r>
          </w:p>
        </w:tc>
        <w:tc>
          <w:tcPr>
            <w:tcW w:w="1903" w:type="dxa"/>
            <w:tcBorders>
              <w:top w:val="single" w:color="000000" w:sz="4" w:space="0"/>
              <w:left w:val="nil"/>
              <w:bottom w:val="single" w:color="000000" w:sz="4" w:space="0"/>
              <w:right w:val="single" w:color="000000" w:sz="4" w:space="0"/>
            </w:tcBorders>
            <w:noWrap w:val="0"/>
            <w:vAlign w:val="center"/>
          </w:tcPr>
          <w:p w14:paraId="22FA62C2">
            <w:pPr>
              <w:widowControl/>
              <w:spacing w:line="240" w:lineRule="exact"/>
              <w:jc w:val="center"/>
              <w:textAlignment w:val="center"/>
              <w:rPr>
                <w:rFonts w:ascii="Times New Roman" w:hAnsi="Times New Roman" w:eastAsia="仿宋"/>
                <w:sz w:val="18"/>
                <w:szCs w:val="18"/>
              </w:rPr>
            </w:pPr>
            <w:r>
              <w:rPr>
                <w:rFonts w:hint="eastAsia" w:ascii="Times New Roman" w:hAnsi="Times New Roman" w:eastAsia="仿宋"/>
                <w:kern w:val="0"/>
                <w:sz w:val="18"/>
                <w:szCs w:val="18"/>
                <w:lang w:val="en-US" w:eastAsia="zh-CN" w:bidi="ar"/>
              </w:rPr>
              <w:t>45.26</w:t>
            </w:r>
            <w:r>
              <w:rPr>
                <w:rFonts w:ascii="Times New Roman" w:hAnsi="Times New Roman" w:eastAsia="仿宋"/>
                <w:kern w:val="0"/>
                <w:sz w:val="18"/>
                <w:szCs w:val="18"/>
                <w:lang w:bidi="ar"/>
              </w:rPr>
              <w:t>%</w:t>
            </w:r>
          </w:p>
        </w:tc>
      </w:tr>
      <w:tr w14:paraId="4603D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5E03F94C">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4AA5444D">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地方资金</w:t>
            </w:r>
          </w:p>
        </w:tc>
        <w:tc>
          <w:tcPr>
            <w:tcW w:w="1705" w:type="dxa"/>
            <w:tcBorders>
              <w:top w:val="single" w:color="000000" w:sz="4" w:space="0"/>
              <w:left w:val="single" w:color="000000" w:sz="4" w:space="0"/>
              <w:bottom w:val="single" w:color="000000" w:sz="4" w:space="0"/>
              <w:right w:val="single" w:color="000000" w:sz="4" w:space="0"/>
            </w:tcBorders>
            <w:noWrap w:val="0"/>
            <w:vAlign w:val="center"/>
          </w:tcPr>
          <w:p w14:paraId="0582EA84">
            <w:pPr>
              <w:widowControl/>
              <w:spacing w:line="240" w:lineRule="exact"/>
              <w:jc w:val="center"/>
              <w:textAlignment w:val="center"/>
              <w:rPr>
                <w:rFonts w:ascii="Times New Roman" w:hAnsi="Times New Roman" w:eastAsia="仿宋"/>
                <w:b/>
                <w:sz w:val="18"/>
                <w:szCs w:val="18"/>
              </w:rPr>
            </w:pPr>
            <w:r>
              <w:rPr>
                <w:rFonts w:ascii="Times New Roman" w:hAnsi="Times New Roman" w:eastAsia="仿宋"/>
                <w:kern w:val="0"/>
                <w:sz w:val="18"/>
                <w:szCs w:val="18"/>
                <w:lang w:bidi="ar"/>
              </w:rPr>
              <w:t>603.59</w:t>
            </w:r>
          </w:p>
        </w:tc>
        <w:tc>
          <w:tcPr>
            <w:tcW w:w="1768" w:type="dxa"/>
            <w:gridSpan w:val="2"/>
            <w:tcBorders>
              <w:top w:val="single" w:color="000000" w:sz="4" w:space="0"/>
              <w:left w:val="single" w:color="000000" w:sz="4" w:space="0"/>
              <w:bottom w:val="single" w:color="000000" w:sz="4" w:space="0"/>
              <w:right w:val="single" w:color="000000" w:sz="4" w:space="0"/>
            </w:tcBorders>
            <w:noWrap w:val="0"/>
            <w:vAlign w:val="center"/>
          </w:tcPr>
          <w:p w14:paraId="3A8A438F">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140.03</w:t>
            </w:r>
          </w:p>
        </w:tc>
        <w:tc>
          <w:tcPr>
            <w:tcW w:w="1903" w:type="dxa"/>
            <w:tcBorders>
              <w:top w:val="single" w:color="000000" w:sz="4" w:space="0"/>
              <w:left w:val="nil"/>
              <w:bottom w:val="single" w:color="000000" w:sz="4" w:space="0"/>
              <w:right w:val="single" w:color="000000" w:sz="4" w:space="0"/>
            </w:tcBorders>
            <w:noWrap w:val="0"/>
            <w:vAlign w:val="center"/>
          </w:tcPr>
          <w:p w14:paraId="40F0C8BE">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23.20%</w:t>
            </w:r>
          </w:p>
        </w:tc>
      </w:tr>
      <w:tr w14:paraId="4760F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62006C23">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2B758E76">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其他资金</w:t>
            </w:r>
          </w:p>
        </w:tc>
        <w:tc>
          <w:tcPr>
            <w:tcW w:w="1705" w:type="dxa"/>
            <w:tcBorders>
              <w:top w:val="single" w:color="000000" w:sz="4" w:space="0"/>
              <w:left w:val="single" w:color="000000" w:sz="4" w:space="0"/>
              <w:bottom w:val="single" w:color="000000" w:sz="4" w:space="0"/>
              <w:right w:val="single" w:color="000000" w:sz="4" w:space="0"/>
            </w:tcBorders>
            <w:noWrap w:val="0"/>
            <w:vAlign w:val="center"/>
          </w:tcPr>
          <w:p w14:paraId="6C71D7A0">
            <w:pPr>
              <w:widowControl/>
              <w:spacing w:line="240" w:lineRule="exact"/>
              <w:jc w:val="center"/>
              <w:textAlignment w:val="center"/>
              <w:rPr>
                <w:rFonts w:ascii="Times New Roman" w:hAnsi="Times New Roman" w:eastAsia="仿宋"/>
                <w:sz w:val="18"/>
                <w:szCs w:val="18"/>
              </w:rPr>
            </w:pPr>
          </w:p>
        </w:tc>
        <w:tc>
          <w:tcPr>
            <w:tcW w:w="1768" w:type="dxa"/>
            <w:gridSpan w:val="2"/>
            <w:tcBorders>
              <w:top w:val="single" w:color="000000" w:sz="4" w:space="0"/>
              <w:left w:val="single" w:color="000000" w:sz="4" w:space="0"/>
              <w:bottom w:val="single" w:color="000000" w:sz="4" w:space="0"/>
              <w:right w:val="single" w:color="000000" w:sz="4" w:space="0"/>
            </w:tcBorders>
            <w:noWrap w:val="0"/>
            <w:vAlign w:val="center"/>
          </w:tcPr>
          <w:p w14:paraId="7CEE5D84">
            <w:pPr>
              <w:widowControl/>
              <w:spacing w:line="240" w:lineRule="exact"/>
              <w:jc w:val="center"/>
              <w:textAlignment w:val="center"/>
              <w:rPr>
                <w:rFonts w:ascii="Times New Roman" w:hAnsi="Times New Roman" w:eastAsia="仿宋"/>
                <w:sz w:val="18"/>
                <w:szCs w:val="18"/>
              </w:rPr>
            </w:pPr>
          </w:p>
        </w:tc>
        <w:tc>
          <w:tcPr>
            <w:tcW w:w="1903" w:type="dxa"/>
            <w:tcBorders>
              <w:top w:val="single" w:color="000000" w:sz="4" w:space="0"/>
              <w:left w:val="nil"/>
              <w:bottom w:val="single" w:color="000000" w:sz="4" w:space="0"/>
              <w:right w:val="single" w:color="000000" w:sz="4" w:space="0"/>
            </w:tcBorders>
            <w:noWrap w:val="0"/>
            <w:vAlign w:val="center"/>
          </w:tcPr>
          <w:p w14:paraId="0446DAD4">
            <w:pPr>
              <w:widowControl/>
              <w:spacing w:line="240" w:lineRule="exact"/>
              <w:jc w:val="center"/>
              <w:textAlignment w:val="center"/>
              <w:rPr>
                <w:rFonts w:ascii="Times New Roman" w:hAnsi="Times New Roman" w:eastAsia="仿宋"/>
                <w:sz w:val="18"/>
                <w:szCs w:val="18"/>
              </w:rPr>
            </w:pPr>
          </w:p>
        </w:tc>
      </w:tr>
      <w:tr w14:paraId="724AF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180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400FA78B">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资金管理情况</w:t>
            </w: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52DA5673">
            <w:pPr>
              <w:spacing w:line="240" w:lineRule="exact"/>
              <w:jc w:val="center"/>
              <w:rPr>
                <w:rFonts w:ascii="Times New Roman" w:hAnsi="Times New Roman" w:eastAsia="仿宋"/>
                <w:sz w:val="18"/>
                <w:szCs w:val="18"/>
              </w:rPr>
            </w:pPr>
          </w:p>
        </w:tc>
        <w:tc>
          <w:tcPr>
            <w:tcW w:w="3473" w:type="dxa"/>
            <w:gridSpan w:val="3"/>
            <w:tcBorders>
              <w:top w:val="single" w:color="000000" w:sz="4" w:space="0"/>
              <w:left w:val="single" w:color="000000" w:sz="4" w:space="0"/>
              <w:bottom w:val="single" w:color="000000" w:sz="4" w:space="0"/>
              <w:right w:val="single" w:color="000000" w:sz="4" w:space="0"/>
            </w:tcBorders>
            <w:noWrap w:val="0"/>
            <w:vAlign w:val="center"/>
          </w:tcPr>
          <w:p w14:paraId="0271F240">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情况说明</w:t>
            </w:r>
          </w:p>
        </w:tc>
        <w:tc>
          <w:tcPr>
            <w:tcW w:w="1903" w:type="dxa"/>
            <w:tcBorders>
              <w:top w:val="single" w:color="000000" w:sz="4" w:space="0"/>
              <w:left w:val="nil"/>
              <w:bottom w:val="single" w:color="000000" w:sz="4" w:space="0"/>
              <w:right w:val="single" w:color="000000" w:sz="4" w:space="0"/>
            </w:tcBorders>
            <w:noWrap w:val="0"/>
            <w:vAlign w:val="center"/>
          </w:tcPr>
          <w:p w14:paraId="69AAF8B4">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存在问题和改进措施</w:t>
            </w:r>
          </w:p>
        </w:tc>
      </w:tr>
      <w:tr w14:paraId="0CF03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6008C0E4">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7F280B5D">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分配科学性</w:t>
            </w:r>
          </w:p>
        </w:tc>
        <w:tc>
          <w:tcPr>
            <w:tcW w:w="3473" w:type="dxa"/>
            <w:gridSpan w:val="3"/>
            <w:tcBorders>
              <w:top w:val="single" w:color="000000" w:sz="4" w:space="0"/>
              <w:left w:val="single" w:color="000000" w:sz="4" w:space="0"/>
              <w:bottom w:val="single" w:color="000000" w:sz="4" w:space="0"/>
              <w:right w:val="single" w:color="000000" w:sz="4" w:space="0"/>
            </w:tcBorders>
            <w:noWrap w:val="0"/>
            <w:vAlign w:val="center"/>
          </w:tcPr>
          <w:p w14:paraId="7DD0945B">
            <w:pPr>
              <w:widowControl/>
              <w:spacing w:line="240" w:lineRule="exact"/>
              <w:textAlignment w:val="center"/>
              <w:rPr>
                <w:rFonts w:ascii="Times New Roman" w:hAnsi="Times New Roman" w:eastAsia="仿宋"/>
                <w:sz w:val="18"/>
                <w:szCs w:val="18"/>
              </w:rPr>
            </w:pPr>
            <w:r>
              <w:rPr>
                <w:rFonts w:ascii="Times New Roman" w:hAnsi="Times New Roman" w:eastAsia="仿宋" w:cs="Times New Roman"/>
                <w:kern w:val="0"/>
                <w:sz w:val="18"/>
                <w:szCs w:val="18"/>
                <w:lang w:bidi="ar"/>
              </w:rPr>
              <w:t>由自治区生态环境厅牵头提出资金分配方案，严格按照转移支付管理制度以及中央农村环境整治资金管理办法规定分配资金。资金下达后，根据项目实施的紧迫性与重要性，优先安排国家决策部署的重点方向及自治区党委、政府明确的重点任务，重点支持广西重点流域沿线地区、边境县（市、区）农村生活污水治理，支持农村黑臭水体治理试点城市，落实乡村振兴重点帮扶县的倾斜支持。所有支持项目均从中央农村环境整治资金项目储备库中选取，采用项目法进行分配，未列入中央农村环境整治资金项目储备库的项目不安排资金。</w:t>
            </w:r>
          </w:p>
        </w:tc>
        <w:tc>
          <w:tcPr>
            <w:tcW w:w="1903" w:type="dxa"/>
            <w:tcBorders>
              <w:top w:val="single" w:color="000000" w:sz="4" w:space="0"/>
              <w:left w:val="nil"/>
              <w:bottom w:val="single" w:color="000000" w:sz="4" w:space="0"/>
              <w:right w:val="single" w:color="000000" w:sz="4" w:space="0"/>
            </w:tcBorders>
            <w:noWrap w:val="0"/>
            <w:vAlign w:val="center"/>
          </w:tcPr>
          <w:p w14:paraId="06FAA241">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2F6DF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78C8DCC3">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4CF85AD7">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下达及时性</w:t>
            </w:r>
          </w:p>
        </w:tc>
        <w:tc>
          <w:tcPr>
            <w:tcW w:w="3473" w:type="dxa"/>
            <w:gridSpan w:val="3"/>
            <w:tcBorders>
              <w:top w:val="single" w:color="000000" w:sz="4" w:space="0"/>
              <w:left w:val="single" w:color="000000" w:sz="4" w:space="0"/>
              <w:bottom w:val="single" w:color="000000" w:sz="4" w:space="0"/>
              <w:right w:val="single" w:color="000000" w:sz="4" w:space="0"/>
            </w:tcBorders>
            <w:noWrap w:val="0"/>
            <w:vAlign w:val="center"/>
          </w:tcPr>
          <w:p w14:paraId="1552FADD">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自治区财政厅于2023年11月9日收到提前批中央资金下达文件，2023年12月8日完成全部资金3570万元的分配下达。2024年6月20日收到第二批中央资金下达文件，2024年7月19日完成全部资金1744万元的分配下达。均在收到文件30日</w:t>
            </w:r>
            <w:r>
              <w:rPr>
                <w:rFonts w:hint="eastAsia" w:ascii="Times New Roman" w:hAnsi="Times New Roman" w:eastAsia="仿宋"/>
                <w:kern w:val="0"/>
                <w:sz w:val="18"/>
                <w:szCs w:val="18"/>
                <w:lang w:eastAsia="zh-CN" w:bidi="ar"/>
              </w:rPr>
              <w:t>内</w:t>
            </w:r>
            <w:r>
              <w:rPr>
                <w:rFonts w:ascii="Times New Roman" w:hAnsi="Times New Roman" w:eastAsia="仿宋"/>
                <w:kern w:val="0"/>
                <w:sz w:val="18"/>
                <w:szCs w:val="18"/>
                <w:lang w:bidi="ar"/>
              </w:rPr>
              <w:t>完成资金分配下达工作。</w:t>
            </w:r>
          </w:p>
        </w:tc>
        <w:tc>
          <w:tcPr>
            <w:tcW w:w="1903" w:type="dxa"/>
            <w:tcBorders>
              <w:top w:val="single" w:color="000000" w:sz="4" w:space="0"/>
              <w:left w:val="nil"/>
              <w:bottom w:val="single" w:color="000000" w:sz="4" w:space="0"/>
              <w:right w:val="single" w:color="000000" w:sz="4" w:space="0"/>
            </w:tcBorders>
            <w:noWrap w:val="0"/>
            <w:vAlign w:val="center"/>
          </w:tcPr>
          <w:p w14:paraId="65935619">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3AB95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018EBA1F">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1EE97723">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拨付合规性</w:t>
            </w:r>
          </w:p>
        </w:tc>
        <w:tc>
          <w:tcPr>
            <w:tcW w:w="3473" w:type="dxa"/>
            <w:gridSpan w:val="3"/>
            <w:tcBorders>
              <w:top w:val="single" w:color="000000" w:sz="4" w:space="0"/>
              <w:left w:val="single" w:color="000000" w:sz="4" w:space="0"/>
              <w:bottom w:val="single" w:color="000000" w:sz="4" w:space="0"/>
              <w:right w:val="single" w:color="000000" w:sz="4" w:space="0"/>
            </w:tcBorders>
            <w:noWrap w:val="0"/>
            <w:vAlign w:val="center"/>
          </w:tcPr>
          <w:p w14:paraId="78D7F070">
            <w:pPr>
              <w:widowControl/>
              <w:spacing w:line="240" w:lineRule="exact"/>
              <w:textAlignment w:val="center"/>
              <w:rPr>
                <w:rFonts w:ascii="Times New Roman" w:hAnsi="Times New Roman" w:eastAsia="仿宋"/>
                <w:sz w:val="18"/>
                <w:szCs w:val="18"/>
              </w:rPr>
            </w:pPr>
            <w:r>
              <w:rPr>
                <w:rFonts w:ascii="Times New Roman" w:hAnsi="Times New Roman" w:eastAsia="仿宋" w:cs="Times New Roman"/>
                <w:kern w:val="0"/>
                <w:sz w:val="18"/>
                <w:szCs w:val="18"/>
                <w:lang w:bidi="ar"/>
              </w:rPr>
              <w:t>各级中</w:t>
            </w:r>
            <w:r>
              <w:rPr>
                <w:rFonts w:ascii="Times New Roman" w:hAnsi="Times New Roman" w:eastAsia="仿宋"/>
                <w:kern w:val="0"/>
                <w:sz w:val="18"/>
                <w:szCs w:val="18"/>
                <w:lang w:bidi="ar"/>
              </w:rPr>
              <w:t>央农村环境整治资金严格执行国库集中支付制度，未发现违规将资金从国库转入财政专户或支付到预算单位实有资金账户等问题。</w:t>
            </w:r>
          </w:p>
        </w:tc>
        <w:tc>
          <w:tcPr>
            <w:tcW w:w="1903" w:type="dxa"/>
            <w:tcBorders>
              <w:top w:val="single" w:color="000000" w:sz="4" w:space="0"/>
              <w:left w:val="nil"/>
              <w:bottom w:val="single" w:color="000000" w:sz="4" w:space="0"/>
              <w:right w:val="single" w:color="000000" w:sz="4" w:space="0"/>
            </w:tcBorders>
            <w:noWrap w:val="0"/>
            <w:vAlign w:val="center"/>
          </w:tcPr>
          <w:p w14:paraId="41A7AC59">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1BF97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664DFE9A">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4501AAB9">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使用规范性</w:t>
            </w:r>
          </w:p>
        </w:tc>
        <w:tc>
          <w:tcPr>
            <w:tcW w:w="3473" w:type="dxa"/>
            <w:gridSpan w:val="3"/>
            <w:tcBorders>
              <w:top w:val="single" w:color="000000" w:sz="4" w:space="0"/>
              <w:left w:val="single" w:color="000000" w:sz="4" w:space="0"/>
              <w:bottom w:val="single" w:color="000000" w:sz="4" w:space="0"/>
              <w:right w:val="single" w:color="000000" w:sz="4" w:space="0"/>
            </w:tcBorders>
            <w:noWrap w:val="0"/>
            <w:vAlign w:val="center"/>
          </w:tcPr>
          <w:p w14:paraId="6331EEC9">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严格按照农村环境整治资金管理办法，资金用于地方开展农村环境保护工作，同时加强资金管理，专款专用，切实提高资金使用效益。结合广西实际情况，2024年中央农村环境整治资金主要用于农村生活污水治理和农村黑臭水体整治</w:t>
            </w:r>
            <w:r>
              <w:rPr>
                <w:rFonts w:hint="eastAsia" w:ascii="Times New Roman" w:hAnsi="Times New Roman" w:eastAsia="仿宋"/>
                <w:kern w:val="0"/>
                <w:sz w:val="18"/>
                <w:szCs w:val="18"/>
                <w:lang w:eastAsia="zh-CN" w:bidi="ar"/>
              </w:rPr>
              <w:t>，</w:t>
            </w:r>
            <w:r>
              <w:rPr>
                <w:rFonts w:ascii="Times New Roman" w:hAnsi="Times New Roman" w:eastAsia="仿宋" w:cs="Times New Roman"/>
                <w:kern w:val="0"/>
                <w:sz w:val="18"/>
                <w:szCs w:val="18"/>
                <w:lang w:bidi="ar"/>
              </w:rPr>
              <w:t>符合农村环境整治资金管理办法规定的使用方向。</w:t>
            </w:r>
          </w:p>
        </w:tc>
        <w:tc>
          <w:tcPr>
            <w:tcW w:w="1903" w:type="dxa"/>
            <w:tcBorders>
              <w:top w:val="single" w:color="000000" w:sz="4" w:space="0"/>
              <w:left w:val="nil"/>
              <w:bottom w:val="single" w:color="000000" w:sz="4" w:space="0"/>
              <w:right w:val="single" w:color="000000" w:sz="4" w:space="0"/>
            </w:tcBorders>
            <w:noWrap w:val="0"/>
            <w:vAlign w:val="center"/>
          </w:tcPr>
          <w:p w14:paraId="365EE6A9">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4A606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7E30D2E0">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48EBE13D">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执行准确性</w:t>
            </w:r>
          </w:p>
        </w:tc>
        <w:tc>
          <w:tcPr>
            <w:tcW w:w="3473" w:type="dxa"/>
            <w:gridSpan w:val="3"/>
            <w:tcBorders>
              <w:top w:val="single" w:color="000000" w:sz="4" w:space="0"/>
              <w:left w:val="single" w:color="000000" w:sz="4" w:space="0"/>
              <w:bottom w:val="single" w:color="000000" w:sz="4" w:space="0"/>
              <w:right w:val="single" w:color="000000" w:sz="4" w:space="0"/>
            </w:tcBorders>
            <w:noWrap w:val="0"/>
            <w:vAlign w:val="center"/>
          </w:tcPr>
          <w:p w14:paraId="666341BC">
            <w:pPr>
              <w:widowControl/>
              <w:spacing w:line="240" w:lineRule="exact"/>
              <w:textAlignment w:val="center"/>
              <w:rPr>
                <w:rFonts w:ascii="Times New Roman" w:hAnsi="Times New Roman" w:eastAsia="仿宋"/>
                <w:sz w:val="18"/>
                <w:szCs w:val="18"/>
              </w:rPr>
            </w:pPr>
            <w:r>
              <w:rPr>
                <w:rFonts w:hint="default" w:ascii="Times New Roman" w:hAnsi="Times New Roman" w:eastAsia="仿宋"/>
                <w:color w:val="auto"/>
                <w:kern w:val="0"/>
                <w:sz w:val="18"/>
                <w:szCs w:val="18"/>
                <w:highlight w:val="none"/>
                <w:lang w:bidi="ar"/>
              </w:rPr>
              <w:t>各县（市、区）中央农村环境整治资金严格按照下达预算的科目和项目执行，未出现截留、挤占、挪用或擅自调整等问题。各项目单位严格按照分配下达的中央农村环境整治资金执行，未发现执行数偏离预算数较多的问题。但由于项目前期工作基础不扎实，项目提级论证耗时长，部分项目实施进度缓慢，导致资金执行率偏低，截至评价期资金执行率为45.26%。</w:t>
            </w:r>
          </w:p>
        </w:tc>
        <w:tc>
          <w:tcPr>
            <w:tcW w:w="1903" w:type="dxa"/>
            <w:tcBorders>
              <w:top w:val="single" w:color="000000" w:sz="4" w:space="0"/>
              <w:left w:val="nil"/>
              <w:bottom w:val="single" w:color="000000" w:sz="4" w:space="0"/>
              <w:right w:val="single" w:color="000000" w:sz="4" w:space="0"/>
            </w:tcBorders>
            <w:noWrap w:val="0"/>
            <w:vAlign w:val="center"/>
          </w:tcPr>
          <w:p w14:paraId="28C73133">
            <w:pPr>
              <w:widowControl/>
              <w:spacing w:line="240" w:lineRule="exact"/>
              <w:jc w:val="both"/>
              <w:textAlignment w:val="center"/>
              <w:rPr>
                <w:rFonts w:ascii="Times New Roman" w:hAnsi="Times New Roman" w:eastAsia="仿宋"/>
                <w:sz w:val="18"/>
                <w:szCs w:val="18"/>
              </w:rPr>
            </w:pPr>
            <w:r>
              <w:rPr>
                <w:rFonts w:hint="eastAsia" w:ascii="Times New Roman" w:hAnsi="Times New Roman" w:eastAsia="仿宋" w:cs="Times New Roman"/>
                <w:i w:val="0"/>
                <w:iCs w:val="0"/>
                <w:color w:val="auto"/>
                <w:kern w:val="0"/>
                <w:sz w:val="18"/>
                <w:szCs w:val="18"/>
                <w:highlight w:val="none"/>
                <w:u w:val="none"/>
                <w:lang w:val="en-US" w:eastAsia="zh-CN" w:bidi="ar"/>
              </w:rPr>
              <w:t>存在问题：由于项目前期工作基础不扎实，项目提级论证耗时长，部分项目实施进度缓慢。</w:t>
            </w:r>
            <w:r>
              <w:rPr>
                <w:rFonts w:hint="eastAsia" w:ascii="Times New Roman" w:hAnsi="Times New Roman" w:eastAsia="仿宋" w:cs="Times New Roman"/>
                <w:i w:val="0"/>
                <w:iCs w:val="0"/>
                <w:color w:val="auto"/>
                <w:kern w:val="0"/>
                <w:sz w:val="18"/>
                <w:szCs w:val="18"/>
                <w:highlight w:val="none"/>
                <w:u w:val="none"/>
                <w:lang w:val="en-US" w:eastAsia="zh-CN" w:bidi="ar"/>
              </w:rPr>
              <w:br w:type="textWrapping"/>
            </w:r>
            <w:r>
              <w:rPr>
                <w:rFonts w:hint="eastAsia" w:ascii="Times New Roman" w:hAnsi="Times New Roman" w:eastAsia="仿宋" w:cs="Times New Roman"/>
                <w:i w:val="0"/>
                <w:iCs w:val="0"/>
                <w:color w:val="auto"/>
                <w:kern w:val="0"/>
                <w:sz w:val="18"/>
                <w:szCs w:val="18"/>
                <w:highlight w:val="none"/>
                <w:u w:val="none"/>
                <w:lang w:val="en-US" w:eastAsia="zh-CN" w:bidi="ar"/>
              </w:rPr>
              <w:t>改进措施：一是扎实做好项目前期工作，加强项目储备，严格审核择优项目入库，不断提高项目储备质量。二是定期调度项目进展，针对进展严重滞后、问题矛盾多的项目进行现场帮扶，加快项目实施进度。</w:t>
            </w:r>
          </w:p>
        </w:tc>
      </w:tr>
      <w:tr w14:paraId="0B4AB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2190DE5C">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6053BD46">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预算绩效管理情况</w:t>
            </w:r>
          </w:p>
        </w:tc>
        <w:tc>
          <w:tcPr>
            <w:tcW w:w="3473" w:type="dxa"/>
            <w:gridSpan w:val="3"/>
            <w:tcBorders>
              <w:top w:val="single" w:color="000000" w:sz="4" w:space="0"/>
              <w:left w:val="single" w:color="000000" w:sz="4" w:space="0"/>
              <w:bottom w:val="single" w:color="000000" w:sz="4" w:space="0"/>
              <w:right w:val="single" w:color="000000" w:sz="4" w:space="0"/>
            </w:tcBorders>
            <w:noWrap w:val="0"/>
            <w:vAlign w:val="center"/>
          </w:tcPr>
          <w:p w14:paraId="21B0794A">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自治区生态环境厅严格按照中央文件下达的绩效目标组织项目实施，开展</w:t>
            </w:r>
            <w:r>
              <w:rPr>
                <w:rFonts w:ascii="Times New Roman" w:hAnsi="Times New Roman" w:eastAsia="仿宋" w:cs="Times New Roman"/>
                <w:kern w:val="0"/>
                <w:sz w:val="18"/>
                <w:szCs w:val="18"/>
                <w:lang w:bidi="ar"/>
              </w:rPr>
              <w:t>中央农村环境</w:t>
            </w:r>
            <w:bookmarkStart w:id="0" w:name="_GoBack"/>
            <w:r>
              <w:rPr>
                <w:rFonts w:hint="eastAsia" w:eastAsia="仿宋" w:cs="Times New Roman"/>
                <w:kern w:val="0"/>
                <w:sz w:val="18"/>
                <w:szCs w:val="18"/>
                <w:lang w:eastAsia="zh-CN" w:bidi="ar"/>
              </w:rPr>
              <w:t>整治</w:t>
            </w:r>
            <w:bookmarkEnd w:id="0"/>
            <w:r>
              <w:rPr>
                <w:rFonts w:ascii="Times New Roman" w:hAnsi="Times New Roman" w:eastAsia="仿宋"/>
                <w:kern w:val="0"/>
                <w:sz w:val="18"/>
                <w:szCs w:val="18"/>
                <w:lang w:bidi="ar"/>
              </w:rPr>
              <w:t>资金绩效运行监控和绩效自评，对提供材料的真实性、合法性、有效性负责。</w:t>
            </w:r>
          </w:p>
        </w:tc>
        <w:tc>
          <w:tcPr>
            <w:tcW w:w="1903" w:type="dxa"/>
            <w:tcBorders>
              <w:top w:val="single" w:color="000000" w:sz="4" w:space="0"/>
              <w:left w:val="nil"/>
              <w:bottom w:val="single" w:color="000000" w:sz="4" w:space="0"/>
              <w:right w:val="single" w:color="000000" w:sz="4" w:space="0"/>
            </w:tcBorders>
            <w:noWrap w:val="0"/>
            <w:vAlign w:val="center"/>
          </w:tcPr>
          <w:p w14:paraId="25303748">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549DE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80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2CBCBA75">
            <w:pPr>
              <w:spacing w:line="240" w:lineRule="exact"/>
              <w:jc w:val="center"/>
              <w:rPr>
                <w:rFonts w:ascii="Times New Roman" w:hAnsi="Times New Roman" w:eastAsia="仿宋"/>
                <w:sz w:val="18"/>
                <w:szCs w:val="18"/>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center"/>
          </w:tcPr>
          <w:p w14:paraId="05076903">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支出责任履行情况</w:t>
            </w:r>
          </w:p>
        </w:tc>
        <w:tc>
          <w:tcPr>
            <w:tcW w:w="3473" w:type="dxa"/>
            <w:gridSpan w:val="3"/>
            <w:tcBorders>
              <w:top w:val="single" w:color="000000" w:sz="4" w:space="0"/>
              <w:left w:val="single" w:color="000000" w:sz="4" w:space="0"/>
              <w:bottom w:val="single" w:color="000000" w:sz="4" w:space="0"/>
              <w:right w:val="single" w:color="000000" w:sz="4" w:space="0"/>
            </w:tcBorders>
            <w:noWrap w:val="0"/>
            <w:vAlign w:val="center"/>
          </w:tcPr>
          <w:p w14:paraId="1E6DB5DB">
            <w:pPr>
              <w:widowControl/>
              <w:spacing w:line="240" w:lineRule="exact"/>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根据农村环境保护以地方为主、中央给予适当支持的财政事权和支出责任划分原则，中央农村环境整治资金属于中央专项转移支付支出。2024年广西获得中央资金5314万元，地方财政配套603.59万元，符合相关规定。</w:t>
            </w:r>
          </w:p>
        </w:tc>
        <w:tc>
          <w:tcPr>
            <w:tcW w:w="1903" w:type="dxa"/>
            <w:tcBorders>
              <w:top w:val="single" w:color="000000" w:sz="4" w:space="0"/>
              <w:left w:val="nil"/>
              <w:bottom w:val="single" w:color="000000" w:sz="4" w:space="0"/>
              <w:right w:val="single" w:color="000000" w:sz="4" w:space="0"/>
            </w:tcBorders>
            <w:noWrap w:val="0"/>
            <w:vAlign w:val="center"/>
          </w:tcPr>
          <w:p w14:paraId="3E8F5FDD">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24948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1229" w:type="dxa"/>
            <w:vMerge w:val="restart"/>
            <w:tcBorders>
              <w:top w:val="single" w:color="000000" w:sz="4" w:space="0"/>
              <w:left w:val="single" w:color="000000" w:sz="4" w:space="0"/>
              <w:bottom w:val="single" w:color="000000" w:sz="4" w:space="0"/>
              <w:right w:val="single" w:color="000000" w:sz="4" w:space="0"/>
            </w:tcBorders>
            <w:noWrap w:val="0"/>
            <w:vAlign w:val="center"/>
          </w:tcPr>
          <w:p w14:paraId="14A9B487">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总体目标完成情况</w:t>
            </w:r>
          </w:p>
        </w:tc>
        <w:tc>
          <w:tcPr>
            <w:tcW w:w="3612" w:type="dxa"/>
            <w:gridSpan w:val="4"/>
            <w:tcBorders>
              <w:top w:val="single" w:color="000000" w:sz="4" w:space="0"/>
              <w:left w:val="single" w:color="000000" w:sz="4" w:space="0"/>
              <w:bottom w:val="single" w:color="000000" w:sz="4" w:space="0"/>
              <w:right w:val="single" w:color="000000" w:sz="4" w:space="0"/>
            </w:tcBorders>
            <w:noWrap w:val="0"/>
            <w:vAlign w:val="center"/>
          </w:tcPr>
          <w:p w14:paraId="1827E7CA">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总体目标</w:t>
            </w:r>
          </w:p>
        </w:tc>
        <w:tc>
          <w:tcPr>
            <w:tcW w:w="3671" w:type="dxa"/>
            <w:gridSpan w:val="3"/>
            <w:tcBorders>
              <w:top w:val="single" w:color="000000" w:sz="4" w:space="0"/>
              <w:left w:val="single" w:color="000000" w:sz="4" w:space="0"/>
              <w:bottom w:val="single" w:color="000000" w:sz="4" w:space="0"/>
              <w:right w:val="single" w:color="000000" w:sz="4" w:space="0"/>
            </w:tcBorders>
            <w:noWrap w:val="0"/>
            <w:vAlign w:val="center"/>
          </w:tcPr>
          <w:p w14:paraId="66BD8A5D">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全年实际完成情况</w:t>
            </w:r>
          </w:p>
        </w:tc>
      </w:tr>
      <w:tr w14:paraId="20112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06357C">
            <w:pPr>
              <w:spacing w:line="240" w:lineRule="exact"/>
              <w:jc w:val="center"/>
              <w:rPr>
                <w:rFonts w:ascii="Times New Roman" w:hAnsi="Times New Roman" w:eastAsia="仿宋"/>
                <w:sz w:val="18"/>
                <w:szCs w:val="18"/>
              </w:rPr>
            </w:pPr>
          </w:p>
        </w:tc>
        <w:tc>
          <w:tcPr>
            <w:tcW w:w="3612"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14:paraId="0A7A2B0B">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推动完成6个行政村环境整治任务，完成2个农村黑臭水体治理，新增村庄生活污水处理能力500吨/日，农村生活污水治理水平得到提高，村庄人居环境质量明显改善。</w:t>
            </w:r>
          </w:p>
        </w:tc>
        <w:tc>
          <w:tcPr>
            <w:tcW w:w="3671"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14:paraId="0AB065AA">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推动完成4个行政村环境整治任务，完成2个农村黑臭水体治理，新增村庄生活污水处理能力295吨/日，经环境整治后的村庄农村生活污水治理水平得到提高，村庄人居环境质量明显改善。</w:t>
            </w:r>
          </w:p>
        </w:tc>
      </w:tr>
      <w:tr w14:paraId="04D10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5F8421">
            <w:pPr>
              <w:spacing w:line="240" w:lineRule="exact"/>
              <w:jc w:val="center"/>
              <w:rPr>
                <w:rFonts w:ascii="Times New Roman" w:hAnsi="Times New Roman" w:eastAsia="仿宋"/>
                <w:sz w:val="18"/>
                <w:szCs w:val="18"/>
              </w:rPr>
            </w:pPr>
          </w:p>
        </w:tc>
        <w:tc>
          <w:tcPr>
            <w:tcW w:w="3612"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14:paraId="69D64CD2">
            <w:pPr>
              <w:spacing w:line="240" w:lineRule="exact"/>
              <w:jc w:val="center"/>
              <w:rPr>
                <w:rFonts w:ascii="Times New Roman" w:hAnsi="Times New Roman" w:eastAsia="仿宋"/>
                <w:sz w:val="18"/>
                <w:szCs w:val="18"/>
              </w:rPr>
            </w:pPr>
          </w:p>
        </w:tc>
        <w:tc>
          <w:tcPr>
            <w:tcW w:w="3671"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14:paraId="26EC6EB6">
            <w:pPr>
              <w:spacing w:line="240" w:lineRule="exact"/>
              <w:jc w:val="center"/>
              <w:rPr>
                <w:rFonts w:ascii="Times New Roman" w:hAnsi="Times New Roman" w:eastAsia="仿宋"/>
                <w:sz w:val="18"/>
                <w:szCs w:val="18"/>
              </w:rPr>
            </w:pPr>
          </w:p>
        </w:tc>
      </w:tr>
      <w:tr w14:paraId="31882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1229" w:type="dxa"/>
            <w:vMerge w:val="restart"/>
            <w:tcBorders>
              <w:top w:val="single" w:color="000000" w:sz="4" w:space="0"/>
              <w:left w:val="single" w:color="000000" w:sz="4" w:space="0"/>
              <w:bottom w:val="single" w:color="000000" w:sz="4" w:space="0"/>
              <w:right w:val="single" w:color="000000" w:sz="4" w:space="0"/>
            </w:tcBorders>
            <w:noWrap w:val="0"/>
            <w:vAlign w:val="center"/>
          </w:tcPr>
          <w:p w14:paraId="0599CCA6">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绩效指标</w:t>
            </w:r>
          </w:p>
        </w:tc>
        <w:tc>
          <w:tcPr>
            <w:tcW w:w="577" w:type="dxa"/>
            <w:tcBorders>
              <w:top w:val="single" w:color="000000" w:sz="4" w:space="0"/>
              <w:left w:val="single" w:color="000000" w:sz="4" w:space="0"/>
              <w:bottom w:val="single" w:color="000000" w:sz="4" w:space="0"/>
              <w:right w:val="single" w:color="000000" w:sz="4" w:space="0"/>
            </w:tcBorders>
            <w:noWrap w:val="0"/>
            <w:vAlign w:val="center"/>
          </w:tcPr>
          <w:p w14:paraId="4A6A1AD4">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一级</w:t>
            </w:r>
          </w:p>
          <w:p w14:paraId="18D30CD7">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指标</w:t>
            </w:r>
          </w:p>
        </w:tc>
        <w:tc>
          <w:tcPr>
            <w:tcW w:w="601" w:type="dxa"/>
            <w:tcBorders>
              <w:top w:val="single" w:color="000000" w:sz="4" w:space="0"/>
              <w:left w:val="single" w:color="000000" w:sz="4" w:space="0"/>
              <w:right w:val="single" w:color="000000" w:sz="4" w:space="0"/>
            </w:tcBorders>
            <w:noWrap w:val="0"/>
            <w:vAlign w:val="center"/>
          </w:tcPr>
          <w:p w14:paraId="1269F883">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二级</w:t>
            </w:r>
          </w:p>
          <w:p w14:paraId="4A0A8105">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指标</w:t>
            </w: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4CFF01DA">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三级指标</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1ED3B763">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指标值</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0EC33052">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全年实际完成值</w:t>
            </w:r>
          </w:p>
        </w:tc>
        <w:tc>
          <w:tcPr>
            <w:tcW w:w="1903" w:type="dxa"/>
            <w:tcBorders>
              <w:top w:val="single" w:color="000000" w:sz="4" w:space="0"/>
              <w:left w:val="nil"/>
              <w:bottom w:val="single" w:color="000000" w:sz="4" w:space="0"/>
              <w:right w:val="single" w:color="000000" w:sz="4" w:space="0"/>
            </w:tcBorders>
            <w:noWrap w:val="0"/>
            <w:vAlign w:val="center"/>
          </w:tcPr>
          <w:p w14:paraId="20E1C9C7">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未完成原因和改进措施</w:t>
            </w:r>
          </w:p>
        </w:tc>
      </w:tr>
      <w:tr w14:paraId="5B8FE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5A15E2">
            <w:pPr>
              <w:spacing w:line="240" w:lineRule="exact"/>
              <w:jc w:val="center"/>
              <w:rPr>
                <w:rFonts w:ascii="Times New Roman" w:hAnsi="Times New Roman" w:eastAsia="仿宋"/>
                <w:sz w:val="18"/>
                <w:szCs w:val="18"/>
              </w:rPr>
            </w:pPr>
          </w:p>
        </w:tc>
        <w:tc>
          <w:tcPr>
            <w:tcW w:w="577" w:type="dxa"/>
            <w:vMerge w:val="restart"/>
            <w:tcBorders>
              <w:top w:val="single" w:color="000000" w:sz="4" w:space="0"/>
              <w:left w:val="single" w:color="000000" w:sz="4" w:space="0"/>
              <w:right w:val="single" w:color="000000" w:sz="4" w:space="0"/>
            </w:tcBorders>
            <w:noWrap w:val="0"/>
            <w:vAlign w:val="center"/>
          </w:tcPr>
          <w:p w14:paraId="5F6D921C">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产出指标</w:t>
            </w:r>
          </w:p>
        </w:tc>
        <w:tc>
          <w:tcPr>
            <w:tcW w:w="601" w:type="dxa"/>
            <w:vMerge w:val="restart"/>
            <w:tcBorders>
              <w:top w:val="single" w:color="000000" w:sz="4" w:space="0"/>
              <w:left w:val="single" w:color="000000" w:sz="4" w:space="0"/>
              <w:bottom w:val="single" w:color="000000" w:sz="4" w:space="0"/>
              <w:right w:val="single" w:color="000000" w:sz="4" w:space="0"/>
            </w:tcBorders>
            <w:noWrap w:val="0"/>
            <w:vAlign w:val="center"/>
          </w:tcPr>
          <w:p w14:paraId="454374F8">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数量指标</w:t>
            </w: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52BA1AD9">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支持完成环境整治的行政村数量（个）</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2B6BA930">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6</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3E82F203">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4</w:t>
            </w:r>
          </w:p>
        </w:tc>
        <w:tc>
          <w:tcPr>
            <w:tcW w:w="1903" w:type="dxa"/>
            <w:tcBorders>
              <w:top w:val="single" w:color="000000" w:sz="4" w:space="0"/>
              <w:left w:val="nil"/>
              <w:bottom w:val="single" w:color="000000" w:sz="4" w:space="0"/>
              <w:right w:val="single" w:color="000000" w:sz="4" w:space="0"/>
            </w:tcBorders>
            <w:noWrap w:val="0"/>
            <w:vAlign w:val="center"/>
          </w:tcPr>
          <w:p w14:paraId="021D4181">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未完成原因：</w:t>
            </w:r>
            <w:r>
              <w:rPr>
                <w:rFonts w:ascii="Times New Roman" w:hAnsi="Times New Roman" w:eastAsia="仿宋"/>
                <w:sz w:val="18"/>
                <w:szCs w:val="18"/>
              </w:rPr>
              <w:t>由于项目立项与可行性研究不够全面，征地、初步设计等准备工作不够充分，资金下达后仍在多方讨论比对、补充调查，开展提级论证等方面耗时较长，导致项目进展缓慢，支持完成环境整治的行政村数量未达到绩效目标。</w:t>
            </w:r>
            <w:r>
              <w:rPr>
                <w:rFonts w:ascii="Times New Roman" w:hAnsi="Times New Roman" w:eastAsia="仿宋"/>
                <w:kern w:val="0"/>
                <w:sz w:val="18"/>
                <w:szCs w:val="18"/>
                <w:lang w:bidi="ar"/>
              </w:rPr>
              <w:t>改进措施：</w:t>
            </w:r>
            <w:r>
              <w:rPr>
                <w:rFonts w:ascii="Times New Roman" w:hAnsi="Times New Roman" w:eastAsia="仿宋"/>
                <w:sz w:val="18"/>
                <w:szCs w:val="18"/>
              </w:rPr>
              <w:t>督促项目实施单位履行主体责任，严格按照既定方案组织实施项目，加强项目日常管理。</w:t>
            </w:r>
          </w:p>
        </w:tc>
      </w:tr>
      <w:tr w14:paraId="4E737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E05734">
            <w:pPr>
              <w:spacing w:line="240" w:lineRule="exact"/>
              <w:jc w:val="center"/>
              <w:rPr>
                <w:rFonts w:ascii="Times New Roman" w:hAnsi="Times New Roman" w:eastAsia="仿宋"/>
                <w:sz w:val="18"/>
                <w:szCs w:val="18"/>
              </w:rPr>
            </w:pPr>
          </w:p>
        </w:tc>
        <w:tc>
          <w:tcPr>
            <w:tcW w:w="577" w:type="dxa"/>
            <w:vMerge w:val="continue"/>
            <w:tcBorders>
              <w:left w:val="single" w:color="000000" w:sz="4" w:space="0"/>
              <w:right w:val="single" w:color="000000" w:sz="4" w:space="0"/>
            </w:tcBorders>
            <w:noWrap w:val="0"/>
            <w:vAlign w:val="center"/>
          </w:tcPr>
          <w:p w14:paraId="5D8E8360">
            <w:pPr>
              <w:spacing w:line="240" w:lineRule="exact"/>
              <w:jc w:val="center"/>
              <w:rPr>
                <w:rFonts w:ascii="Times New Roman" w:hAnsi="Times New Roman" w:eastAsia="仿宋"/>
                <w:sz w:val="18"/>
                <w:szCs w:val="18"/>
              </w:rPr>
            </w:pPr>
          </w:p>
        </w:tc>
        <w:tc>
          <w:tcPr>
            <w:tcW w:w="60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992954">
            <w:pPr>
              <w:spacing w:line="240" w:lineRule="exact"/>
              <w:jc w:val="center"/>
              <w:rPr>
                <w:rFonts w:ascii="Times New Roman" w:hAnsi="Times New Roman" w:eastAsia="仿宋"/>
                <w:sz w:val="18"/>
                <w:szCs w:val="18"/>
              </w:rPr>
            </w:pP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0D6F1978">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农村黑臭水体治理数量（个）</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03CE55F0">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2</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2FF88B1F">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2</w:t>
            </w:r>
          </w:p>
        </w:tc>
        <w:tc>
          <w:tcPr>
            <w:tcW w:w="1903" w:type="dxa"/>
            <w:tcBorders>
              <w:top w:val="single" w:color="000000" w:sz="4" w:space="0"/>
              <w:left w:val="nil"/>
              <w:bottom w:val="single" w:color="000000" w:sz="4" w:space="0"/>
              <w:right w:val="single" w:color="000000" w:sz="4" w:space="0"/>
            </w:tcBorders>
            <w:noWrap w:val="0"/>
            <w:vAlign w:val="center"/>
          </w:tcPr>
          <w:p w14:paraId="34BC868E">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75BD0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5D5316">
            <w:pPr>
              <w:spacing w:line="240" w:lineRule="exact"/>
              <w:jc w:val="center"/>
              <w:rPr>
                <w:rFonts w:ascii="Times New Roman" w:hAnsi="Times New Roman" w:eastAsia="仿宋"/>
                <w:sz w:val="18"/>
                <w:szCs w:val="18"/>
              </w:rPr>
            </w:pPr>
          </w:p>
        </w:tc>
        <w:tc>
          <w:tcPr>
            <w:tcW w:w="577" w:type="dxa"/>
            <w:vMerge w:val="continue"/>
            <w:tcBorders>
              <w:left w:val="single" w:color="000000" w:sz="4" w:space="0"/>
              <w:right w:val="single" w:color="000000" w:sz="4" w:space="0"/>
            </w:tcBorders>
            <w:noWrap w:val="0"/>
            <w:vAlign w:val="center"/>
          </w:tcPr>
          <w:p w14:paraId="26C2356A">
            <w:pPr>
              <w:spacing w:line="240" w:lineRule="exact"/>
              <w:jc w:val="center"/>
              <w:rPr>
                <w:rFonts w:ascii="Times New Roman" w:hAnsi="Times New Roman" w:eastAsia="仿宋"/>
                <w:sz w:val="18"/>
                <w:szCs w:val="18"/>
              </w:rPr>
            </w:pPr>
          </w:p>
        </w:tc>
        <w:tc>
          <w:tcPr>
            <w:tcW w:w="60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9C4CCE">
            <w:pPr>
              <w:spacing w:line="240" w:lineRule="exact"/>
              <w:jc w:val="center"/>
              <w:rPr>
                <w:rFonts w:ascii="Times New Roman" w:hAnsi="Times New Roman" w:eastAsia="仿宋"/>
                <w:sz w:val="18"/>
                <w:szCs w:val="18"/>
              </w:rPr>
            </w:pP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3F1F04F2">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新增农村生活污水处理能力（吨/日）</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06C79153">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500</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51170FC3">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295</w:t>
            </w:r>
          </w:p>
        </w:tc>
        <w:tc>
          <w:tcPr>
            <w:tcW w:w="1903" w:type="dxa"/>
            <w:tcBorders>
              <w:top w:val="single" w:color="000000" w:sz="4" w:space="0"/>
              <w:left w:val="nil"/>
              <w:bottom w:val="single" w:color="000000" w:sz="4" w:space="0"/>
              <w:right w:val="single" w:color="000000" w:sz="4" w:space="0"/>
            </w:tcBorders>
            <w:noWrap w:val="0"/>
            <w:vAlign w:val="center"/>
          </w:tcPr>
          <w:p w14:paraId="032B9A76">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未完成原因：</w:t>
            </w:r>
            <w:r>
              <w:rPr>
                <w:rFonts w:ascii="Times New Roman" w:hAnsi="Times New Roman" w:eastAsia="仿宋"/>
                <w:sz w:val="18"/>
                <w:szCs w:val="18"/>
              </w:rPr>
              <w:t>由于项目立项与可行性研究不够全面，征地、初步设计等准备工作不够充分，资金下达后仍在多方讨论比对、补充调查，开展提级论证等方面耗时较长，导致项目进展缓慢，</w:t>
            </w:r>
            <w:r>
              <w:rPr>
                <w:rFonts w:ascii="Times New Roman" w:hAnsi="Times New Roman" w:eastAsia="仿宋"/>
                <w:kern w:val="0"/>
                <w:sz w:val="18"/>
                <w:szCs w:val="18"/>
                <w:lang w:bidi="ar"/>
              </w:rPr>
              <w:t>新增农村生活污水处理能力</w:t>
            </w:r>
            <w:r>
              <w:rPr>
                <w:rFonts w:ascii="Times New Roman" w:hAnsi="Times New Roman" w:eastAsia="仿宋"/>
                <w:sz w:val="18"/>
                <w:szCs w:val="18"/>
              </w:rPr>
              <w:t>未达到绩效目标。</w:t>
            </w:r>
            <w:r>
              <w:rPr>
                <w:rFonts w:ascii="Times New Roman" w:hAnsi="Times New Roman" w:eastAsia="仿宋"/>
                <w:kern w:val="0"/>
                <w:sz w:val="18"/>
                <w:szCs w:val="18"/>
                <w:lang w:bidi="ar"/>
              </w:rPr>
              <w:t>改进措施：</w:t>
            </w:r>
            <w:r>
              <w:rPr>
                <w:rFonts w:ascii="Times New Roman" w:hAnsi="Times New Roman" w:eastAsia="仿宋"/>
                <w:sz w:val="18"/>
                <w:szCs w:val="18"/>
              </w:rPr>
              <w:t>督促项目实施单位履行主体责任，严格按照既定方案组织实施项目，加强项目日常管理。</w:t>
            </w:r>
          </w:p>
        </w:tc>
      </w:tr>
      <w:tr w14:paraId="6AA92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74D388">
            <w:pPr>
              <w:spacing w:line="240" w:lineRule="exact"/>
              <w:jc w:val="center"/>
              <w:rPr>
                <w:rFonts w:ascii="Times New Roman" w:hAnsi="Times New Roman" w:eastAsia="仿宋"/>
                <w:sz w:val="18"/>
                <w:szCs w:val="18"/>
              </w:rPr>
            </w:pPr>
          </w:p>
        </w:tc>
        <w:tc>
          <w:tcPr>
            <w:tcW w:w="577" w:type="dxa"/>
            <w:vMerge w:val="continue"/>
            <w:tcBorders>
              <w:left w:val="single" w:color="000000" w:sz="4" w:space="0"/>
              <w:right w:val="single" w:color="000000" w:sz="4" w:space="0"/>
            </w:tcBorders>
            <w:noWrap w:val="0"/>
            <w:vAlign w:val="center"/>
          </w:tcPr>
          <w:p w14:paraId="3D2CD311">
            <w:pPr>
              <w:spacing w:line="240" w:lineRule="exact"/>
              <w:jc w:val="center"/>
              <w:rPr>
                <w:rFonts w:ascii="Times New Roman" w:hAnsi="Times New Roman" w:eastAsia="仿宋"/>
                <w:sz w:val="18"/>
                <w:szCs w:val="18"/>
              </w:rPr>
            </w:pPr>
          </w:p>
        </w:tc>
        <w:tc>
          <w:tcPr>
            <w:tcW w:w="601" w:type="dxa"/>
            <w:vMerge w:val="restart"/>
            <w:tcBorders>
              <w:top w:val="single" w:color="000000" w:sz="4" w:space="0"/>
              <w:left w:val="single" w:color="000000" w:sz="4" w:space="0"/>
              <w:right w:val="single" w:color="000000" w:sz="4" w:space="0"/>
            </w:tcBorders>
            <w:noWrap w:val="0"/>
            <w:vAlign w:val="center"/>
          </w:tcPr>
          <w:p w14:paraId="38172700">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质量指标</w:t>
            </w: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0A6A340E">
            <w:pPr>
              <w:widowControl/>
              <w:spacing w:line="240" w:lineRule="exact"/>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完工项目验收合格率</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5D95AC2E">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100%</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46966E43">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100%</w:t>
            </w:r>
          </w:p>
        </w:tc>
        <w:tc>
          <w:tcPr>
            <w:tcW w:w="1903" w:type="dxa"/>
            <w:tcBorders>
              <w:top w:val="single" w:color="000000" w:sz="4" w:space="0"/>
              <w:left w:val="nil"/>
              <w:bottom w:val="single" w:color="000000" w:sz="4" w:space="0"/>
              <w:right w:val="single" w:color="000000" w:sz="4" w:space="0"/>
            </w:tcBorders>
            <w:noWrap w:val="0"/>
            <w:vAlign w:val="center"/>
          </w:tcPr>
          <w:p w14:paraId="446B6B9F">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无</w:t>
            </w:r>
          </w:p>
        </w:tc>
      </w:tr>
      <w:tr w14:paraId="63585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1047C5">
            <w:pPr>
              <w:spacing w:line="240" w:lineRule="exact"/>
              <w:jc w:val="center"/>
              <w:rPr>
                <w:rFonts w:ascii="Times New Roman" w:hAnsi="Times New Roman" w:eastAsia="仿宋"/>
                <w:sz w:val="18"/>
                <w:szCs w:val="18"/>
              </w:rPr>
            </w:pPr>
          </w:p>
        </w:tc>
        <w:tc>
          <w:tcPr>
            <w:tcW w:w="577" w:type="dxa"/>
            <w:vMerge w:val="continue"/>
            <w:tcBorders>
              <w:left w:val="single" w:color="000000" w:sz="4" w:space="0"/>
              <w:right w:val="single" w:color="000000" w:sz="4" w:space="0"/>
            </w:tcBorders>
            <w:noWrap w:val="0"/>
            <w:vAlign w:val="center"/>
          </w:tcPr>
          <w:p w14:paraId="6D250A11">
            <w:pPr>
              <w:spacing w:line="240" w:lineRule="exact"/>
              <w:jc w:val="center"/>
              <w:rPr>
                <w:rFonts w:ascii="Times New Roman" w:hAnsi="Times New Roman" w:eastAsia="仿宋"/>
                <w:sz w:val="18"/>
                <w:szCs w:val="18"/>
              </w:rPr>
            </w:pPr>
          </w:p>
        </w:tc>
        <w:tc>
          <w:tcPr>
            <w:tcW w:w="601" w:type="dxa"/>
            <w:vMerge w:val="continue"/>
            <w:tcBorders>
              <w:left w:val="single" w:color="000000" w:sz="4" w:space="0"/>
              <w:right w:val="single" w:color="000000" w:sz="4" w:space="0"/>
            </w:tcBorders>
            <w:noWrap w:val="0"/>
            <w:vAlign w:val="center"/>
          </w:tcPr>
          <w:p w14:paraId="43EE71E0">
            <w:pPr>
              <w:spacing w:line="240" w:lineRule="exact"/>
              <w:jc w:val="center"/>
              <w:rPr>
                <w:rFonts w:ascii="Times New Roman" w:hAnsi="Times New Roman" w:eastAsia="仿宋"/>
                <w:sz w:val="18"/>
                <w:szCs w:val="18"/>
              </w:rPr>
            </w:pP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36C00C08">
            <w:pPr>
              <w:widowControl/>
              <w:spacing w:line="240" w:lineRule="exact"/>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经过整治的村庄，满足“三基本”要求的比例</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62C551D2">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≥90%</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745AC36E">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90%</w:t>
            </w:r>
          </w:p>
        </w:tc>
        <w:tc>
          <w:tcPr>
            <w:tcW w:w="1903" w:type="dxa"/>
            <w:tcBorders>
              <w:top w:val="single" w:color="000000" w:sz="4" w:space="0"/>
              <w:left w:val="nil"/>
              <w:bottom w:val="single" w:color="000000" w:sz="4" w:space="0"/>
              <w:right w:val="single" w:color="000000" w:sz="4" w:space="0"/>
            </w:tcBorders>
            <w:noWrap w:val="0"/>
            <w:vAlign w:val="center"/>
          </w:tcPr>
          <w:p w14:paraId="7D1EB0EB">
            <w:pPr>
              <w:widowControl/>
              <w:spacing w:line="240" w:lineRule="exact"/>
              <w:jc w:val="center"/>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无</w:t>
            </w:r>
          </w:p>
        </w:tc>
      </w:tr>
      <w:tr w14:paraId="0D099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A5FE68">
            <w:pPr>
              <w:spacing w:line="240" w:lineRule="exact"/>
              <w:jc w:val="center"/>
              <w:rPr>
                <w:rFonts w:ascii="Times New Roman" w:hAnsi="Times New Roman" w:eastAsia="仿宋"/>
                <w:sz w:val="18"/>
                <w:szCs w:val="18"/>
              </w:rPr>
            </w:pPr>
          </w:p>
        </w:tc>
        <w:tc>
          <w:tcPr>
            <w:tcW w:w="577" w:type="dxa"/>
            <w:vMerge w:val="continue"/>
            <w:tcBorders>
              <w:left w:val="single" w:color="000000" w:sz="4" w:space="0"/>
              <w:right w:val="single" w:color="000000" w:sz="4" w:space="0"/>
            </w:tcBorders>
            <w:noWrap w:val="0"/>
            <w:vAlign w:val="center"/>
          </w:tcPr>
          <w:p w14:paraId="7CAAB6D2">
            <w:pPr>
              <w:spacing w:line="240" w:lineRule="exact"/>
              <w:jc w:val="center"/>
              <w:rPr>
                <w:rFonts w:ascii="Times New Roman" w:hAnsi="Times New Roman" w:eastAsia="仿宋"/>
                <w:sz w:val="18"/>
                <w:szCs w:val="18"/>
              </w:rPr>
            </w:pPr>
          </w:p>
        </w:tc>
        <w:tc>
          <w:tcPr>
            <w:tcW w:w="601" w:type="dxa"/>
            <w:vMerge w:val="continue"/>
            <w:tcBorders>
              <w:left w:val="single" w:color="000000" w:sz="4" w:space="0"/>
              <w:bottom w:val="single" w:color="000000" w:sz="4" w:space="0"/>
              <w:right w:val="single" w:color="000000" w:sz="4" w:space="0"/>
            </w:tcBorders>
            <w:noWrap w:val="0"/>
            <w:vAlign w:val="center"/>
          </w:tcPr>
          <w:p w14:paraId="67A3D96A">
            <w:pPr>
              <w:widowControl/>
              <w:spacing w:line="240" w:lineRule="exact"/>
              <w:jc w:val="center"/>
              <w:textAlignment w:val="center"/>
              <w:rPr>
                <w:rFonts w:ascii="Times New Roman" w:hAnsi="Times New Roman" w:eastAsia="仿宋"/>
                <w:sz w:val="18"/>
                <w:szCs w:val="18"/>
              </w:rPr>
            </w:pP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0E31F9DD">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完成整治黑臭水体合格率</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0688D82C">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≥90%</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65200C50">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100%</w:t>
            </w:r>
          </w:p>
        </w:tc>
        <w:tc>
          <w:tcPr>
            <w:tcW w:w="1903" w:type="dxa"/>
            <w:tcBorders>
              <w:top w:val="single" w:color="000000" w:sz="4" w:space="0"/>
              <w:left w:val="nil"/>
              <w:bottom w:val="single" w:color="000000" w:sz="4" w:space="0"/>
              <w:right w:val="single" w:color="000000" w:sz="4" w:space="0"/>
            </w:tcBorders>
            <w:noWrap w:val="0"/>
            <w:vAlign w:val="center"/>
          </w:tcPr>
          <w:p w14:paraId="2DE4D10B">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5726D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3"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B46F73">
            <w:pPr>
              <w:spacing w:line="240" w:lineRule="exact"/>
              <w:jc w:val="center"/>
              <w:rPr>
                <w:rFonts w:ascii="Times New Roman" w:hAnsi="Times New Roman" w:eastAsia="仿宋"/>
                <w:sz w:val="18"/>
                <w:szCs w:val="18"/>
              </w:rPr>
            </w:pPr>
          </w:p>
        </w:tc>
        <w:tc>
          <w:tcPr>
            <w:tcW w:w="577" w:type="dxa"/>
            <w:vMerge w:val="continue"/>
            <w:tcBorders>
              <w:left w:val="single" w:color="000000" w:sz="4" w:space="0"/>
              <w:right w:val="single" w:color="000000" w:sz="4" w:space="0"/>
            </w:tcBorders>
            <w:noWrap w:val="0"/>
            <w:vAlign w:val="center"/>
          </w:tcPr>
          <w:p w14:paraId="45C93AAD">
            <w:pPr>
              <w:spacing w:line="240" w:lineRule="exact"/>
              <w:jc w:val="center"/>
              <w:rPr>
                <w:rFonts w:ascii="Times New Roman" w:hAnsi="Times New Roman" w:eastAsia="仿宋"/>
                <w:sz w:val="18"/>
                <w:szCs w:val="18"/>
              </w:rPr>
            </w:pPr>
          </w:p>
        </w:tc>
        <w:tc>
          <w:tcPr>
            <w:tcW w:w="601" w:type="dxa"/>
            <w:vMerge w:val="restart"/>
            <w:tcBorders>
              <w:top w:val="single" w:color="000000" w:sz="4" w:space="0"/>
              <w:left w:val="single" w:color="000000" w:sz="4" w:space="0"/>
              <w:bottom w:val="single" w:color="000000" w:sz="4" w:space="0"/>
              <w:right w:val="single" w:color="000000" w:sz="4" w:space="0"/>
            </w:tcBorders>
            <w:noWrap w:val="0"/>
            <w:vAlign w:val="center"/>
          </w:tcPr>
          <w:p w14:paraId="48BC9F92">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时效指标</w:t>
            </w: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5AC3505B">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项目开工率</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3A3A134C">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100%</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56D03D4A">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53.85%</w:t>
            </w:r>
          </w:p>
        </w:tc>
        <w:tc>
          <w:tcPr>
            <w:tcW w:w="1903" w:type="dxa"/>
            <w:vMerge w:val="restart"/>
            <w:tcBorders>
              <w:top w:val="single" w:color="000000" w:sz="4" w:space="0"/>
              <w:left w:val="nil"/>
              <w:right w:val="single" w:color="000000" w:sz="4" w:space="0"/>
            </w:tcBorders>
            <w:noWrap w:val="0"/>
            <w:vAlign w:val="center"/>
          </w:tcPr>
          <w:p w14:paraId="2CB07A7B">
            <w:pPr>
              <w:widowControl/>
              <w:spacing w:line="240" w:lineRule="exact"/>
              <w:textAlignment w:val="center"/>
              <w:rPr>
                <w:rFonts w:ascii="Times New Roman" w:hAnsi="Times New Roman" w:eastAsia="仿宋"/>
                <w:kern w:val="0"/>
                <w:sz w:val="18"/>
                <w:szCs w:val="18"/>
                <w:lang w:bidi="ar"/>
              </w:rPr>
            </w:pPr>
            <w:r>
              <w:rPr>
                <w:rFonts w:ascii="Times New Roman" w:hAnsi="Times New Roman" w:eastAsia="仿宋"/>
                <w:kern w:val="0"/>
                <w:sz w:val="18"/>
                <w:szCs w:val="18"/>
                <w:lang w:bidi="ar"/>
              </w:rPr>
              <w:t>未完成原因：</w:t>
            </w:r>
            <w:r>
              <w:rPr>
                <w:rFonts w:ascii="Times New Roman" w:hAnsi="Times New Roman" w:eastAsia="仿宋"/>
                <w:sz w:val="18"/>
                <w:szCs w:val="18"/>
              </w:rPr>
              <w:t>由于项目立项与可行性研究不够全面，征地、初步设计等准备工作不够充分，资金下达后仍在多方讨论比对、补充调查，开展提级论证等方面耗时较长，导致项目进展缓慢，项目开工率、完工率未达到绩效目标。</w:t>
            </w:r>
            <w:r>
              <w:rPr>
                <w:rFonts w:ascii="Times New Roman" w:hAnsi="Times New Roman" w:eastAsia="仿宋"/>
                <w:kern w:val="0"/>
                <w:sz w:val="18"/>
                <w:szCs w:val="18"/>
                <w:lang w:bidi="ar"/>
              </w:rPr>
              <w:t>改进措施：</w:t>
            </w:r>
            <w:r>
              <w:rPr>
                <w:rFonts w:ascii="Times New Roman" w:hAnsi="Times New Roman" w:eastAsia="仿宋"/>
                <w:sz w:val="18"/>
                <w:szCs w:val="18"/>
              </w:rPr>
              <w:t>督促项目实施单位履行主体责任，严格按照既定方案组织实施项目，加强项目日常管理。</w:t>
            </w:r>
          </w:p>
        </w:tc>
      </w:tr>
      <w:tr w14:paraId="0F999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229" w:type="dxa"/>
            <w:vMerge w:val="continue"/>
            <w:noWrap w:val="0"/>
            <w:vAlign w:val="center"/>
          </w:tcPr>
          <w:p w14:paraId="1CEE082F">
            <w:pPr>
              <w:spacing w:line="240" w:lineRule="exact"/>
              <w:jc w:val="center"/>
              <w:rPr>
                <w:rFonts w:ascii="Times New Roman" w:hAnsi="Times New Roman" w:eastAsia="仿宋"/>
                <w:sz w:val="18"/>
                <w:szCs w:val="18"/>
              </w:rPr>
            </w:pPr>
          </w:p>
        </w:tc>
        <w:tc>
          <w:tcPr>
            <w:tcW w:w="577" w:type="dxa"/>
            <w:vMerge w:val="continue"/>
            <w:tcBorders>
              <w:left w:val="single" w:color="000000" w:sz="4" w:space="0"/>
              <w:right w:val="single" w:color="000000" w:sz="4" w:space="0"/>
            </w:tcBorders>
            <w:noWrap w:val="0"/>
            <w:vAlign w:val="center"/>
          </w:tcPr>
          <w:p w14:paraId="56C69106">
            <w:pPr>
              <w:spacing w:line="240" w:lineRule="exact"/>
              <w:jc w:val="center"/>
              <w:rPr>
                <w:rFonts w:ascii="Times New Roman" w:hAnsi="Times New Roman" w:eastAsia="仿宋"/>
                <w:sz w:val="18"/>
                <w:szCs w:val="18"/>
              </w:rPr>
            </w:pPr>
          </w:p>
        </w:tc>
        <w:tc>
          <w:tcPr>
            <w:tcW w:w="601" w:type="dxa"/>
            <w:vMerge w:val="continue"/>
            <w:noWrap w:val="0"/>
            <w:vAlign w:val="center"/>
          </w:tcPr>
          <w:p w14:paraId="5BC2B804">
            <w:pPr>
              <w:spacing w:line="240" w:lineRule="exact"/>
              <w:jc w:val="center"/>
              <w:rPr>
                <w:rFonts w:ascii="Times New Roman" w:hAnsi="Times New Roman" w:eastAsia="仿宋"/>
                <w:sz w:val="18"/>
                <w:szCs w:val="18"/>
              </w:rPr>
            </w:pPr>
          </w:p>
        </w:tc>
        <w:tc>
          <w:tcPr>
            <w:tcW w:w="2434" w:type="dxa"/>
            <w:gridSpan w:val="2"/>
            <w:noWrap w:val="0"/>
            <w:vAlign w:val="center"/>
          </w:tcPr>
          <w:p w14:paraId="4842EB17">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项目完工率</w:t>
            </w:r>
          </w:p>
        </w:tc>
        <w:tc>
          <w:tcPr>
            <w:tcW w:w="783" w:type="dxa"/>
            <w:noWrap w:val="0"/>
            <w:vAlign w:val="center"/>
          </w:tcPr>
          <w:p w14:paraId="57B917C2">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≥40%</w:t>
            </w:r>
          </w:p>
        </w:tc>
        <w:tc>
          <w:tcPr>
            <w:tcW w:w="985" w:type="dxa"/>
            <w:noWrap w:val="0"/>
            <w:vAlign w:val="center"/>
          </w:tcPr>
          <w:p w14:paraId="31C3C9BF">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38.46%</w:t>
            </w:r>
          </w:p>
        </w:tc>
        <w:tc>
          <w:tcPr>
            <w:tcW w:w="1903" w:type="dxa"/>
            <w:vMerge w:val="continue"/>
            <w:tcBorders>
              <w:left w:val="nil"/>
              <w:right w:val="single" w:color="000000" w:sz="4" w:space="0"/>
            </w:tcBorders>
            <w:noWrap w:val="0"/>
            <w:vAlign w:val="center"/>
          </w:tcPr>
          <w:p w14:paraId="7F8D9015">
            <w:pPr>
              <w:spacing w:line="240" w:lineRule="exact"/>
              <w:jc w:val="center"/>
              <w:rPr>
                <w:rFonts w:ascii="Times New Roman" w:hAnsi="Times New Roman" w:eastAsia="仿宋"/>
                <w:kern w:val="0"/>
                <w:sz w:val="18"/>
                <w:szCs w:val="18"/>
                <w:lang w:bidi="ar"/>
              </w:rPr>
            </w:pPr>
          </w:p>
        </w:tc>
      </w:tr>
      <w:tr w14:paraId="51A5F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E9F726">
            <w:pPr>
              <w:spacing w:line="240" w:lineRule="exact"/>
              <w:jc w:val="center"/>
              <w:rPr>
                <w:rFonts w:ascii="Times New Roman" w:hAnsi="Times New Roman" w:eastAsia="仿宋"/>
                <w:sz w:val="18"/>
                <w:szCs w:val="18"/>
              </w:rPr>
            </w:pPr>
          </w:p>
        </w:tc>
        <w:tc>
          <w:tcPr>
            <w:tcW w:w="577" w:type="dxa"/>
            <w:vMerge w:val="restart"/>
            <w:tcBorders>
              <w:top w:val="single" w:color="000000" w:sz="4" w:space="0"/>
              <w:left w:val="single" w:color="000000" w:sz="4" w:space="0"/>
              <w:bottom w:val="single" w:color="000000" w:sz="4" w:space="0"/>
              <w:right w:val="single" w:color="000000" w:sz="4" w:space="0"/>
            </w:tcBorders>
            <w:noWrap w:val="0"/>
            <w:vAlign w:val="center"/>
          </w:tcPr>
          <w:p w14:paraId="3B37E4B8">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效益指标</w:t>
            </w:r>
          </w:p>
        </w:tc>
        <w:tc>
          <w:tcPr>
            <w:tcW w:w="601" w:type="dxa"/>
            <w:tcBorders>
              <w:top w:val="single" w:color="000000" w:sz="4" w:space="0"/>
              <w:left w:val="single" w:color="000000" w:sz="4" w:space="0"/>
              <w:bottom w:val="single" w:color="000000" w:sz="4" w:space="0"/>
              <w:right w:val="single" w:color="000000" w:sz="4" w:space="0"/>
            </w:tcBorders>
            <w:noWrap w:val="0"/>
            <w:vAlign w:val="center"/>
          </w:tcPr>
          <w:p w14:paraId="3814B088">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生态效益指标</w:t>
            </w: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4445FBCB">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农村生活污水治理（管控）率</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1FA2A6A2">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27%</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31E70946">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29.4%</w:t>
            </w:r>
          </w:p>
        </w:tc>
        <w:tc>
          <w:tcPr>
            <w:tcW w:w="1903" w:type="dxa"/>
            <w:tcBorders>
              <w:top w:val="single" w:color="000000" w:sz="4" w:space="0"/>
              <w:left w:val="nil"/>
              <w:bottom w:val="single" w:color="000000" w:sz="4" w:space="0"/>
              <w:right w:val="single" w:color="000000" w:sz="4" w:space="0"/>
            </w:tcBorders>
            <w:noWrap w:val="0"/>
            <w:vAlign w:val="center"/>
          </w:tcPr>
          <w:p w14:paraId="542D949F">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27602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2BBCB8">
            <w:pPr>
              <w:spacing w:line="240" w:lineRule="exact"/>
              <w:jc w:val="center"/>
              <w:rPr>
                <w:rFonts w:ascii="Times New Roman" w:hAnsi="Times New Roman" w:eastAsia="仿宋"/>
                <w:sz w:val="18"/>
                <w:szCs w:val="18"/>
              </w:rPr>
            </w:pPr>
          </w:p>
        </w:tc>
        <w:tc>
          <w:tcPr>
            <w:tcW w:w="5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FE6804">
            <w:pPr>
              <w:spacing w:line="240" w:lineRule="exact"/>
              <w:jc w:val="center"/>
              <w:rPr>
                <w:rFonts w:ascii="Times New Roman" w:hAnsi="Times New Roman" w:eastAsia="仿宋"/>
                <w:sz w:val="18"/>
                <w:szCs w:val="18"/>
              </w:rPr>
            </w:pPr>
          </w:p>
        </w:tc>
        <w:tc>
          <w:tcPr>
            <w:tcW w:w="601" w:type="dxa"/>
            <w:tcBorders>
              <w:top w:val="single" w:color="000000" w:sz="4" w:space="0"/>
              <w:left w:val="single" w:color="000000" w:sz="4" w:space="0"/>
              <w:bottom w:val="single" w:color="000000" w:sz="4" w:space="0"/>
              <w:right w:val="single" w:color="000000" w:sz="4" w:space="0"/>
            </w:tcBorders>
            <w:noWrap w:val="0"/>
            <w:vAlign w:val="center"/>
          </w:tcPr>
          <w:p w14:paraId="7CBA979B">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可持续指标</w:t>
            </w: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135855CF">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新完工设施稳定运行比例</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2B0876C4">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100%</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4CEDAF47">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100%</w:t>
            </w:r>
          </w:p>
        </w:tc>
        <w:tc>
          <w:tcPr>
            <w:tcW w:w="1903" w:type="dxa"/>
            <w:tcBorders>
              <w:top w:val="single" w:color="000000" w:sz="4" w:space="0"/>
              <w:left w:val="nil"/>
              <w:bottom w:val="single" w:color="000000" w:sz="4" w:space="0"/>
              <w:right w:val="single" w:color="000000" w:sz="4" w:space="0"/>
            </w:tcBorders>
            <w:noWrap w:val="0"/>
            <w:vAlign w:val="center"/>
          </w:tcPr>
          <w:p w14:paraId="24808CC9">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5A2EE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229"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96BF90">
            <w:pPr>
              <w:spacing w:line="240" w:lineRule="exact"/>
              <w:jc w:val="center"/>
              <w:rPr>
                <w:rFonts w:ascii="Times New Roman" w:hAnsi="Times New Roman" w:eastAsia="仿宋"/>
                <w:sz w:val="18"/>
                <w:szCs w:val="18"/>
              </w:rPr>
            </w:pPr>
          </w:p>
        </w:tc>
        <w:tc>
          <w:tcPr>
            <w:tcW w:w="577" w:type="dxa"/>
            <w:tcBorders>
              <w:top w:val="single" w:color="000000" w:sz="4" w:space="0"/>
              <w:left w:val="single" w:color="000000" w:sz="4" w:space="0"/>
              <w:bottom w:val="single" w:color="000000" w:sz="4" w:space="0"/>
              <w:right w:val="single" w:color="000000" w:sz="4" w:space="0"/>
            </w:tcBorders>
            <w:noWrap w:val="0"/>
            <w:vAlign w:val="center"/>
          </w:tcPr>
          <w:p w14:paraId="17DEC40A">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满意度指标</w:t>
            </w:r>
          </w:p>
        </w:tc>
        <w:tc>
          <w:tcPr>
            <w:tcW w:w="601" w:type="dxa"/>
            <w:tcBorders>
              <w:top w:val="single" w:color="000000" w:sz="4" w:space="0"/>
              <w:left w:val="single" w:color="000000" w:sz="4" w:space="0"/>
              <w:bottom w:val="single" w:color="000000" w:sz="4" w:space="0"/>
              <w:right w:val="single" w:color="000000" w:sz="4" w:space="0"/>
            </w:tcBorders>
            <w:noWrap w:val="0"/>
            <w:vAlign w:val="center"/>
          </w:tcPr>
          <w:p w14:paraId="48AD30C3">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服务对象满意度指标</w:t>
            </w:r>
          </w:p>
        </w:tc>
        <w:tc>
          <w:tcPr>
            <w:tcW w:w="2434" w:type="dxa"/>
            <w:gridSpan w:val="2"/>
            <w:tcBorders>
              <w:top w:val="single" w:color="000000" w:sz="4" w:space="0"/>
              <w:left w:val="single" w:color="000000" w:sz="4" w:space="0"/>
              <w:bottom w:val="single" w:color="000000" w:sz="4" w:space="0"/>
              <w:right w:val="single" w:color="000000" w:sz="4" w:space="0"/>
            </w:tcBorders>
            <w:noWrap w:val="0"/>
            <w:vAlign w:val="center"/>
          </w:tcPr>
          <w:p w14:paraId="112B03F6">
            <w:pPr>
              <w:widowControl/>
              <w:spacing w:line="240" w:lineRule="exact"/>
              <w:textAlignment w:val="center"/>
              <w:rPr>
                <w:rFonts w:ascii="Times New Roman" w:hAnsi="Times New Roman" w:eastAsia="仿宋"/>
                <w:sz w:val="18"/>
                <w:szCs w:val="18"/>
              </w:rPr>
            </w:pPr>
            <w:r>
              <w:rPr>
                <w:rFonts w:ascii="Times New Roman" w:hAnsi="Times New Roman" w:eastAsia="仿宋"/>
                <w:kern w:val="0"/>
                <w:sz w:val="18"/>
                <w:szCs w:val="18"/>
                <w:lang w:bidi="ar"/>
              </w:rPr>
              <w:t>群众满意度</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1916414C">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≥85%</w:t>
            </w:r>
          </w:p>
        </w:tc>
        <w:tc>
          <w:tcPr>
            <w:tcW w:w="985" w:type="dxa"/>
            <w:tcBorders>
              <w:top w:val="single" w:color="000000" w:sz="4" w:space="0"/>
              <w:left w:val="single" w:color="000000" w:sz="4" w:space="0"/>
              <w:bottom w:val="single" w:color="000000" w:sz="4" w:space="0"/>
              <w:right w:val="single" w:color="000000" w:sz="4" w:space="0"/>
            </w:tcBorders>
            <w:noWrap w:val="0"/>
            <w:vAlign w:val="center"/>
          </w:tcPr>
          <w:p w14:paraId="56E6D809">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85%</w:t>
            </w:r>
          </w:p>
        </w:tc>
        <w:tc>
          <w:tcPr>
            <w:tcW w:w="1903" w:type="dxa"/>
            <w:tcBorders>
              <w:top w:val="single" w:color="000000" w:sz="4" w:space="0"/>
              <w:left w:val="nil"/>
              <w:bottom w:val="single" w:color="000000" w:sz="4" w:space="0"/>
              <w:right w:val="single" w:color="000000" w:sz="4" w:space="0"/>
            </w:tcBorders>
            <w:noWrap w:val="0"/>
            <w:vAlign w:val="center"/>
          </w:tcPr>
          <w:p w14:paraId="29BBD2EC">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07294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229" w:type="dxa"/>
            <w:tcBorders>
              <w:top w:val="single" w:color="000000" w:sz="4" w:space="0"/>
              <w:left w:val="single" w:color="000000" w:sz="4" w:space="0"/>
              <w:bottom w:val="single" w:color="auto" w:sz="4" w:space="0"/>
              <w:right w:val="single" w:color="000000" w:sz="4" w:space="0"/>
            </w:tcBorders>
            <w:noWrap w:val="0"/>
            <w:vAlign w:val="center"/>
          </w:tcPr>
          <w:p w14:paraId="383D217B">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说明</w:t>
            </w:r>
          </w:p>
        </w:tc>
        <w:tc>
          <w:tcPr>
            <w:tcW w:w="7283" w:type="dxa"/>
            <w:gridSpan w:val="7"/>
            <w:tcBorders>
              <w:top w:val="single" w:color="000000" w:sz="4" w:space="0"/>
              <w:left w:val="single" w:color="000000" w:sz="4" w:space="0"/>
              <w:bottom w:val="single" w:color="auto" w:sz="4" w:space="0"/>
              <w:right w:val="single" w:color="000000" w:sz="4" w:space="0"/>
            </w:tcBorders>
            <w:noWrap w:val="0"/>
            <w:vAlign w:val="center"/>
          </w:tcPr>
          <w:p w14:paraId="7E07BF25">
            <w:pPr>
              <w:widowControl/>
              <w:spacing w:line="240" w:lineRule="exact"/>
              <w:jc w:val="center"/>
              <w:textAlignment w:val="center"/>
              <w:rPr>
                <w:rFonts w:ascii="Times New Roman" w:hAnsi="Times New Roman" w:eastAsia="仿宋"/>
                <w:sz w:val="18"/>
                <w:szCs w:val="18"/>
              </w:rPr>
            </w:pPr>
            <w:r>
              <w:rPr>
                <w:rFonts w:ascii="Times New Roman" w:hAnsi="Times New Roman" w:eastAsia="仿宋"/>
                <w:kern w:val="0"/>
                <w:sz w:val="18"/>
                <w:szCs w:val="18"/>
                <w:lang w:bidi="ar"/>
              </w:rPr>
              <w:t>无</w:t>
            </w:r>
          </w:p>
        </w:tc>
      </w:tr>
      <w:tr w14:paraId="3D76C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512" w:type="dxa"/>
            <w:gridSpan w:val="8"/>
            <w:tcBorders>
              <w:top w:val="single" w:color="auto" w:sz="4" w:space="0"/>
              <w:left w:val="nil"/>
              <w:bottom w:val="nil"/>
              <w:right w:val="nil"/>
            </w:tcBorders>
            <w:noWrap w:val="0"/>
            <w:vAlign w:val="center"/>
          </w:tcPr>
          <w:p w14:paraId="15514857">
            <w:pPr>
              <w:widowControl/>
              <w:spacing w:line="240" w:lineRule="exact"/>
              <w:jc w:val="left"/>
              <w:textAlignment w:val="center"/>
              <w:rPr>
                <w:rFonts w:ascii="Times New Roman" w:hAnsi="Times New Roman" w:eastAsia="仿宋"/>
                <w:sz w:val="18"/>
                <w:szCs w:val="18"/>
              </w:rPr>
            </w:pPr>
            <w:r>
              <w:rPr>
                <w:rFonts w:ascii="Times New Roman" w:hAnsi="Times New Roman" w:eastAsia="仿宋"/>
                <w:kern w:val="0"/>
                <w:sz w:val="18"/>
                <w:szCs w:val="18"/>
                <w:lang w:bidi="ar"/>
              </w:rPr>
              <w:t>注：1.资金使用单位按项目绩效目标填报，主管部门汇总时按区域绩效目标填报</w:t>
            </w:r>
          </w:p>
        </w:tc>
      </w:tr>
      <w:tr w14:paraId="19518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512" w:type="dxa"/>
            <w:gridSpan w:val="8"/>
            <w:tcBorders>
              <w:top w:val="nil"/>
              <w:left w:val="nil"/>
              <w:bottom w:val="nil"/>
              <w:right w:val="nil"/>
            </w:tcBorders>
            <w:noWrap w:val="0"/>
            <w:vAlign w:val="center"/>
          </w:tcPr>
          <w:p w14:paraId="4AAABC61">
            <w:pPr>
              <w:widowControl/>
              <w:spacing w:line="240" w:lineRule="exact"/>
              <w:jc w:val="left"/>
              <w:textAlignment w:val="center"/>
              <w:rPr>
                <w:rFonts w:ascii="Times New Roman" w:hAnsi="Times New Roman" w:eastAsia="仿宋"/>
                <w:sz w:val="18"/>
                <w:szCs w:val="18"/>
              </w:rPr>
            </w:pPr>
            <w:r>
              <w:rPr>
                <w:rFonts w:ascii="Times New Roman" w:hAnsi="Times New Roman" w:eastAsia="仿宋"/>
                <w:kern w:val="0"/>
                <w:sz w:val="18"/>
                <w:szCs w:val="18"/>
                <w:lang w:bidi="ar"/>
              </w:rPr>
              <w:t>2.其他资金包括与中央财政资金、地方财政资金共同</w:t>
            </w:r>
            <w:r>
              <w:rPr>
                <w:rFonts w:hint="eastAsia" w:eastAsia="仿宋"/>
                <w:kern w:val="0"/>
                <w:sz w:val="18"/>
                <w:szCs w:val="18"/>
                <w:lang w:eastAsia="zh-CN" w:bidi="ar"/>
              </w:rPr>
              <w:t>投入</w:t>
            </w:r>
            <w:r>
              <w:rPr>
                <w:rFonts w:ascii="Times New Roman" w:hAnsi="Times New Roman" w:eastAsia="仿宋"/>
                <w:kern w:val="0"/>
                <w:sz w:val="18"/>
                <w:szCs w:val="18"/>
                <w:lang w:bidi="ar"/>
              </w:rPr>
              <w:t>同一项目的自有资金、社会资金，以及以前年度的结转结余资金等。</w:t>
            </w:r>
          </w:p>
        </w:tc>
      </w:tr>
      <w:tr w14:paraId="6263E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512" w:type="dxa"/>
            <w:gridSpan w:val="8"/>
            <w:tcBorders>
              <w:top w:val="nil"/>
              <w:left w:val="nil"/>
              <w:bottom w:val="nil"/>
              <w:right w:val="nil"/>
            </w:tcBorders>
            <w:noWrap w:val="0"/>
            <w:vAlign w:val="center"/>
          </w:tcPr>
          <w:p w14:paraId="67ECF42A">
            <w:pPr>
              <w:widowControl/>
              <w:spacing w:line="240" w:lineRule="exact"/>
              <w:jc w:val="left"/>
              <w:textAlignment w:val="center"/>
              <w:rPr>
                <w:rFonts w:ascii="Times New Roman" w:hAnsi="Times New Roman" w:eastAsia="仿宋"/>
                <w:sz w:val="18"/>
                <w:szCs w:val="18"/>
              </w:rPr>
            </w:pPr>
            <w:r>
              <w:rPr>
                <w:rFonts w:ascii="Times New Roman" w:hAnsi="Times New Roman" w:eastAsia="仿宋"/>
                <w:kern w:val="0"/>
                <w:sz w:val="18"/>
                <w:szCs w:val="18"/>
                <w:lang w:bidi="ar"/>
              </w:rPr>
              <w:t>3. 全年执行数是指按照国库集中支付制度要求所形成的实际支出。</w:t>
            </w:r>
          </w:p>
        </w:tc>
      </w:tr>
    </w:tbl>
    <w:p w14:paraId="699C8539">
      <w:pPr>
        <w:numPr>
          <w:ilvl w:val="0"/>
          <w:numId w:val="0"/>
        </w:numPr>
        <w:spacing w:line="400" w:lineRule="exact"/>
        <w:ind w:left="909" w:leftChars="133" w:hanging="630" w:hangingChars="300"/>
        <w:rPr>
          <w:rFonts w:hint="eastAsia"/>
          <w:lang w:val="en-US" w:eastAsia="zh-CN"/>
        </w:rPr>
      </w:pPr>
    </w:p>
    <w:p w14:paraId="46B7FDEE"/>
    <w:sectPr>
      <w:headerReference r:id="rId3" w:type="default"/>
      <w:footerReference r:id="rId4" w:type="default"/>
      <w:footerReference r:id="rId5" w:type="even"/>
      <w:pgSz w:w="11906" w:h="16838"/>
      <w:pgMar w:top="1440" w:right="1361" w:bottom="1701" w:left="1474" w:header="1134" w:footer="113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E902A">
    <w:pPr>
      <w:pStyle w:val="2"/>
      <w:jc w:val="right"/>
      <w:rPr>
        <w:rFonts w:hint="eastAsia" w:ascii="仿宋_GB2312" w:hAnsi="仿宋_GB2312" w:eastAsia="仿宋_GB2312" w:cs="仿宋_GB2312"/>
        <w:sz w:val="28"/>
      </w:rPr>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FBD22F7">
                          <w:pPr>
                            <w:pStyle w:val="2"/>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3FBD22F7">
                    <w:pPr>
                      <w:pStyle w:val="2"/>
                      <w:rPr>
                        <w:rFonts w:hint="eastAsia"/>
                      </w:rPr>
                    </w:pPr>
                  </w:p>
                </w:txbxContent>
              </v:textbox>
            </v:shape>
          </w:pict>
        </mc:Fallback>
      </mc:AlternateContent>
    </w: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AFE731F">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1AFE731F">
                    <w:pPr>
                      <w:snapToGrid w:val="0"/>
                      <w:rPr>
                        <w:rFonts w:hint="eastAsia"/>
                        <w:sz w:val="18"/>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85735">
    <w:pPr>
      <w:pStyle w:val="2"/>
      <w:ind w:right="280"/>
      <w:jc w:val="right"/>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43109DC">
                          <w:pPr>
                            <w:pStyle w:val="2"/>
                            <w:ind w:right="280"/>
                            <w:jc w:val="right"/>
                          </w:pPr>
                          <w:r>
                            <w:rPr>
                              <w:kern w:val="0"/>
                              <w:sz w:val="28"/>
                              <w:szCs w:val="28"/>
                            </w:rPr>
                            <w:t xml:space="preserve">— </w:t>
                          </w:r>
                          <w:r>
                            <w:rPr>
                              <w:kern w:val="0"/>
                              <w:sz w:val="28"/>
                              <w:szCs w:val="28"/>
                            </w:rPr>
                            <w:fldChar w:fldCharType="begin"/>
                          </w:r>
                          <w:r>
                            <w:rPr>
                              <w:kern w:val="0"/>
                              <w:sz w:val="28"/>
                              <w:szCs w:val="28"/>
                            </w:rPr>
                            <w:instrText xml:space="preserve"> PAGE </w:instrText>
                          </w:r>
                          <w:r>
                            <w:rPr>
                              <w:kern w:val="0"/>
                              <w:sz w:val="28"/>
                              <w:szCs w:val="28"/>
                            </w:rPr>
                            <w:fldChar w:fldCharType="separate"/>
                          </w:r>
                          <w:r>
                            <w:rPr>
                              <w:kern w:val="0"/>
                              <w:sz w:val="28"/>
                              <w:szCs w:val="28"/>
                            </w:rPr>
                            <w:t>4</w:t>
                          </w:r>
                          <w:r>
                            <w:rPr>
                              <w:kern w:val="0"/>
                              <w:sz w:val="28"/>
                              <w:szCs w:val="28"/>
                            </w:rPr>
                            <w:fldChar w:fldCharType="end"/>
                          </w:r>
                          <w:r>
                            <w:rPr>
                              <w:kern w:val="0"/>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443109DC">
                    <w:pPr>
                      <w:pStyle w:val="2"/>
                      <w:ind w:right="280"/>
                      <w:jc w:val="right"/>
                    </w:pPr>
                    <w:r>
                      <w:rPr>
                        <w:kern w:val="0"/>
                        <w:sz w:val="28"/>
                        <w:szCs w:val="28"/>
                      </w:rPr>
                      <w:t xml:space="preserve">— </w:t>
                    </w:r>
                    <w:r>
                      <w:rPr>
                        <w:kern w:val="0"/>
                        <w:sz w:val="28"/>
                        <w:szCs w:val="28"/>
                      </w:rPr>
                      <w:fldChar w:fldCharType="begin"/>
                    </w:r>
                    <w:r>
                      <w:rPr>
                        <w:kern w:val="0"/>
                        <w:sz w:val="28"/>
                        <w:szCs w:val="28"/>
                      </w:rPr>
                      <w:instrText xml:space="preserve"> PAGE </w:instrText>
                    </w:r>
                    <w:r>
                      <w:rPr>
                        <w:kern w:val="0"/>
                        <w:sz w:val="28"/>
                        <w:szCs w:val="28"/>
                      </w:rPr>
                      <w:fldChar w:fldCharType="separate"/>
                    </w:r>
                    <w:r>
                      <w:rPr>
                        <w:kern w:val="0"/>
                        <w:sz w:val="28"/>
                        <w:szCs w:val="28"/>
                      </w:rPr>
                      <w:t>4</w:t>
                    </w:r>
                    <w:r>
                      <w:rPr>
                        <w:kern w:val="0"/>
                        <w:sz w:val="28"/>
                        <w:szCs w:val="28"/>
                      </w:rPr>
                      <w:fldChar w:fldCharType="end"/>
                    </w:r>
                    <w:r>
                      <w:rPr>
                        <w:kern w:val="0"/>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32D02">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10E28C5"/>
    <w:rsid w:val="010E28C5"/>
    <w:rsid w:val="5FAF6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2247</Words>
  <Characters>2401</Characters>
  <Lines>0</Lines>
  <Paragraphs>0</Paragraphs>
  <TotalTime>0</TotalTime>
  <ScaleCrop>false</ScaleCrop>
  <LinksUpToDate>false</LinksUpToDate>
  <CharactersWithSpaces>2402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2025-04-17T08:15:00Z</dcterms:created>
  <dc:creator>叶子～</dc:creator>
  <cp:lastModifiedBy></cp:lastModifiedBy>
  <dcterms:modified xsi:type="dcterms:W3CDTF">2025-04-17T08:45:59Z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A5D0C52D58964CECB725C285A0F907F7_11</vt:lpwstr>
  </property>
  <property fmtid="{D5CDD505-2E9C-101B-9397-08002B2CF9AE}" pid="4" name="KSOTemplateDocerSaveRecord">
    <vt:lpwstr>eyJoZGlkIjoiZGNhN2YyZTk1NWZhOTUwODI2Y2E1YWI4OTUxN2E1OGYiLCJ1c2VySWQiOiIzMDI3OTUwMTgifQ==</vt:lpwstr>
  </property>
</Properties>
</file>