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spacing w:line="600" w:lineRule="exact"/>
        <w:rPr>
          <w:rFonts w:hint="default" w:ascii="方正小标宋_GBK" w:hAnsi="方正小标宋_GBK" w:eastAsia="方正小标宋_GBK" w:cs="Times New Roman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color w:val="auto"/>
          <w:sz w:val="36"/>
          <w:szCs w:val="36"/>
        </w:rPr>
        <w:t>部分小型第三产业排污特征值系数</w:t>
      </w:r>
    </w:p>
    <w:bookmarkEnd w:id="0"/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59"/>
        <w:gridCol w:w="1428"/>
        <w:gridCol w:w="1427"/>
        <w:gridCol w:w="1000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行业类型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特征指标（单位）</w:t>
            </w: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排污特征值系数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餐饮业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营业面积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（平方米）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100以下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（含100）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70/月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废气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33/月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100-300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（含300）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150/月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废气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66/月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300-500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（含500）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430/月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废气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100/月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500-1500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（含1500）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720/月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废气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250/月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住宿业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床位（床）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3/月·床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洗染服务业（衣物类）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干洗机（台）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65/月·台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水洗机（台）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37/月·台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美容美发保健业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床位（张）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22/月·张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座位（个）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6/月·个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洗浴业（洗脚、洗澡）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床位（张）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15/月·张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座位（个）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20/月·个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衣柜（个）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4/月·个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汽车、摩托车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维修与保养业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提升机（台）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85/月·台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color w:val="FF0000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地沟（条）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43/月·条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color w:val="FF0000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水枪（支）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36/月·支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摄影扩印服务业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彩扩机（台）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污水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70/月·台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独立燃烧锅炉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锅炉（蒸吨）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废气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166/月（≤2蒸吨）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注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1.在餐饮行业中，废气排污特征值系数针对燃煤燃烧废气，不含油烟类污染物和使用独立燃烧锅炉产生的废气。</w:t>
            </w:r>
          </w:p>
          <w:p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2.餐饮业的营业面积可参照《消防意见审核书》的面积计算。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74BF5"/>
    <w:rsid w:val="F5F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textAlignment w:val="baseline"/>
    </w:pPr>
    <w:rPr>
      <w:rFonts w:ascii="宋体" w:hAnsi="Courier New" w:eastAsia="宋体" w:cs="Times New Roman"/>
    </w:rPr>
  </w:style>
  <w:style w:type="paragraph" w:styleId="4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2023-06-14T10:19:00Z</dcterms:created>
  <dc:creator>王聪</dc:creator>
  <cp:lastModifiedBy>王聪</cp:lastModifiedBy>
  <dcterms:modified xsi:type="dcterms:W3CDTF">2023-06-14T10:20:01Z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