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before="100" w:beforeAutospacing="1" w:after="100" w:afterAutospacing="1" w:line="360" w:lineRule="auto"/>
        <w:rPr>
          <w:rFonts w:hint="eastAsia" w:ascii="宋体" w:hAnsi="宋体" w:eastAsia="宋体"/>
          <w:bCs/>
          <w:color w:val="000000"/>
          <w:spacing w:val="4"/>
          <w:sz w:val="28"/>
          <w:szCs w:val="28"/>
          <w:lang w:val="en-US" w:eastAsia="zh-CN"/>
        </w:rPr>
      </w:pPr>
      <w:bookmarkStart w:id="0" w:name="_Toc313803268"/>
      <w:bookmarkStart w:id="1" w:name="_Toc307414755"/>
      <w:bookmarkStart w:id="2" w:name="_Toc313890221"/>
      <w:bookmarkStart w:id="3" w:name="_Toc313890864"/>
      <w:bookmarkStart w:id="4" w:name="_Toc307414757"/>
      <w:bookmarkStart w:id="5" w:name="_Toc313890865"/>
      <w:bookmarkStart w:id="6" w:name="_Toc313803269"/>
      <w:bookmarkStart w:id="7" w:name="_Toc313890222"/>
      <w:r>
        <w:rPr>
          <w:rFonts w:hint="eastAsia" w:ascii="宋体" w:hAnsi="宋体"/>
          <w:bCs/>
          <w:color w:val="000000"/>
          <w:spacing w:val="4"/>
          <w:sz w:val="28"/>
          <w:szCs w:val="28"/>
        </w:rPr>
        <w:t>附件</w:t>
      </w:r>
      <w:r>
        <w:rPr>
          <w:rFonts w:hint="eastAsia" w:ascii="宋体" w:hAnsi="宋体"/>
          <w:bCs/>
          <w:color w:val="000000"/>
          <w:spacing w:val="4"/>
          <w:sz w:val="28"/>
          <w:szCs w:val="28"/>
          <w:lang w:val="en-US" w:eastAsia="zh-CN"/>
        </w:rPr>
        <w:t>3</w:t>
      </w:r>
    </w:p>
    <w:p>
      <w:pPr>
        <w:adjustRightInd w:val="0"/>
        <w:snapToGrid w:val="0"/>
        <w:spacing w:before="100" w:beforeAutospacing="1" w:after="100" w:afterAutospacing="1" w:line="360" w:lineRule="auto"/>
        <w:jc w:val="center"/>
        <w:rPr>
          <w:rFonts w:ascii="宋体" w:hAnsi="宋体"/>
          <w:bCs/>
          <w:color w:val="000000"/>
          <w:spacing w:val="4"/>
          <w:sz w:val="52"/>
          <w:szCs w:val="52"/>
        </w:rPr>
      </w:pPr>
      <w:bookmarkStart w:id="48" w:name="_GoBack"/>
      <w:bookmarkEnd w:id="48"/>
    </w:p>
    <w:p>
      <w:pPr>
        <w:adjustRightInd w:val="0"/>
        <w:snapToGrid w:val="0"/>
        <w:spacing w:before="100" w:beforeAutospacing="1" w:after="100" w:afterAutospacing="1" w:line="360" w:lineRule="auto"/>
        <w:jc w:val="center"/>
        <w:rPr>
          <w:rFonts w:ascii="宋体" w:hAnsi="宋体"/>
          <w:bCs/>
          <w:color w:val="000000"/>
          <w:sz w:val="52"/>
          <w:szCs w:val="52"/>
        </w:rPr>
      </w:pPr>
      <w:r>
        <w:rPr>
          <w:rFonts w:hint="eastAsia" w:ascii="宋体" w:hAnsi="宋体"/>
          <w:bCs/>
          <w:color w:val="000000"/>
          <w:spacing w:val="4"/>
          <w:sz w:val="52"/>
          <w:szCs w:val="52"/>
        </w:rPr>
        <w:t>环境服务业财务统计调查制度</w:t>
      </w:r>
    </w:p>
    <w:p>
      <w:pPr>
        <w:snapToGrid w:val="0"/>
        <w:spacing w:line="360" w:lineRule="auto"/>
        <w:jc w:val="center"/>
        <w:rPr>
          <w:rFonts w:ascii="Times New Roman" w:hAnsi="宋体"/>
          <w:bCs/>
          <w:color w:val="000000"/>
          <w:sz w:val="52"/>
          <w:szCs w:val="52"/>
        </w:rPr>
      </w:pPr>
    </w:p>
    <w:p>
      <w:pPr>
        <w:snapToGrid w:val="0"/>
        <w:spacing w:line="360" w:lineRule="auto"/>
        <w:jc w:val="center"/>
        <w:rPr>
          <w:rFonts w:ascii="Times New Roman" w:hAnsi="宋体"/>
          <w:bCs/>
          <w:color w:val="000000"/>
          <w:sz w:val="52"/>
          <w:szCs w:val="52"/>
        </w:rPr>
      </w:pPr>
    </w:p>
    <w:p>
      <w:pPr>
        <w:snapToGrid w:val="0"/>
        <w:spacing w:line="360" w:lineRule="auto"/>
        <w:jc w:val="center"/>
        <w:rPr>
          <w:rFonts w:ascii="Times New Roman" w:hAnsi="宋体"/>
          <w:bCs/>
          <w:color w:val="000000"/>
          <w:sz w:val="52"/>
          <w:szCs w:val="52"/>
        </w:rPr>
      </w:pPr>
    </w:p>
    <w:p>
      <w:pPr>
        <w:snapToGrid w:val="0"/>
        <w:spacing w:line="360" w:lineRule="auto"/>
        <w:jc w:val="center"/>
        <w:rPr>
          <w:rFonts w:ascii="Times New Roman" w:hAnsi="宋体"/>
          <w:bCs/>
          <w:color w:val="000000"/>
          <w:sz w:val="52"/>
          <w:szCs w:val="52"/>
        </w:rPr>
      </w:pPr>
    </w:p>
    <w:p>
      <w:pPr>
        <w:snapToGrid w:val="0"/>
        <w:spacing w:line="360" w:lineRule="auto"/>
        <w:jc w:val="center"/>
        <w:rPr>
          <w:rFonts w:ascii="Times New Roman" w:hAnsi="宋体"/>
          <w:bCs/>
          <w:color w:val="000000"/>
          <w:sz w:val="52"/>
          <w:szCs w:val="52"/>
        </w:rPr>
      </w:pPr>
    </w:p>
    <w:p>
      <w:pPr>
        <w:snapToGrid w:val="0"/>
        <w:spacing w:line="360" w:lineRule="auto"/>
        <w:jc w:val="center"/>
        <w:rPr>
          <w:rFonts w:ascii="Times New Roman" w:hAnsi="宋体"/>
          <w:bCs/>
          <w:color w:val="000000"/>
          <w:sz w:val="52"/>
          <w:szCs w:val="52"/>
        </w:rPr>
      </w:pPr>
    </w:p>
    <w:p>
      <w:pPr>
        <w:snapToGrid w:val="0"/>
        <w:spacing w:line="600" w:lineRule="exact"/>
        <w:jc w:val="center"/>
        <w:rPr>
          <w:rFonts w:ascii="Times New Roman" w:hAnsi="宋体"/>
          <w:bCs/>
          <w:color w:val="000000"/>
          <w:sz w:val="32"/>
          <w:szCs w:val="52"/>
        </w:rPr>
      </w:pPr>
      <w:r>
        <w:rPr>
          <w:rFonts w:hint="eastAsia" w:ascii="Times New Roman" w:hAnsi="宋体"/>
          <w:bCs/>
          <w:color w:val="000000"/>
          <w:sz w:val="32"/>
          <w:szCs w:val="52"/>
        </w:rPr>
        <w:t>中华人民共和国生态环境部制定</w:t>
      </w:r>
    </w:p>
    <w:p>
      <w:pPr>
        <w:adjustRightInd w:val="0"/>
        <w:snapToGrid w:val="0"/>
        <w:spacing w:line="600" w:lineRule="exact"/>
        <w:jc w:val="center"/>
        <w:rPr>
          <w:rFonts w:ascii="宋体" w:hAnsi="宋体"/>
          <w:spacing w:val="-8"/>
          <w:sz w:val="32"/>
          <w:szCs w:val="32"/>
        </w:rPr>
      </w:pPr>
      <w:r>
        <w:rPr>
          <w:rFonts w:hint="eastAsia" w:ascii="宋体" w:hAnsi="宋体"/>
          <w:spacing w:val="-8"/>
          <w:sz w:val="32"/>
          <w:szCs w:val="32"/>
        </w:rPr>
        <w:t>国家统计局批准</w:t>
      </w:r>
    </w:p>
    <w:p>
      <w:pPr>
        <w:snapToGrid w:val="0"/>
        <w:spacing w:line="600" w:lineRule="exact"/>
        <w:ind w:firstLine="3840" w:firstLineChars="1200"/>
        <w:rPr>
          <w:rFonts w:ascii="Times New Roman" w:hAnsi="宋体"/>
          <w:bCs/>
          <w:color w:val="000000"/>
          <w:sz w:val="32"/>
          <w:szCs w:val="52"/>
        </w:rPr>
      </w:pPr>
      <w:r>
        <w:rPr>
          <w:rFonts w:hint="eastAsia" w:ascii="Times New Roman" w:hAnsi="宋体"/>
          <w:bCs/>
          <w:color w:val="000000"/>
          <w:sz w:val="32"/>
          <w:szCs w:val="52"/>
        </w:rPr>
        <w:t>20</w:t>
      </w:r>
      <w:r>
        <w:rPr>
          <w:rFonts w:ascii="Times New Roman" w:hAnsi="宋体"/>
          <w:bCs/>
          <w:color w:val="000000"/>
          <w:sz w:val="32"/>
          <w:szCs w:val="52"/>
        </w:rPr>
        <w:t>19</w:t>
      </w:r>
      <w:r>
        <w:rPr>
          <w:rFonts w:hint="eastAsia" w:ascii="Times New Roman" w:hAnsi="宋体"/>
          <w:bCs/>
          <w:color w:val="000000"/>
          <w:sz w:val="32"/>
          <w:szCs w:val="52"/>
        </w:rPr>
        <w:t>年4月</w:t>
      </w:r>
    </w:p>
    <w:p>
      <w:pPr>
        <w:adjustRightInd w:val="0"/>
        <w:snapToGrid w:val="0"/>
        <w:jc w:val="center"/>
        <w:rPr>
          <w:rFonts w:ascii="宋体" w:hAnsi="宋体"/>
          <w:spacing w:val="-8"/>
          <w:sz w:val="32"/>
          <w:szCs w:val="32"/>
        </w:rPr>
      </w:pPr>
    </w:p>
    <w:p>
      <w:pPr>
        <w:adjustRightInd w:val="0"/>
        <w:snapToGrid w:val="0"/>
        <w:jc w:val="center"/>
        <w:rPr>
          <w:rFonts w:ascii="宋体" w:hAnsi="宋体"/>
          <w:spacing w:val="-8"/>
          <w:sz w:val="32"/>
          <w:szCs w:val="32"/>
        </w:rPr>
      </w:pPr>
    </w:p>
    <w:p>
      <w:pPr>
        <w:adjustRightInd w:val="0"/>
        <w:snapToGrid w:val="0"/>
        <w:jc w:val="center"/>
        <w:rPr>
          <w:rFonts w:ascii="宋体" w:hAnsi="宋体"/>
          <w:spacing w:val="-8"/>
          <w:sz w:val="32"/>
          <w:szCs w:val="32"/>
        </w:rPr>
      </w:pPr>
    </w:p>
    <w:p>
      <w:pPr>
        <w:adjustRightInd w:val="0"/>
        <w:snapToGrid w:val="0"/>
        <w:jc w:val="center"/>
        <w:rPr>
          <w:rFonts w:ascii="宋体" w:hAnsi="宋体"/>
          <w:spacing w:val="-8"/>
          <w:sz w:val="32"/>
          <w:szCs w:val="32"/>
        </w:rPr>
      </w:pPr>
    </w:p>
    <w:p>
      <w:pPr>
        <w:adjustRightInd w:val="0"/>
        <w:snapToGrid w:val="0"/>
        <w:jc w:val="center"/>
        <w:rPr>
          <w:rFonts w:ascii="宋体" w:hAnsi="宋体"/>
          <w:spacing w:val="-8"/>
          <w:sz w:val="32"/>
          <w:szCs w:val="32"/>
        </w:rPr>
      </w:pPr>
    </w:p>
    <w:p>
      <w:pPr>
        <w:adjustRightInd w:val="0"/>
        <w:snapToGrid w:val="0"/>
        <w:jc w:val="center"/>
        <w:rPr>
          <w:rFonts w:ascii="宋体" w:hAnsi="宋体"/>
          <w:spacing w:val="-8"/>
          <w:sz w:val="32"/>
          <w:szCs w:val="32"/>
        </w:rPr>
      </w:pPr>
    </w:p>
    <w:p>
      <w:pPr>
        <w:adjustRightInd w:val="0"/>
        <w:snapToGrid w:val="0"/>
        <w:jc w:val="center"/>
        <w:rPr>
          <w:rFonts w:ascii="宋体" w:hAnsi="宋体"/>
          <w:spacing w:val="-8"/>
          <w:sz w:val="32"/>
          <w:szCs w:val="32"/>
        </w:rPr>
      </w:pPr>
    </w:p>
    <w:p>
      <w:pPr>
        <w:jc w:val="center"/>
        <w:rPr>
          <w:rFonts w:ascii="黑体" w:hAnsi="宋体" w:eastAsia="黑体"/>
          <w:sz w:val="32"/>
          <w:szCs w:val="32"/>
        </w:rPr>
      </w:pPr>
    </w:p>
    <w:p>
      <w:pPr>
        <w:jc w:val="center"/>
        <w:rPr>
          <w:rFonts w:ascii="宋体" w:hAnsi="宋体"/>
          <w:sz w:val="32"/>
          <w:szCs w:val="32"/>
        </w:rPr>
      </w:pPr>
      <w:r>
        <w:rPr>
          <w:rFonts w:hint="eastAsia" w:ascii="宋体" w:hAnsi="宋体"/>
          <w:sz w:val="32"/>
          <w:szCs w:val="32"/>
        </w:rPr>
        <w:t>本制度根据《中华人民共和国统计法》的有关规定制定</w:t>
      </w:r>
    </w:p>
    <w:p>
      <w:pPr>
        <w:adjustRightInd w:val="0"/>
        <w:snapToGrid w:val="0"/>
        <w:spacing w:line="408" w:lineRule="auto"/>
        <w:jc w:val="left"/>
        <w:rPr>
          <w:rFonts w:ascii="黑体" w:hAnsi="宋体" w:eastAsia="黑体"/>
          <w:spacing w:val="-8"/>
          <w:sz w:val="32"/>
          <w:szCs w:val="32"/>
        </w:rPr>
      </w:pPr>
    </w:p>
    <w:p>
      <w:pPr>
        <w:spacing w:line="600" w:lineRule="exact"/>
        <w:ind w:firstLine="561"/>
        <w:jc w:val="left"/>
        <w:rPr>
          <w:rFonts w:ascii="Times New Roman" w:hAnsi="Times New Roman" w:eastAsia="仿宋_GB2312"/>
          <w:spacing w:val="-8"/>
          <w:sz w:val="28"/>
          <w:szCs w:val="24"/>
        </w:rPr>
      </w:pPr>
      <w:r>
        <w:rPr>
          <w:rFonts w:hint="eastAsia" w:ascii="Times New Roman" w:hAnsi="Times New Roman" w:eastAsia="仿宋_GB2312"/>
          <w:spacing w:val="-8"/>
          <w:sz w:val="28"/>
          <w:szCs w:val="24"/>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1"/>
        <w:jc w:val="left"/>
        <w:rPr>
          <w:rFonts w:ascii="Times New Roman" w:hAnsi="Times New Roman" w:eastAsia="仿宋_GB2312"/>
          <w:spacing w:val="-8"/>
          <w:sz w:val="28"/>
          <w:szCs w:val="24"/>
        </w:rPr>
      </w:pPr>
    </w:p>
    <w:p>
      <w:pPr>
        <w:spacing w:line="600" w:lineRule="exact"/>
        <w:ind w:firstLine="561"/>
        <w:jc w:val="left"/>
        <w:rPr>
          <w:rFonts w:ascii="Times New Roman" w:hAnsi="Times New Roman" w:eastAsia="仿宋_GB2312"/>
          <w:spacing w:val="-8"/>
          <w:sz w:val="28"/>
          <w:szCs w:val="24"/>
        </w:rPr>
      </w:pPr>
      <w:r>
        <w:rPr>
          <w:rFonts w:hint="eastAsia" w:ascii="Times New Roman" w:hAnsi="Times New Roman" w:eastAsia="仿宋_GB2312"/>
          <w:spacing w:val="-8"/>
          <w:sz w:val="28"/>
          <w:szCs w:val="24"/>
        </w:rPr>
        <w:t>《中华人民共和国统计法》第九条规定：统计机构和统计人员对在统计工作中知悉的国家秘密、商业秘密和个人信息，应当予以保密。</w:t>
      </w:r>
    </w:p>
    <w:p>
      <w:pPr>
        <w:spacing w:line="600" w:lineRule="exact"/>
        <w:ind w:firstLine="561"/>
        <w:jc w:val="left"/>
        <w:rPr>
          <w:rFonts w:ascii="Times New Roman" w:hAnsi="Times New Roman" w:eastAsia="仿宋_GB2312"/>
          <w:spacing w:val="-8"/>
          <w:sz w:val="28"/>
          <w:szCs w:val="24"/>
        </w:rPr>
      </w:pPr>
    </w:p>
    <w:p>
      <w:pPr>
        <w:widowControl/>
        <w:spacing w:line="600" w:lineRule="exact"/>
        <w:ind w:firstLine="528" w:firstLineChars="200"/>
        <w:jc w:val="left"/>
        <w:rPr>
          <w:rFonts w:ascii="Times New Roman" w:hAnsi="Times New Roman" w:eastAsia="仿宋_GB2312"/>
          <w:spacing w:val="-8"/>
          <w:sz w:val="28"/>
          <w:szCs w:val="24"/>
        </w:rPr>
      </w:pPr>
      <w:r>
        <w:rPr>
          <w:rFonts w:hint="eastAsia" w:ascii="Times New Roman" w:hAnsi="Times New Roman" w:eastAsia="仿宋_GB2312"/>
          <w:spacing w:val="-8"/>
          <w:sz w:val="28"/>
          <w:szCs w:val="24"/>
        </w:rPr>
        <w:t>《中华人民共和国统计法》第二十五条规定：统计调查中获得的能够识别或者推断单个统计调查对象身份的资料，任何单位和个人不得对外提供、泄露，不得用于统计以外的目的。</w:t>
      </w:r>
    </w:p>
    <w:p>
      <w:pPr>
        <w:spacing w:line="480" w:lineRule="exact"/>
        <w:ind w:firstLine="561"/>
        <w:jc w:val="left"/>
        <w:rPr>
          <w:rFonts w:ascii="Times New Roman" w:hAnsi="Times New Roman" w:eastAsia="仿宋_GB2312"/>
          <w:spacing w:val="-8"/>
          <w:sz w:val="28"/>
          <w:szCs w:val="24"/>
        </w:rPr>
      </w:pPr>
    </w:p>
    <w:p>
      <w:pPr>
        <w:spacing w:line="480" w:lineRule="exact"/>
        <w:ind w:firstLine="561"/>
        <w:rPr>
          <w:rFonts w:ascii="Times New Roman" w:hAnsi="Times New Roman" w:eastAsia="仿宋_GB2312"/>
          <w:spacing w:val="-8"/>
          <w:sz w:val="28"/>
          <w:szCs w:val="24"/>
        </w:rPr>
      </w:pPr>
    </w:p>
    <w:p>
      <w:pPr>
        <w:spacing w:line="480" w:lineRule="exact"/>
        <w:ind w:firstLine="561"/>
        <w:rPr>
          <w:rFonts w:ascii="Times New Roman" w:hAnsi="Times New Roman" w:eastAsia="仿宋_GB2312"/>
          <w:spacing w:val="-8"/>
          <w:sz w:val="28"/>
          <w:szCs w:val="24"/>
        </w:rPr>
      </w:pPr>
    </w:p>
    <w:p>
      <w:pPr>
        <w:spacing w:after="240" w:line="360" w:lineRule="exact"/>
        <w:rPr>
          <w:rFonts w:ascii="宋体" w:hAnsi="宋体"/>
          <w:spacing w:val="-8"/>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spacing w:line="360" w:lineRule="exact"/>
        <w:rPr>
          <w:rFonts w:ascii="宋体" w:hAnsi="宋体"/>
          <w:sz w:val="28"/>
        </w:rPr>
      </w:pPr>
    </w:p>
    <w:p>
      <w:pPr>
        <w:pStyle w:val="16"/>
        <w:pageBreakBefore/>
        <w:rPr>
          <w:rFonts w:ascii="宋体" w:hAnsi="宋体"/>
          <w:b w:val="0"/>
        </w:rPr>
      </w:pPr>
      <w:bookmarkStart w:id="8" w:name="_Toc307411703"/>
    </w:p>
    <w:p>
      <w:pPr>
        <w:jc w:val="center"/>
        <w:rPr>
          <w:rFonts w:ascii="黑体" w:hAnsi="宋体" w:eastAsia="黑体"/>
          <w:sz w:val="32"/>
          <w:szCs w:val="32"/>
        </w:rPr>
      </w:pPr>
      <w:r>
        <w:rPr>
          <w:rFonts w:hint="eastAsia" w:ascii="黑体" w:hAnsi="宋体" w:eastAsia="黑体"/>
          <w:sz w:val="32"/>
          <w:szCs w:val="32"/>
        </w:rPr>
        <w:t>目录</w:t>
      </w:r>
    </w:p>
    <w:p>
      <w:pPr>
        <w:jc w:val="distribute"/>
        <w:rPr>
          <w:rFonts w:ascii="宋体" w:hAnsi="宋体"/>
        </w:rPr>
      </w:pPr>
    </w:p>
    <w:p>
      <w:pPr>
        <w:jc w:val="distribute"/>
        <w:rPr>
          <w:rFonts w:ascii="宋体" w:hAnsi="宋体"/>
        </w:rPr>
      </w:pPr>
    </w:p>
    <w:p>
      <w:pPr>
        <w:spacing w:line="400" w:lineRule="exact"/>
        <w:jc w:val="left"/>
        <w:rPr>
          <w:rFonts w:ascii="宋体" w:hAnsi="宋体"/>
        </w:rPr>
      </w:pPr>
      <w:r>
        <w:rPr>
          <w:rFonts w:ascii="宋体" w:hAnsi="宋体"/>
        </w:rPr>
        <w:t>一、总说明………………………………………………………………………………………………</w:t>
      </w:r>
      <w:r>
        <w:rPr>
          <w:rFonts w:hint="eastAsia" w:ascii="宋体" w:hAnsi="宋体"/>
        </w:rPr>
        <w:t>4</w:t>
      </w:r>
    </w:p>
    <w:p>
      <w:pPr>
        <w:spacing w:line="400" w:lineRule="exact"/>
        <w:jc w:val="left"/>
        <w:rPr>
          <w:rFonts w:ascii="宋体" w:hAnsi="宋体"/>
        </w:rPr>
      </w:pPr>
      <w:r>
        <w:rPr>
          <w:rFonts w:ascii="宋体" w:hAnsi="宋体"/>
        </w:rPr>
        <w:t>二、报表目录……………………………………………………………………………………………</w:t>
      </w:r>
      <w:r>
        <w:rPr>
          <w:rFonts w:hint="eastAsia" w:ascii="宋体" w:hAnsi="宋体"/>
        </w:rPr>
        <w:t>6</w:t>
      </w:r>
    </w:p>
    <w:p>
      <w:pPr>
        <w:spacing w:line="400" w:lineRule="exact"/>
        <w:jc w:val="left"/>
        <w:rPr>
          <w:rFonts w:ascii="宋体" w:hAnsi="宋体"/>
        </w:rPr>
      </w:pPr>
      <w:r>
        <w:rPr>
          <w:rFonts w:ascii="宋体" w:hAnsi="宋体"/>
        </w:rPr>
        <w:t>三、调查表式……………………………………………………………………………………………</w:t>
      </w:r>
      <w:r>
        <w:rPr>
          <w:rFonts w:hint="eastAsia" w:ascii="宋体" w:hAnsi="宋体"/>
        </w:rPr>
        <w:t>7</w:t>
      </w:r>
    </w:p>
    <w:p>
      <w:pPr>
        <w:spacing w:line="400" w:lineRule="exact"/>
        <w:ind w:firstLine="210" w:firstLineChars="100"/>
        <w:jc w:val="left"/>
        <w:rPr>
          <w:rFonts w:ascii="宋体" w:hAnsi="宋体"/>
        </w:rPr>
      </w:pPr>
      <w:r>
        <w:rPr>
          <w:rFonts w:ascii="宋体" w:hAnsi="宋体"/>
        </w:rPr>
        <w:t>（一）</w:t>
      </w:r>
      <w:r>
        <w:rPr>
          <w:rFonts w:hint="eastAsia" w:ascii="宋体" w:hAnsi="宋体"/>
        </w:rPr>
        <w:t>法人单位基本情况</w:t>
      </w:r>
      <w:r>
        <w:rPr>
          <w:rFonts w:ascii="宋体" w:hAnsi="宋体"/>
        </w:rPr>
        <w:t>……………………………………………………………………………</w:t>
      </w:r>
      <w:r>
        <w:rPr>
          <w:rFonts w:hint="eastAsia" w:ascii="宋体" w:hAnsi="宋体"/>
        </w:rPr>
        <w:t>7</w:t>
      </w:r>
    </w:p>
    <w:p>
      <w:pPr>
        <w:spacing w:line="400" w:lineRule="exact"/>
        <w:ind w:firstLine="210" w:firstLineChars="100"/>
        <w:jc w:val="left"/>
        <w:rPr>
          <w:rFonts w:ascii="宋体" w:hAnsi="宋体"/>
        </w:rPr>
      </w:pPr>
      <w:r>
        <w:rPr>
          <w:rFonts w:ascii="宋体" w:hAnsi="宋体"/>
        </w:rPr>
        <w:t>（</w:t>
      </w:r>
      <w:r>
        <w:rPr>
          <w:rFonts w:hint="eastAsia" w:ascii="宋体" w:hAnsi="宋体"/>
        </w:rPr>
        <w:t>二</w:t>
      </w:r>
      <w:r>
        <w:rPr>
          <w:rFonts w:ascii="宋体" w:hAnsi="宋体"/>
        </w:rPr>
        <w:t>）企业</w:t>
      </w:r>
      <w:r>
        <w:rPr>
          <w:rFonts w:hint="eastAsia" w:ascii="宋体" w:hAnsi="宋体"/>
        </w:rPr>
        <w:t>财务状况</w:t>
      </w:r>
      <w:r>
        <w:rPr>
          <w:rFonts w:ascii="宋体" w:hAnsi="宋体"/>
        </w:rPr>
        <w:t>…………………………………………………………………………………</w:t>
      </w:r>
      <w:r>
        <w:rPr>
          <w:rFonts w:hint="eastAsia" w:ascii="宋体" w:hAnsi="宋体"/>
        </w:rPr>
        <w:t>8</w:t>
      </w:r>
    </w:p>
    <w:p>
      <w:pPr>
        <w:spacing w:line="400" w:lineRule="exact"/>
        <w:ind w:firstLine="210" w:firstLineChars="100"/>
        <w:jc w:val="left"/>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行政单位财务状况</w:t>
      </w:r>
      <w:r>
        <w:rPr>
          <w:rFonts w:ascii="宋体" w:hAnsi="宋体"/>
        </w:rPr>
        <w:t>……………………………………………………………………………</w:t>
      </w:r>
      <w:r>
        <w:rPr>
          <w:rFonts w:hint="eastAsia" w:ascii="宋体" w:hAnsi="宋体"/>
        </w:rPr>
        <w:t>9</w:t>
      </w:r>
    </w:p>
    <w:p>
      <w:pPr>
        <w:spacing w:line="400" w:lineRule="exact"/>
        <w:ind w:firstLine="210" w:firstLineChars="100"/>
        <w:jc w:val="left"/>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事业单位财务状况</w:t>
      </w:r>
      <w:r>
        <w:rPr>
          <w:rFonts w:ascii="宋体" w:hAnsi="宋体"/>
        </w:rPr>
        <w:t>……………………………………………………………………………</w:t>
      </w:r>
      <w:r>
        <w:rPr>
          <w:rFonts w:hint="eastAsia" w:ascii="宋体" w:hAnsi="宋体"/>
        </w:rPr>
        <w:t>10</w:t>
      </w:r>
    </w:p>
    <w:p>
      <w:pPr>
        <w:spacing w:line="400" w:lineRule="exact"/>
        <w:ind w:right="25"/>
        <w:jc w:val="left"/>
        <w:rPr>
          <w:rFonts w:ascii="宋体" w:hAnsi="宋体"/>
        </w:rPr>
      </w:pPr>
      <w:r>
        <w:rPr>
          <w:rFonts w:ascii="宋体" w:hAnsi="宋体"/>
        </w:rPr>
        <w:t>四、</w:t>
      </w:r>
      <w:r>
        <w:rPr>
          <w:rFonts w:hint="eastAsia" w:ascii="宋体" w:hAnsi="宋体"/>
        </w:rPr>
        <w:t>主要指</w:t>
      </w:r>
      <w:r>
        <w:rPr>
          <w:rFonts w:ascii="宋体" w:hAnsi="宋体"/>
        </w:rPr>
        <w:t>标解释………………………………………………………………………………………</w:t>
      </w:r>
      <w:r>
        <w:rPr>
          <w:rFonts w:hint="eastAsia" w:ascii="宋体" w:hAnsi="宋体"/>
        </w:rPr>
        <w:t>11</w:t>
      </w:r>
    </w:p>
    <w:p>
      <w:pPr>
        <w:spacing w:line="400" w:lineRule="exact"/>
        <w:jc w:val="left"/>
        <w:rPr>
          <w:rFonts w:ascii="宋体" w:hAnsi="宋体"/>
        </w:rPr>
      </w:pPr>
      <w:r>
        <w:rPr>
          <w:rFonts w:ascii="宋体" w:hAnsi="宋体"/>
        </w:rPr>
        <w:t>五、附录…………………………………………………………………………………………………</w:t>
      </w:r>
      <w:r>
        <w:rPr>
          <w:rFonts w:hint="eastAsia" w:ascii="宋体" w:hAnsi="宋体"/>
        </w:rPr>
        <w:t>23</w:t>
      </w:r>
    </w:p>
    <w:p>
      <w:pPr>
        <w:spacing w:line="400" w:lineRule="exact"/>
        <w:ind w:firstLine="210" w:firstLineChars="100"/>
        <w:jc w:val="left"/>
        <w:rPr>
          <w:rFonts w:ascii="宋体" w:hAnsi="宋体"/>
        </w:rPr>
      </w:pPr>
      <w:r>
        <w:rPr>
          <w:rFonts w:ascii="宋体" w:hAnsi="宋体"/>
        </w:rPr>
        <w:t>（一）企业登记注册类型与代码……………………………………………………………………</w:t>
      </w:r>
      <w:r>
        <w:rPr>
          <w:rFonts w:hint="eastAsia" w:ascii="宋体" w:hAnsi="宋体"/>
        </w:rPr>
        <w:t>23</w:t>
      </w:r>
    </w:p>
    <w:p>
      <w:pPr>
        <w:spacing w:line="400" w:lineRule="exact"/>
        <w:ind w:firstLine="210" w:firstLineChars="100"/>
        <w:jc w:val="left"/>
        <w:rPr>
          <w:rFonts w:ascii="宋体" w:hAnsi="宋体"/>
        </w:rPr>
      </w:pPr>
      <w:r>
        <w:rPr>
          <w:rFonts w:ascii="宋体" w:hAnsi="宋体"/>
        </w:rPr>
        <w:t>（二）</w:t>
      </w:r>
      <w:r>
        <w:rPr>
          <w:rFonts w:hint="eastAsia" w:ascii="宋体" w:hAnsi="宋体"/>
        </w:rPr>
        <w:t>主营业务行业</w:t>
      </w:r>
      <w:r>
        <w:rPr>
          <w:rFonts w:ascii="宋体" w:hAnsi="宋体"/>
        </w:rPr>
        <w:t>代码……………………………………………………………………………</w:t>
      </w:r>
      <w:r>
        <w:rPr>
          <w:rFonts w:hint="eastAsia" w:ascii="宋体" w:hAnsi="宋体"/>
        </w:rPr>
        <w:t>24</w:t>
      </w:r>
    </w:p>
    <w:p>
      <w:pPr>
        <w:spacing w:line="400" w:lineRule="exact"/>
        <w:ind w:firstLine="210" w:firstLineChars="100"/>
        <w:jc w:val="left"/>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主要业务活动类别填报</w:t>
      </w:r>
      <w:r>
        <w:rPr>
          <w:rFonts w:ascii="宋体" w:hAnsi="宋体"/>
        </w:rPr>
        <w:t>代码…………………………………………………………………</w:t>
      </w:r>
      <w:r>
        <w:rPr>
          <w:rFonts w:hint="eastAsia" w:ascii="宋体" w:hAnsi="宋体"/>
        </w:rPr>
        <w:t>29</w:t>
      </w:r>
    </w:p>
    <w:p>
      <w:pPr>
        <w:spacing w:line="400" w:lineRule="exact"/>
        <w:ind w:firstLine="210" w:firstLineChars="100"/>
        <w:jc w:val="left"/>
        <w:rPr>
          <w:rFonts w:ascii="宋体" w:hAnsi="宋体"/>
        </w:rPr>
      </w:pPr>
      <w:r>
        <w:rPr>
          <w:rFonts w:ascii="宋体" w:hAnsi="宋体"/>
        </w:rPr>
        <w:t>（</w:t>
      </w:r>
      <w:r>
        <w:rPr>
          <w:rFonts w:hint="eastAsia" w:ascii="宋体" w:hAnsi="宋体"/>
        </w:rPr>
        <w:t>四</w:t>
      </w:r>
      <w:r>
        <w:rPr>
          <w:rFonts w:ascii="宋体" w:hAnsi="宋体"/>
        </w:rPr>
        <w:t>）</w:t>
      </w:r>
      <w:r>
        <w:rPr>
          <w:rFonts w:hint="eastAsia" w:ascii="宋体" w:hAnsi="宋体"/>
        </w:rPr>
        <w:t>向国家统计局提供的具体统计资料清单</w:t>
      </w:r>
      <w:r>
        <w:rPr>
          <w:rFonts w:ascii="宋体" w:hAnsi="宋体"/>
        </w:rPr>
        <w:t>……………………………………………………</w:t>
      </w:r>
      <w:r>
        <w:rPr>
          <w:rFonts w:hint="eastAsia" w:ascii="宋体" w:hAnsi="宋体"/>
        </w:rPr>
        <w:t>31</w:t>
      </w:r>
    </w:p>
    <w:p>
      <w:pPr>
        <w:spacing w:line="400" w:lineRule="exact"/>
        <w:ind w:firstLine="210" w:firstLineChars="100"/>
        <w:jc w:val="left"/>
        <w:rPr>
          <w:rFonts w:ascii="宋体" w:hAnsi="宋体"/>
        </w:rPr>
      </w:pPr>
      <w:r>
        <w:rPr>
          <w:rFonts w:ascii="宋体" w:hAnsi="宋体"/>
        </w:rPr>
        <w:t>（</w:t>
      </w:r>
      <w:r>
        <w:rPr>
          <w:rFonts w:hint="eastAsia" w:ascii="宋体" w:hAnsi="宋体"/>
        </w:rPr>
        <w:t>五</w:t>
      </w:r>
      <w:r>
        <w:rPr>
          <w:rFonts w:ascii="宋体" w:hAnsi="宋体"/>
        </w:rPr>
        <w:t>）</w:t>
      </w:r>
      <w:r>
        <w:rPr>
          <w:rFonts w:hint="eastAsia" w:ascii="宋体" w:hAnsi="宋体"/>
        </w:rPr>
        <w:t>向统计信息共享数据库提供的统计资料清单</w:t>
      </w:r>
      <w:r>
        <w:rPr>
          <w:rFonts w:ascii="宋体" w:hAnsi="宋体"/>
        </w:rPr>
        <w:t>………………………………………………</w:t>
      </w:r>
      <w:r>
        <w:rPr>
          <w:rFonts w:hint="eastAsia" w:ascii="宋体" w:hAnsi="宋体"/>
        </w:rPr>
        <w:t>31</w:t>
      </w:r>
    </w:p>
    <w:p>
      <w:pPr>
        <w:spacing w:line="360" w:lineRule="auto"/>
        <w:ind w:firstLine="420" w:firstLineChars="200"/>
        <w:jc w:val="distribute"/>
        <w:rPr>
          <w:rFonts w:ascii="宋体" w:hAnsi="宋体"/>
        </w:rPr>
      </w:pPr>
    </w:p>
    <w:p>
      <w:pPr>
        <w:spacing w:line="360" w:lineRule="auto"/>
        <w:ind w:firstLine="420" w:firstLineChars="200"/>
        <w:jc w:val="distribute"/>
        <w:rPr>
          <w:rFonts w:ascii="宋体" w:hAnsi="宋体"/>
        </w:rPr>
      </w:pPr>
    </w:p>
    <w:p>
      <w:pPr>
        <w:spacing w:line="360" w:lineRule="auto"/>
        <w:jc w:val="distribute"/>
        <w:rPr>
          <w:rFonts w:ascii="宋体" w:hAnsi="宋体"/>
        </w:rPr>
      </w:pPr>
    </w:p>
    <w:bookmarkEnd w:id="8"/>
    <w:p>
      <w:pPr>
        <w:pStyle w:val="16"/>
        <w:pageBreakBefore/>
        <w:rPr>
          <w:rFonts w:ascii="宋体" w:hAnsi="宋体"/>
          <w:b w:val="0"/>
        </w:rPr>
        <w:sectPr>
          <w:headerReference r:id="rId5" w:type="first"/>
          <w:headerReference r:id="rId4" w:type="default"/>
          <w:footerReference r:id="rId6" w:type="default"/>
          <w:footerReference r:id="rId7" w:type="even"/>
          <w:pgSz w:w="11907" w:h="16840"/>
          <w:pgMar w:top="1332" w:right="1247" w:bottom="1332" w:left="1247" w:header="851" w:footer="1077" w:gutter="0"/>
          <w:pgNumType w:start="1"/>
          <w:cols w:space="720" w:num="1"/>
          <w:docGrid w:linePitch="286" w:charSpace="0"/>
        </w:sectPr>
      </w:pPr>
    </w:p>
    <w:p>
      <w:pPr>
        <w:pStyle w:val="16"/>
        <w:pageBreakBefore/>
        <w:rPr>
          <w:rFonts w:ascii="黑体" w:hAnsi="黑体" w:eastAsia="黑体"/>
          <w:b w:val="0"/>
        </w:rPr>
      </w:pPr>
      <w:bookmarkStart w:id="9" w:name="_Toc313890219"/>
      <w:bookmarkStart w:id="10" w:name="_Toc313890862"/>
      <w:bookmarkStart w:id="11" w:name="_Toc307414753"/>
      <w:bookmarkStart w:id="12" w:name="_Toc313803266"/>
      <w:r>
        <w:rPr>
          <w:rFonts w:hint="eastAsia" w:ascii="黑体" w:hAnsi="黑体" w:eastAsia="黑体"/>
          <w:b w:val="0"/>
        </w:rPr>
        <w:t>一、总 说 明</w:t>
      </w:r>
      <w:bookmarkEnd w:id="9"/>
      <w:bookmarkEnd w:id="10"/>
      <w:bookmarkEnd w:id="11"/>
      <w:bookmarkEnd w:id="12"/>
    </w:p>
    <w:p>
      <w:pPr>
        <w:ind w:firstLine="420" w:firstLineChars="200"/>
        <w:rPr>
          <w:rFonts w:ascii="宋体" w:hAnsi="宋体"/>
          <w:szCs w:val="21"/>
        </w:rPr>
      </w:pPr>
    </w:p>
    <w:p>
      <w:pPr>
        <w:spacing w:line="400" w:lineRule="exact"/>
        <w:ind w:firstLine="420" w:firstLineChars="200"/>
        <w:jc w:val="left"/>
        <w:rPr>
          <w:rFonts w:ascii="宋体" w:hAnsi="宋体"/>
          <w:bCs/>
          <w:szCs w:val="21"/>
        </w:rPr>
      </w:pPr>
      <w:r>
        <w:rPr>
          <w:rFonts w:hint="eastAsia" w:ascii="宋体" w:hAnsi="宋体"/>
          <w:bCs/>
          <w:szCs w:val="21"/>
        </w:rPr>
        <w:t>（一）调查目的</w:t>
      </w:r>
    </w:p>
    <w:p>
      <w:pPr>
        <w:spacing w:line="400" w:lineRule="exact"/>
        <w:ind w:firstLine="420" w:firstLineChars="200"/>
        <w:jc w:val="left"/>
        <w:rPr>
          <w:rFonts w:ascii="宋体" w:hAnsi="宋体"/>
          <w:bCs/>
          <w:szCs w:val="21"/>
        </w:rPr>
      </w:pPr>
      <w:r>
        <w:rPr>
          <w:rFonts w:hint="eastAsia" w:ascii="宋体" w:hAnsi="宋体"/>
          <w:bCs/>
          <w:szCs w:val="21"/>
        </w:rPr>
        <w:t>为</w:t>
      </w:r>
      <w:r>
        <w:rPr>
          <w:rFonts w:ascii="宋体" w:hAnsi="宋体"/>
          <w:bCs/>
          <w:szCs w:val="21"/>
        </w:rPr>
        <w:t>贯彻落实</w:t>
      </w:r>
      <w:r>
        <w:rPr>
          <w:rFonts w:hint="eastAsia" w:ascii="宋体" w:hAnsi="宋体"/>
          <w:bCs/>
          <w:szCs w:val="21"/>
        </w:rPr>
        <w:t>《国务院办公厅转发统计局关于加强和完善服务业统计工作意见的通知》（国办发〔2011〕42号）和《部门服务业财务统计报表制度（试行）》（2018年统计年报和2019年定期统计报表）文件的精神，了解我国环境服务业发展状况，为各级政府进行宏观管理和决策提供依据，为国民经济核算提供基础数据，</w:t>
      </w:r>
      <w:r>
        <w:rPr>
          <w:rFonts w:ascii="宋体" w:hAnsi="宋体"/>
          <w:bCs/>
          <w:szCs w:val="21"/>
        </w:rPr>
        <w:t>依照《统计法》的规定，</w:t>
      </w:r>
      <w:r>
        <w:rPr>
          <w:rFonts w:hint="eastAsia" w:ascii="宋体" w:hAnsi="宋体"/>
          <w:bCs/>
          <w:szCs w:val="21"/>
        </w:rPr>
        <w:t>特</w:t>
      </w:r>
      <w:r>
        <w:rPr>
          <w:rFonts w:ascii="宋体" w:hAnsi="宋体"/>
          <w:bCs/>
          <w:szCs w:val="21"/>
        </w:rPr>
        <w:t>制定本</w:t>
      </w:r>
      <w:r>
        <w:rPr>
          <w:rFonts w:hint="eastAsia" w:ascii="宋体" w:hAnsi="宋体"/>
          <w:bCs/>
          <w:szCs w:val="21"/>
        </w:rPr>
        <w:t>制度</w:t>
      </w:r>
      <w:r>
        <w:rPr>
          <w:rFonts w:ascii="宋体" w:hAnsi="宋体"/>
          <w:bCs/>
          <w:szCs w:val="21"/>
        </w:rPr>
        <w:t>。</w:t>
      </w:r>
    </w:p>
    <w:p>
      <w:pPr>
        <w:spacing w:line="400" w:lineRule="exact"/>
        <w:ind w:firstLine="420" w:firstLineChars="200"/>
        <w:rPr>
          <w:rFonts w:ascii="宋体" w:hAnsi="宋体"/>
          <w:bCs/>
          <w:szCs w:val="21"/>
        </w:rPr>
      </w:pPr>
      <w:bookmarkStart w:id="13" w:name="_Toc410913114"/>
      <w:bookmarkStart w:id="14" w:name="_Toc462731452"/>
      <w:bookmarkStart w:id="15" w:name="_Toc486517298"/>
      <w:r>
        <w:rPr>
          <w:rFonts w:hint="eastAsia" w:ascii="宋体" w:hAnsi="宋体"/>
          <w:bCs/>
          <w:szCs w:val="21"/>
        </w:rPr>
        <w:t>（二）</w:t>
      </w:r>
      <w:bookmarkEnd w:id="13"/>
      <w:bookmarkEnd w:id="14"/>
      <w:bookmarkEnd w:id="15"/>
      <w:r>
        <w:rPr>
          <w:rFonts w:hint="eastAsia" w:ascii="宋体" w:hAnsi="宋体"/>
          <w:bCs/>
          <w:szCs w:val="21"/>
        </w:rPr>
        <w:t>调查对象和统计范围</w:t>
      </w:r>
    </w:p>
    <w:p>
      <w:pPr>
        <w:spacing w:line="400" w:lineRule="exact"/>
        <w:ind w:firstLine="420" w:firstLineChars="200"/>
        <w:rPr>
          <w:rFonts w:ascii="宋体" w:hAnsi="宋体"/>
          <w:bCs/>
          <w:szCs w:val="21"/>
        </w:rPr>
      </w:pPr>
      <w:r>
        <w:rPr>
          <w:rFonts w:hint="eastAsia" w:ascii="宋体" w:hAnsi="宋体"/>
          <w:bCs/>
          <w:szCs w:val="21"/>
        </w:rPr>
        <w:t>调查对象：正式登记注册的从事环境服务活动并独立核算的企业、行政和事业法人单位。</w:t>
      </w:r>
    </w:p>
    <w:p>
      <w:pPr>
        <w:spacing w:line="400" w:lineRule="exact"/>
        <w:ind w:firstLine="420" w:firstLineChars="200"/>
        <w:rPr>
          <w:rFonts w:ascii="宋体" w:hAnsi="宋体"/>
          <w:bCs/>
          <w:szCs w:val="21"/>
        </w:rPr>
      </w:pPr>
      <w:r>
        <w:rPr>
          <w:rFonts w:hint="eastAsia" w:ascii="宋体" w:hAnsi="宋体"/>
          <w:bCs/>
          <w:szCs w:val="21"/>
        </w:rPr>
        <w:t>统计范围：地域范围包括各省、自治区、直辖市及新疆生产建设兵团；行业范围包括环境与生态监测检测服务（国民经济行业分类代码为746</w:t>
      </w:r>
      <w:r>
        <w:rPr>
          <w:rFonts w:ascii="宋体" w:hAnsi="宋体"/>
          <w:bCs/>
          <w:szCs w:val="21"/>
        </w:rPr>
        <w:t>）</w:t>
      </w:r>
      <w:r>
        <w:rPr>
          <w:rFonts w:hint="eastAsia" w:ascii="宋体" w:hAnsi="宋体"/>
          <w:bCs/>
          <w:szCs w:val="21"/>
        </w:rPr>
        <w:t>、生态保护和环境治理业（国民经济行业分类代码为77，不含7711自然生态系统保护管理，7712自然遗迹保护管理，7713野生动物保护，7714野生植物保护，7715动物园、水族馆管理服务和7716植物园管理服务）。</w:t>
      </w:r>
    </w:p>
    <w:p>
      <w:pPr>
        <w:spacing w:line="400" w:lineRule="exact"/>
        <w:ind w:firstLine="420" w:firstLineChars="200"/>
        <w:rPr>
          <w:rFonts w:ascii="宋体" w:hAnsi="宋体"/>
          <w:bCs/>
          <w:szCs w:val="21"/>
        </w:rPr>
      </w:pPr>
      <w:bookmarkStart w:id="16" w:name="_Toc462731454"/>
      <w:bookmarkStart w:id="17" w:name="_Toc410913115"/>
      <w:bookmarkStart w:id="18" w:name="_Toc486517300"/>
      <w:bookmarkStart w:id="19" w:name="_Toc486517301"/>
      <w:bookmarkStart w:id="20" w:name="_Toc486517299"/>
      <w:bookmarkStart w:id="21" w:name="_Toc462731453"/>
      <w:bookmarkStart w:id="22" w:name="_Toc462731455"/>
      <w:r>
        <w:rPr>
          <w:rFonts w:hint="eastAsia" w:ascii="宋体" w:hAnsi="宋体"/>
          <w:bCs/>
          <w:szCs w:val="21"/>
        </w:rPr>
        <w:t>（三）</w:t>
      </w:r>
      <w:bookmarkEnd w:id="16"/>
      <w:bookmarkEnd w:id="17"/>
      <w:bookmarkEnd w:id="18"/>
      <w:r>
        <w:rPr>
          <w:rFonts w:hint="eastAsia" w:ascii="宋体" w:hAnsi="宋体"/>
          <w:bCs/>
          <w:szCs w:val="21"/>
        </w:rPr>
        <w:t>调查内容</w:t>
      </w:r>
    </w:p>
    <w:p>
      <w:pPr>
        <w:spacing w:line="400" w:lineRule="exact"/>
        <w:ind w:firstLine="420" w:firstLineChars="200"/>
        <w:rPr>
          <w:rFonts w:ascii="宋体" w:hAnsi="宋体"/>
          <w:bCs/>
          <w:szCs w:val="21"/>
        </w:rPr>
      </w:pPr>
      <w:r>
        <w:rPr>
          <w:rFonts w:hint="eastAsia" w:ascii="宋体" w:hAnsi="宋体"/>
          <w:bCs/>
          <w:szCs w:val="21"/>
        </w:rPr>
        <w:t>本制度调查内容包括调查单位的基本情况、财务状况、从业人员数量等。</w:t>
      </w:r>
    </w:p>
    <w:bookmarkEnd w:id="19"/>
    <w:bookmarkEnd w:id="20"/>
    <w:bookmarkEnd w:id="21"/>
    <w:bookmarkEnd w:id="22"/>
    <w:p>
      <w:pPr>
        <w:spacing w:line="400" w:lineRule="exact"/>
        <w:ind w:firstLine="420" w:firstLineChars="200"/>
        <w:rPr>
          <w:rFonts w:ascii="宋体" w:hAnsi="宋体"/>
          <w:bCs/>
          <w:szCs w:val="21"/>
        </w:rPr>
      </w:pPr>
      <w:r>
        <w:rPr>
          <w:rFonts w:hint="eastAsia" w:ascii="宋体" w:hAnsi="宋体"/>
          <w:bCs/>
          <w:szCs w:val="21"/>
        </w:rPr>
        <w:t>（四）调查频率和时间</w:t>
      </w:r>
    </w:p>
    <w:p>
      <w:pPr>
        <w:spacing w:line="400" w:lineRule="exact"/>
        <w:ind w:firstLine="420" w:firstLineChars="200"/>
        <w:rPr>
          <w:rFonts w:ascii="宋体" w:hAnsi="宋体"/>
          <w:bCs/>
          <w:szCs w:val="21"/>
        </w:rPr>
      </w:pPr>
      <w:r>
        <w:rPr>
          <w:rFonts w:hint="eastAsia" w:ascii="宋体" w:hAnsi="宋体"/>
          <w:bCs/>
          <w:szCs w:val="21"/>
        </w:rPr>
        <w:t>本制度报告期别为年度报表，调查时期为上一年度的1月1日至12月31日统计数据。</w:t>
      </w:r>
    </w:p>
    <w:p>
      <w:pPr>
        <w:spacing w:line="400" w:lineRule="exact"/>
        <w:ind w:firstLine="420" w:firstLineChars="200"/>
        <w:rPr>
          <w:rFonts w:ascii="宋体" w:hAnsi="宋体"/>
          <w:bCs/>
          <w:szCs w:val="21"/>
        </w:rPr>
      </w:pPr>
      <w:r>
        <w:rPr>
          <w:rFonts w:hint="eastAsia" w:ascii="宋体" w:hAnsi="宋体"/>
          <w:bCs/>
          <w:szCs w:val="21"/>
        </w:rPr>
        <w:t>（五）调查方法</w:t>
      </w:r>
    </w:p>
    <w:p>
      <w:pPr>
        <w:spacing w:line="400" w:lineRule="exact"/>
        <w:ind w:firstLine="420" w:firstLineChars="200"/>
        <w:rPr>
          <w:rFonts w:ascii="宋体" w:hAnsi="宋体"/>
          <w:bCs/>
          <w:szCs w:val="21"/>
        </w:rPr>
      </w:pPr>
      <w:r>
        <w:rPr>
          <w:rFonts w:hint="eastAsia" w:ascii="宋体" w:hAnsi="宋体"/>
          <w:bCs/>
          <w:szCs w:val="21"/>
        </w:rPr>
        <w:t>本制度采用</w:t>
      </w:r>
      <w:r>
        <w:rPr>
          <w:rFonts w:ascii="宋体" w:hAnsi="宋体"/>
          <w:bCs/>
          <w:szCs w:val="21"/>
        </w:rPr>
        <w:t>全面调查</w:t>
      </w:r>
      <w:r>
        <w:rPr>
          <w:rFonts w:hint="eastAsia" w:ascii="宋体" w:hAnsi="宋体"/>
          <w:bCs/>
          <w:szCs w:val="21"/>
        </w:rPr>
        <w:t>方法。</w:t>
      </w:r>
    </w:p>
    <w:p>
      <w:pPr>
        <w:spacing w:line="400" w:lineRule="exact"/>
        <w:ind w:firstLine="420" w:firstLineChars="200"/>
        <w:rPr>
          <w:rFonts w:ascii="宋体" w:hAnsi="宋体"/>
          <w:bCs/>
          <w:szCs w:val="21"/>
        </w:rPr>
      </w:pPr>
      <w:r>
        <w:rPr>
          <w:rFonts w:hint="eastAsia" w:ascii="宋体" w:hAnsi="宋体"/>
          <w:bCs/>
          <w:szCs w:val="21"/>
        </w:rPr>
        <w:t>（六）组织实施</w:t>
      </w:r>
    </w:p>
    <w:p>
      <w:pPr>
        <w:spacing w:line="400" w:lineRule="exact"/>
        <w:ind w:firstLine="420" w:firstLineChars="200"/>
        <w:rPr>
          <w:rFonts w:ascii="宋体" w:hAnsi="宋体"/>
          <w:bCs/>
          <w:szCs w:val="21"/>
        </w:rPr>
      </w:pPr>
      <w:r>
        <w:rPr>
          <w:rFonts w:hint="eastAsia" w:ascii="宋体" w:hAnsi="宋体"/>
          <w:bCs/>
          <w:szCs w:val="21"/>
        </w:rPr>
        <w:t>本制度由生态环境部统一组织实施，执行在地统计原则。各</w:t>
      </w:r>
      <w:r>
        <w:rPr>
          <w:rFonts w:ascii="宋体" w:hAnsi="宋体"/>
          <w:bCs/>
          <w:szCs w:val="21"/>
        </w:rPr>
        <w:t>省、自治区、直辖市</w:t>
      </w:r>
      <w:r>
        <w:rPr>
          <w:rFonts w:hint="eastAsia" w:ascii="宋体" w:hAnsi="宋体"/>
          <w:bCs/>
          <w:szCs w:val="21"/>
        </w:rPr>
        <w:t>及新疆生产建设兵团</w:t>
      </w:r>
      <w:r>
        <w:rPr>
          <w:rFonts w:ascii="宋体" w:hAnsi="宋体"/>
          <w:bCs/>
          <w:szCs w:val="21"/>
        </w:rPr>
        <w:t>生态环境行政主管部门负责</w:t>
      </w:r>
      <w:r>
        <w:rPr>
          <w:rFonts w:hint="eastAsia" w:ascii="宋体" w:hAnsi="宋体"/>
          <w:bCs/>
          <w:szCs w:val="21"/>
        </w:rPr>
        <w:t>本行政区域调查</w:t>
      </w:r>
      <w:r>
        <w:rPr>
          <w:rFonts w:ascii="宋体" w:hAnsi="宋体"/>
          <w:bCs/>
          <w:szCs w:val="21"/>
        </w:rPr>
        <w:t>组织实施</w:t>
      </w:r>
      <w:r>
        <w:rPr>
          <w:rFonts w:hint="eastAsia" w:ascii="宋体" w:hAnsi="宋体"/>
          <w:bCs/>
          <w:szCs w:val="21"/>
        </w:rPr>
        <w:t>工作，并在规定时间内完成行政区域数据采集、审核、汇总和上报。</w:t>
      </w:r>
    </w:p>
    <w:p>
      <w:pPr>
        <w:spacing w:line="400" w:lineRule="exact"/>
        <w:ind w:firstLine="420" w:firstLineChars="200"/>
        <w:rPr>
          <w:rFonts w:ascii="宋体" w:hAnsi="宋体"/>
          <w:bCs/>
          <w:szCs w:val="21"/>
        </w:rPr>
      </w:pPr>
      <w:r>
        <w:rPr>
          <w:rFonts w:hint="eastAsia" w:ascii="宋体" w:hAnsi="宋体"/>
          <w:bCs/>
          <w:szCs w:val="21"/>
        </w:rPr>
        <w:t>调查单位采取联网直报方式通过专用软件系统填报数据。</w:t>
      </w:r>
    </w:p>
    <w:p>
      <w:pPr>
        <w:spacing w:line="400" w:lineRule="exact"/>
        <w:ind w:firstLine="420" w:firstLineChars="200"/>
        <w:rPr>
          <w:rFonts w:ascii="宋体" w:hAnsi="宋体"/>
          <w:bCs/>
          <w:szCs w:val="21"/>
        </w:rPr>
      </w:pPr>
      <w:r>
        <w:rPr>
          <w:rFonts w:hint="eastAsia" w:ascii="宋体" w:hAnsi="宋体"/>
          <w:bCs/>
          <w:szCs w:val="21"/>
        </w:rPr>
        <w:t>填报数据经地市级、省级、国家级调查工作机构逐级审核。</w:t>
      </w:r>
    </w:p>
    <w:p>
      <w:pPr>
        <w:spacing w:line="400" w:lineRule="exact"/>
        <w:ind w:firstLine="420" w:firstLineChars="200"/>
        <w:rPr>
          <w:rFonts w:ascii="宋体" w:hAnsi="宋体"/>
          <w:bCs/>
          <w:szCs w:val="21"/>
        </w:rPr>
      </w:pPr>
      <w:r>
        <w:rPr>
          <w:rFonts w:hint="eastAsia" w:ascii="宋体" w:hAnsi="宋体"/>
          <w:bCs/>
          <w:szCs w:val="21"/>
        </w:rPr>
        <w:t>（七）报送要求</w:t>
      </w:r>
    </w:p>
    <w:p>
      <w:pPr>
        <w:spacing w:line="400" w:lineRule="exact"/>
        <w:ind w:firstLine="420" w:firstLineChars="200"/>
        <w:rPr>
          <w:rFonts w:ascii="宋体" w:hAnsi="宋体"/>
          <w:bCs/>
          <w:szCs w:val="21"/>
        </w:rPr>
      </w:pPr>
      <w:r>
        <w:rPr>
          <w:rFonts w:hint="eastAsia" w:ascii="宋体" w:hAnsi="宋体"/>
          <w:bCs/>
          <w:szCs w:val="21"/>
        </w:rPr>
        <w:t>报送时间为本年度4月30日前；报送方式为调查单位网上直接报送，各</w:t>
      </w:r>
      <w:r>
        <w:rPr>
          <w:rFonts w:ascii="宋体" w:hAnsi="宋体"/>
          <w:bCs/>
          <w:szCs w:val="21"/>
        </w:rPr>
        <w:t>省、自治区、直辖市</w:t>
      </w:r>
      <w:r>
        <w:rPr>
          <w:rFonts w:hint="eastAsia" w:ascii="宋体" w:hAnsi="宋体"/>
          <w:bCs/>
          <w:szCs w:val="21"/>
        </w:rPr>
        <w:t>及新疆生产建设兵团</w:t>
      </w:r>
      <w:r>
        <w:rPr>
          <w:rFonts w:ascii="宋体" w:hAnsi="宋体"/>
          <w:bCs/>
          <w:szCs w:val="21"/>
        </w:rPr>
        <w:t>生态环境行政主管部门</w:t>
      </w:r>
      <w:r>
        <w:rPr>
          <w:rFonts w:hint="eastAsia" w:ascii="宋体" w:hAnsi="宋体"/>
          <w:bCs/>
          <w:szCs w:val="21"/>
        </w:rPr>
        <w:t>出具本行政区域统计数据汇总表加盖公章后报送生态环境部。</w:t>
      </w:r>
    </w:p>
    <w:p>
      <w:pPr>
        <w:spacing w:line="400" w:lineRule="exact"/>
        <w:ind w:firstLine="420" w:firstLineChars="200"/>
        <w:rPr>
          <w:rFonts w:ascii="宋体" w:hAnsi="宋体"/>
          <w:bCs/>
          <w:szCs w:val="21"/>
        </w:rPr>
      </w:pPr>
      <w:r>
        <w:rPr>
          <w:rFonts w:hint="eastAsia" w:ascii="宋体" w:hAnsi="宋体"/>
          <w:bCs/>
          <w:szCs w:val="21"/>
        </w:rPr>
        <w:t>调查</w:t>
      </w:r>
      <w:r>
        <w:rPr>
          <w:rFonts w:ascii="宋体" w:hAnsi="宋体"/>
          <w:bCs/>
          <w:szCs w:val="21"/>
        </w:rPr>
        <w:t>单位应</w:t>
      </w:r>
      <w:r>
        <w:rPr>
          <w:rFonts w:hint="eastAsia" w:ascii="宋体" w:hAnsi="宋体"/>
          <w:bCs/>
          <w:szCs w:val="21"/>
        </w:rPr>
        <w:t>严格按照本制度规定的上报时间报送数据并</w:t>
      </w:r>
      <w:r>
        <w:rPr>
          <w:rFonts w:ascii="宋体" w:hAnsi="宋体"/>
          <w:bCs/>
          <w:szCs w:val="21"/>
        </w:rPr>
        <w:t>保证填报数据的真实准确</w:t>
      </w:r>
      <w:r>
        <w:rPr>
          <w:rFonts w:hint="eastAsia" w:ascii="宋体" w:hAnsi="宋体"/>
          <w:bCs/>
          <w:szCs w:val="21"/>
        </w:rPr>
        <w:t>，不得虚报、瞒报</w:t>
      </w:r>
      <w:r>
        <w:rPr>
          <w:rFonts w:ascii="宋体" w:hAnsi="宋体"/>
          <w:bCs/>
          <w:szCs w:val="21"/>
        </w:rPr>
        <w:t>。</w:t>
      </w:r>
    </w:p>
    <w:p>
      <w:pPr>
        <w:pStyle w:val="7"/>
        <w:snapToGrid w:val="0"/>
        <w:spacing w:after="0" w:line="400" w:lineRule="exact"/>
        <w:ind w:firstLine="420" w:firstLineChars="200"/>
        <w:rPr>
          <w:rFonts w:ascii="宋体" w:hAnsi="宋体"/>
          <w:bCs/>
          <w:szCs w:val="21"/>
        </w:rPr>
      </w:pPr>
      <w:r>
        <w:rPr>
          <w:rFonts w:hint="eastAsia" w:ascii="宋体" w:hAnsi="宋体"/>
          <w:bCs/>
          <w:szCs w:val="21"/>
        </w:rPr>
        <w:t>本制度实行全国统一的统计分类标准和代码，调查单位必须严格执行。</w:t>
      </w:r>
    </w:p>
    <w:p>
      <w:pPr>
        <w:pStyle w:val="7"/>
        <w:snapToGrid w:val="0"/>
        <w:spacing w:after="0" w:line="400" w:lineRule="exact"/>
        <w:ind w:firstLine="420" w:firstLineChars="200"/>
        <w:jc w:val="left"/>
        <w:rPr>
          <w:rFonts w:ascii="宋体" w:hAnsi="宋体"/>
          <w:bCs/>
          <w:szCs w:val="21"/>
        </w:rPr>
      </w:pPr>
      <w:r>
        <w:rPr>
          <w:rFonts w:ascii="宋体" w:hAnsi="宋体"/>
          <w:bCs/>
          <w:szCs w:val="21"/>
        </w:rPr>
        <w:t>所有</w:t>
      </w:r>
      <w:r>
        <w:rPr>
          <w:rFonts w:hint="eastAsia" w:ascii="宋体" w:hAnsi="宋体"/>
          <w:bCs/>
          <w:szCs w:val="21"/>
        </w:rPr>
        <w:t>调查</w:t>
      </w:r>
      <w:r>
        <w:rPr>
          <w:rFonts w:ascii="宋体" w:hAnsi="宋体"/>
          <w:bCs/>
          <w:szCs w:val="21"/>
        </w:rPr>
        <w:t>单位均须填写环服基1表</w:t>
      </w:r>
      <w:r>
        <w:rPr>
          <w:rFonts w:hint="eastAsia" w:ascii="宋体" w:hAnsi="宋体"/>
          <w:bCs/>
          <w:szCs w:val="21"/>
        </w:rPr>
        <w:t>，环服基2</w:t>
      </w:r>
      <w:r>
        <w:rPr>
          <w:rFonts w:ascii="宋体" w:hAnsi="宋体"/>
          <w:bCs/>
          <w:szCs w:val="21"/>
        </w:rPr>
        <w:t>表、</w:t>
      </w:r>
      <w:r>
        <w:rPr>
          <w:rFonts w:hint="eastAsia" w:ascii="宋体" w:hAnsi="宋体"/>
          <w:bCs/>
          <w:szCs w:val="21"/>
        </w:rPr>
        <w:t>环服基3表、环服基4表由调查单位根据其所执行的会计制度类别</w:t>
      </w:r>
      <w:r>
        <w:rPr>
          <w:rFonts w:ascii="宋体" w:hAnsi="宋体"/>
          <w:bCs/>
          <w:szCs w:val="21"/>
        </w:rPr>
        <w:t>选择填写。</w:t>
      </w:r>
    </w:p>
    <w:p>
      <w:pPr>
        <w:pStyle w:val="7"/>
        <w:snapToGrid w:val="0"/>
        <w:spacing w:after="0" w:line="400" w:lineRule="exact"/>
        <w:ind w:firstLine="420" w:firstLineChars="200"/>
        <w:rPr>
          <w:rFonts w:ascii="宋体" w:hAnsi="宋体"/>
          <w:bCs/>
          <w:szCs w:val="21"/>
        </w:rPr>
      </w:pPr>
      <w:r>
        <w:rPr>
          <w:rFonts w:hint="eastAsia" w:ascii="宋体" w:hAnsi="宋体"/>
          <w:bCs/>
          <w:szCs w:val="21"/>
        </w:rPr>
        <w:t>报表</w:t>
      </w:r>
      <w:r>
        <w:rPr>
          <w:rFonts w:ascii="宋体" w:hAnsi="宋体"/>
          <w:bCs/>
          <w:szCs w:val="21"/>
        </w:rPr>
        <w:t>报出日期</w:t>
      </w:r>
      <w:r>
        <w:rPr>
          <w:rFonts w:hint="eastAsia" w:ascii="宋体" w:hAnsi="宋体"/>
          <w:bCs/>
          <w:szCs w:val="21"/>
        </w:rPr>
        <w:t>按照网上</w:t>
      </w:r>
      <w:r>
        <w:rPr>
          <w:rFonts w:ascii="宋体" w:hAnsi="宋体"/>
          <w:bCs/>
          <w:szCs w:val="21"/>
        </w:rPr>
        <w:t>报送的实际日期填写。</w:t>
      </w:r>
    </w:p>
    <w:p>
      <w:pPr>
        <w:pStyle w:val="7"/>
        <w:snapToGrid w:val="0"/>
        <w:spacing w:after="0" w:line="400" w:lineRule="exact"/>
        <w:ind w:right="-239" w:rightChars="-114" w:firstLine="420" w:firstLineChars="200"/>
        <w:rPr>
          <w:rFonts w:ascii="宋体" w:hAnsi="宋体"/>
          <w:bCs/>
          <w:szCs w:val="21"/>
        </w:rPr>
      </w:pPr>
      <w:r>
        <w:rPr>
          <w:rFonts w:hint="eastAsia" w:ascii="宋体" w:hAnsi="宋体"/>
          <w:bCs/>
          <w:szCs w:val="21"/>
        </w:rPr>
        <w:t>报</w:t>
      </w:r>
      <w:r>
        <w:rPr>
          <w:rFonts w:ascii="宋体" w:hAnsi="宋体"/>
          <w:bCs/>
          <w:szCs w:val="21"/>
        </w:rPr>
        <w:t>表中数值数据一律用阿拉伯数字，小数点后保留</w:t>
      </w:r>
      <w:r>
        <w:rPr>
          <w:rFonts w:hint="eastAsia" w:ascii="宋体" w:hAnsi="宋体"/>
          <w:bCs/>
          <w:szCs w:val="21"/>
        </w:rPr>
        <w:t>一</w:t>
      </w:r>
      <w:r>
        <w:rPr>
          <w:rFonts w:ascii="宋体" w:hAnsi="宋体"/>
          <w:bCs/>
          <w:szCs w:val="21"/>
        </w:rPr>
        <w:t>位数字，文字内容一律用简体汉字。</w:t>
      </w:r>
    </w:p>
    <w:p>
      <w:pPr>
        <w:pStyle w:val="7"/>
        <w:snapToGrid w:val="0"/>
        <w:spacing w:after="0" w:line="400" w:lineRule="exact"/>
        <w:ind w:firstLine="420" w:firstLineChars="200"/>
        <w:rPr>
          <w:rFonts w:ascii="宋体" w:hAnsi="宋体"/>
          <w:bCs/>
          <w:szCs w:val="21"/>
        </w:rPr>
      </w:pPr>
      <w:r>
        <w:rPr>
          <w:rFonts w:hint="eastAsia" w:ascii="宋体" w:hAnsi="宋体"/>
          <w:bCs/>
          <w:szCs w:val="21"/>
        </w:rPr>
        <w:t>报</w:t>
      </w:r>
      <w:r>
        <w:rPr>
          <w:rFonts w:ascii="宋体" w:hAnsi="宋体"/>
          <w:bCs/>
          <w:szCs w:val="21"/>
        </w:rPr>
        <w:t>表中收入、支出、利润等数值均按</w:t>
      </w:r>
      <w:r>
        <w:rPr>
          <w:rFonts w:hint="eastAsia" w:ascii="宋体" w:hAnsi="宋体"/>
          <w:bCs/>
          <w:szCs w:val="21"/>
        </w:rPr>
        <w:t>调查时期</w:t>
      </w:r>
      <w:r>
        <w:rPr>
          <w:rFonts w:ascii="宋体" w:hAnsi="宋体"/>
          <w:bCs/>
          <w:szCs w:val="21"/>
        </w:rPr>
        <w:t>当年价格计算。</w:t>
      </w:r>
    </w:p>
    <w:p>
      <w:pPr>
        <w:spacing w:line="400" w:lineRule="exact"/>
        <w:ind w:firstLine="420" w:firstLineChars="200"/>
        <w:rPr>
          <w:rFonts w:ascii="宋体" w:hAnsi="宋体"/>
          <w:bCs/>
          <w:szCs w:val="21"/>
        </w:rPr>
      </w:pPr>
      <w:r>
        <w:rPr>
          <w:rFonts w:hint="eastAsia" w:ascii="宋体" w:hAnsi="宋体"/>
          <w:bCs/>
          <w:szCs w:val="21"/>
        </w:rPr>
        <w:t>（八）质量控制</w:t>
      </w:r>
    </w:p>
    <w:p>
      <w:pPr>
        <w:spacing w:line="400" w:lineRule="exact"/>
        <w:ind w:firstLine="420" w:firstLineChars="200"/>
        <w:rPr>
          <w:rFonts w:ascii="宋体" w:hAnsi="宋体"/>
          <w:bCs/>
          <w:szCs w:val="21"/>
        </w:rPr>
      </w:pPr>
      <w:r>
        <w:rPr>
          <w:rFonts w:hint="eastAsia" w:ascii="宋体" w:hAnsi="宋体"/>
          <w:bCs/>
          <w:szCs w:val="21"/>
        </w:rPr>
        <w:t>本制度针对统计业务流程的各环节进行统计数据质量管理和控制。统计实施启动阶段分级开展调查技术培训；数据采集阶段要求调查</w:t>
      </w:r>
      <w:r>
        <w:rPr>
          <w:rFonts w:ascii="宋体" w:hAnsi="宋体"/>
          <w:bCs/>
          <w:szCs w:val="21"/>
        </w:rPr>
        <w:t>单位</w:t>
      </w:r>
      <w:r>
        <w:rPr>
          <w:rFonts w:hint="eastAsia" w:ascii="宋体" w:hAnsi="宋体"/>
          <w:bCs/>
          <w:szCs w:val="21"/>
        </w:rPr>
        <w:t>在</w:t>
      </w:r>
      <w:r>
        <w:rPr>
          <w:rFonts w:ascii="宋体" w:hAnsi="宋体"/>
          <w:bCs/>
          <w:szCs w:val="21"/>
        </w:rPr>
        <w:t>正式</w:t>
      </w:r>
      <w:r>
        <w:rPr>
          <w:rFonts w:hint="eastAsia" w:ascii="宋体" w:hAnsi="宋体"/>
          <w:bCs/>
          <w:szCs w:val="21"/>
        </w:rPr>
        <w:t>网上报送报表</w:t>
      </w:r>
      <w:r>
        <w:rPr>
          <w:rFonts w:ascii="宋体" w:hAnsi="宋体"/>
          <w:bCs/>
          <w:szCs w:val="21"/>
        </w:rPr>
        <w:t>前</w:t>
      </w:r>
      <w:r>
        <w:rPr>
          <w:rFonts w:hint="eastAsia" w:ascii="宋体" w:hAnsi="宋体"/>
          <w:bCs/>
          <w:szCs w:val="21"/>
        </w:rPr>
        <w:t>由</w:t>
      </w:r>
      <w:r>
        <w:rPr>
          <w:rFonts w:ascii="宋体" w:hAnsi="宋体"/>
          <w:bCs/>
          <w:szCs w:val="21"/>
        </w:rPr>
        <w:t>单位负责人、统计负责人</w:t>
      </w:r>
      <w:r>
        <w:rPr>
          <w:rFonts w:hint="eastAsia" w:ascii="宋体" w:hAnsi="宋体"/>
          <w:bCs/>
          <w:szCs w:val="21"/>
        </w:rPr>
        <w:t>和</w:t>
      </w:r>
      <w:r>
        <w:rPr>
          <w:rFonts w:ascii="宋体" w:hAnsi="宋体"/>
          <w:bCs/>
          <w:szCs w:val="21"/>
        </w:rPr>
        <w:t>填表人对每张报表进行审核</w:t>
      </w:r>
      <w:r>
        <w:rPr>
          <w:rFonts w:hint="eastAsia" w:ascii="宋体" w:hAnsi="宋体"/>
          <w:bCs/>
          <w:szCs w:val="21"/>
        </w:rPr>
        <w:t>确认；数据处理阶段由各级调查工作机构采取逻辑审核、纵向比对等方法，通过专用软件系统自动审核与人工审核相结合等方式对统计数据进行逐级审核。</w:t>
      </w:r>
    </w:p>
    <w:p>
      <w:pPr>
        <w:spacing w:line="400" w:lineRule="exact"/>
        <w:ind w:firstLine="420" w:firstLineChars="200"/>
        <w:rPr>
          <w:rFonts w:ascii="宋体" w:hAnsi="宋体"/>
          <w:bCs/>
          <w:szCs w:val="21"/>
        </w:rPr>
      </w:pPr>
      <w:bookmarkStart w:id="23" w:name="_Toc410913135"/>
      <w:bookmarkStart w:id="24" w:name="_Toc462731456"/>
      <w:bookmarkStart w:id="25" w:name="_Toc486517302"/>
      <w:r>
        <w:rPr>
          <w:rFonts w:hint="eastAsia" w:ascii="宋体" w:hAnsi="宋体"/>
          <w:bCs/>
          <w:szCs w:val="21"/>
        </w:rPr>
        <w:t>（九）统计资料公布</w:t>
      </w:r>
    </w:p>
    <w:bookmarkEnd w:id="23"/>
    <w:bookmarkEnd w:id="24"/>
    <w:bookmarkEnd w:id="25"/>
    <w:p>
      <w:pPr>
        <w:spacing w:line="400" w:lineRule="exact"/>
        <w:ind w:firstLine="420" w:firstLineChars="200"/>
        <w:rPr>
          <w:rFonts w:ascii="宋体" w:hAnsi="宋体"/>
          <w:bCs/>
          <w:szCs w:val="21"/>
        </w:rPr>
      </w:pPr>
      <w:r>
        <w:rPr>
          <w:rFonts w:hint="eastAsia" w:ascii="宋体" w:hAnsi="宋体"/>
          <w:bCs/>
          <w:szCs w:val="21"/>
        </w:rPr>
        <w:t>本制度取得的统计数据依据《部门服务业财务统计报表制度（试行）》（2018年统计年报和2019年定期统计报表）中的相关要求，报送至国家统计局，主要用于国民经济核算，暂不公开发布。</w:t>
      </w:r>
    </w:p>
    <w:p>
      <w:pPr>
        <w:spacing w:line="400" w:lineRule="exact"/>
        <w:ind w:firstLine="420" w:firstLineChars="200"/>
        <w:rPr>
          <w:rFonts w:ascii="宋体" w:hAnsi="宋体"/>
          <w:bCs/>
          <w:szCs w:val="21"/>
        </w:rPr>
      </w:pPr>
      <w:r>
        <w:rPr>
          <w:rFonts w:hint="eastAsia" w:ascii="宋体" w:hAnsi="宋体"/>
          <w:bCs/>
          <w:szCs w:val="21"/>
        </w:rPr>
        <w:t>（十）统计信息共享</w:t>
      </w:r>
    </w:p>
    <w:p>
      <w:pPr>
        <w:spacing w:line="400" w:lineRule="exact"/>
        <w:ind w:firstLine="420" w:firstLineChars="200"/>
        <w:rPr>
          <w:rFonts w:ascii="宋体" w:hAnsi="宋体"/>
          <w:bCs/>
          <w:szCs w:val="21"/>
        </w:rPr>
      </w:pPr>
      <w:r>
        <w:rPr>
          <w:rFonts w:hint="eastAsia" w:ascii="宋体" w:hAnsi="宋体"/>
          <w:bCs/>
          <w:szCs w:val="21"/>
        </w:rPr>
        <w:t>综合统计数据可于每年统计结束后在本</w:t>
      </w:r>
      <w:r>
        <w:rPr>
          <w:rFonts w:ascii="宋体" w:hAnsi="宋体"/>
          <w:bCs/>
          <w:szCs w:val="21"/>
        </w:rPr>
        <w:t>系统</w:t>
      </w:r>
      <w:r>
        <w:rPr>
          <w:rFonts w:hint="eastAsia" w:ascii="宋体" w:hAnsi="宋体"/>
          <w:bCs/>
          <w:szCs w:val="21"/>
        </w:rPr>
        <w:t>内共享</w:t>
      </w:r>
      <w:r>
        <w:rPr>
          <w:rFonts w:ascii="宋体" w:hAnsi="宋体"/>
          <w:bCs/>
          <w:szCs w:val="21"/>
        </w:rPr>
        <w:t>使用</w:t>
      </w:r>
      <w:r>
        <w:rPr>
          <w:rFonts w:hint="eastAsia" w:ascii="宋体" w:hAnsi="宋体"/>
          <w:bCs/>
          <w:szCs w:val="21"/>
        </w:rPr>
        <w:t>，共享责任单位为生态环境部科技与财务司，共享责任人为科技与财务司主管统计工作负责人。</w:t>
      </w:r>
    </w:p>
    <w:p>
      <w:pPr>
        <w:spacing w:line="400" w:lineRule="exact"/>
        <w:ind w:firstLine="420" w:firstLineChars="200"/>
        <w:rPr>
          <w:rFonts w:ascii="宋体" w:hAnsi="宋体"/>
          <w:bCs/>
          <w:szCs w:val="21"/>
        </w:rPr>
      </w:pPr>
      <w:r>
        <w:rPr>
          <w:rFonts w:hint="eastAsia" w:ascii="宋体" w:hAnsi="宋体"/>
          <w:bCs/>
          <w:szCs w:val="21"/>
        </w:rPr>
        <w:t>（十一）使用单位名录库情况</w:t>
      </w:r>
    </w:p>
    <w:p>
      <w:pPr>
        <w:spacing w:line="400" w:lineRule="exact"/>
        <w:ind w:firstLine="420" w:firstLineChars="200"/>
        <w:rPr>
          <w:rFonts w:ascii="宋体" w:hAnsi="宋体"/>
          <w:bCs/>
          <w:szCs w:val="21"/>
        </w:rPr>
      </w:pPr>
      <w:r>
        <w:rPr>
          <w:rFonts w:hint="eastAsia" w:ascii="宋体" w:hAnsi="宋体"/>
          <w:bCs/>
          <w:szCs w:val="21"/>
        </w:rPr>
        <w:t>本制度使用由</w:t>
      </w:r>
      <w:r>
        <w:rPr>
          <w:rFonts w:ascii="宋体" w:hAnsi="宋体"/>
          <w:bCs/>
          <w:szCs w:val="21"/>
        </w:rPr>
        <w:t>国家统计局名录库</w:t>
      </w:r>
      <w:r>
        <w:rPr>
          <w:rFonts w:hint="eastAsia" w:ascii="宋体" w:hAnsi="宋体"/>
          <w:bCs/>
          <w:szCs w:val="21"/>
        </w:rPr>
        <w:t>、</w:t>
      </w:r>
      <w:r>
        <w:rPr>
          <w:rFonts w:ascii="宋体" w:hAnsi="宋体"/>
          <w:bCs/>
          <w:szCs w:val="21"/>
        </w:rPr>
        <w:t>2011</w:t>
      </w:r>
      <w:r>
        <w:rPr>
          <w:rFonts w:hint="eastAsia" w:ascii="宋体" w:hAnsi="宋体"/>
          <w:bCs/>
          <w:szCs w:val="21"/>
        </w:rPr>
        <w:t>年全国环保产业调查单位名录库、本系统基本单位名录中统计范围内的单位名录构成的环境服务业财务统计单位名录库。</w:t>
      </w:r>
    </w:p>
    <w:p>
      <w:pPr>
        <w:spacing w:line="360" w:lineRule="exact"/>
        <w:ind w:firstLine="420" w:firstLineChars="200"/>
        <w:rPr>
          <w:rFonts w:ascii="宋体" w:hAnsi="宋体"/>
          <w:bCs/>
          <w:szCs w:val="21"/>
        </w:rPr>
      </w:pPr>
    </w:p>
    <w:p>
      <w:pPr>
        <w:spacing w:line="360" w:lineRule="exact"/>
        <w:ind w:firstLine="420" w:firstLineChars="200"/>
        <w:rPr>
          <w:rFonts w:ascii="宋体" w:hAnsi="宋体"/>
          <w:bCs/>
          <w:szCs w:val="21"/>
        </w:rPr>
      </w:pPr>
    </w:p>
    <w:p>
      <w:pPr>
        <w:pStyle w:val="16"/>
        <w:pageBreakBefore/>
        <w:rPr>
          <w:rFonts w:ascii="宋体" w:hAnsi="宋体"/>
          <w:b w:val="0"/>
        </w:rPr>
      </w:pPr>
      <w:bookmarkStart w:id="26" w:name="_Toc313890863"/>
      <w:bookmarkStart w:id="27" w:name="_Toc313890220"/>
      <w:bookmarkStart w:id="28" w:name="_Toc307414754"/>
      <w:bookmarkStart w:id="29" w:name="_Toc313803267"/>
      <w:r>
        <w:rPr>
          <w:rFonts w:ascii="黑体" w:hAnsi="黑体" w:eastAsia="黑体"/>
          <w:b w:val="0"/>
        </w:rPr>
        <w:t>二、报 表 目 录</w:t>
      </w:r>
      <w:bookmarkEnd w:id="26"/>
      <w:bookmarkEnd w:id="27"/>
      <w:bookmarkEnd w:id="28"/>
      <w:bookmarkEnd w:id="29"/>
    </w:p>
    <w:p>
      <w:pPr>
        <w:rPr>
          <w:rFonts w:ascii="宋体" w:hAnsi="宋体"/>
        </w:rPr>
      </w:pPr>
    </w:p>
    <w:p>
      <w:pPr>
        <w:rPr>
          <w:rFonts w:ascii="宋体" w:hAnsi="宋体"/>
        </w:rPr>
      </w:pPr>
    </w:p>
    <w:tbl>
      <w:tblPr>
        <w:tblStyle w:val="17"/>
        <w:tblW w:w="0" w:type="auto"/>
        <w:tblInd w:w="9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65"/>
        <w:gridCol w:w="1575"/>
        <w:gridCol w:w="735"/>
        <w:gridCol w:w="1575"/>
        <w:gridCol w:w="1550"/>
        <w:gridCol w:w="1664"/>
        <w:gridCol w:w="4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06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表 号</w:t>
            </w:r>
          </w:p>
        </w:tc>
        <w:tc>
          <w:tcPr>
            <w:tcW w:w="157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表 名</w:t>
            </w:r>
          </w:p>
        </w:tc>
        <w:tc>
          <w:tcPr>
            <w:tcW w:w="73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报告</w:t>
            </w:r>
          </w:p>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期别</w:t>
            </w:r>
          </w:p>
        </w:tc>
        <w:tc>
          <w:tcPr>
            <w:tcW w:w="1575" w:type="dxa"/>
            <w:vAlign w:val="center"/>
          </w:tcPr>
          <w:p>
            <w:pPr>
              <w:widowControl/>
              <w:spacing w:line="240" w:lineRule="exact"/>
              <w:jc w:val="center"/>
              <w:rPr>
                <w:rFonts w:ascii="宋体" w:hAnsi="宋体"/>
                <w:bCs/>
                <w:spacing w:val="-6"/>
                <w:kern w:val="0"/>
                <w:sz w:val="18"/>
                <w:szCs w:val="18"/>
              </w:rPr>
            </w:pPr>
            <w:r>
              <w:rPr>
                <w:rFonts w:hint="eastAsia" w:ascii="宋体" w:hAnsi="宋体"/>
                <w:bCs/>
                <w:spacing w:val="-6"/>
                <w:kern w:val="0"/>
                <w:sz w:val="18"/>
                <w:szCs w:val="18"/>
              </w:rPr>
              <w:t>统 计</w:t>
            </w:r>
            <w:r>
              <w:rPr>
                <w:rFonts w:ascii="宋体" w:hAnsi="宋体"/>
                <w:bCs/>
                <w:spacing w:val="-6"/>
                <w:kern w:val="0"/>
                <w:sz w:val="18"/>
                <w:szCs w:val="18"/>
              </w:rPr>
              <w:t xml:space="preserve"> 范 围</w:t>
            </w:r>
          </w:p>
        </w:tc>
        <w:tc>
          <w:tcPr>
            <w:tcW w:w="1550"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报 送 单 位</w:t>
            </w:r>
          </w:p>
        </w:tc>
        <w:tc>
          <w:tcPr>
            <w:tcW w:w="1664"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报送日期</w:t>
            </w:r>
          </w:p>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及方式</w:t>
            </w:r>
          </w:p>
        </w:tc>
        <w:tc>
          <w:tcPr>
            <w:tcW w:w="48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1065" w:type="dxa"/>
            <w:vAlign w:val="center"/>
          </w:tcPr>
          <w:p>
            <w:pPr>
              <w:spacing w:line="240" w:lineRule="exact"/>
              <w:rPr>
                <w:rFonts w:ascii="宋体" w:hAnsi="宋体"/>
                <w:bCs/>
                <w:spacing w:val="-6"/>
                <w:kern w:val="0"/>
                <w:sz w:val="18"/>
                <w:szCs w:val="18"/>
              </w:rPr>
            </w:pPr>
            <w:r>
              <w:rPr>
                <w:rFonts w:ascii="宋体" w:hAnsi="宋体"/>
                <w:bCs/>
                <w:spacing w:val="-6"/>
                <w:kern w:val="0"/>
                <w:sz w:val="18"/>
                <w:szCs w:val="18"/>
              </w:rPr>
              <w:t>环服基</w:t>
            </w:r>
            <w:r>
              <w:rPr>
                <w:rFonts w:ascii="宋体" w:hAnsi="宋体"/>
                <w:sz w:val="18"/>
                <w:szCs w:val="18"/>
              </w:rPr>
              <w:t>1</w:t>
            </w:r>
            <w:r>
              <w:rPr>
                <w:rFonts w:ascii="宋体" w:hAnsi="宋体"/>
                <w:bCs/>
                <w:spacing w:val="-6"/>
                <w:kern w:val="0"/>
                <w:sz w:val="18"/>
                <w:szCs w:val="18"/>
              </w:rPr>
              <w:t>表</w:t>
            </w:r>
          </w:p>
        </w:tc>
        <w:tc>
          <w:tcPr>
            <w:tcW w:w="1575" w:type="dxa"/>
            <w:vAlign w:val="center"/>
          </w:tcPr>
          <w:p>
            <w:pPr>
              <w:spacing w:line="240" w:lineRule="exact"/>
              <w:rPr>
                <w:rFonts w:ascii="宋体" w:hAnsi="宋体"/>
                <w:bCs/>
                <w:spacing w:val="-6"/>
                <w:kern w:val="0"/>
                <w:sz w:val="18"/>
                <w:szCs w:val="18"/>
              </w:rPr>
            </w:pPr>
            <w:r>
              <w:rPr>
                <w:rFonts w:ascii="宋体" w:hAnsi="宋体"/>
                <w:bCs/>
                <w:spacing w:val="-6"/>
                <w:kern w:val="0"/>
                <w:sz w:val="18"/>
                <w:szCs w:val="18"/>
              </w:rPr>
              <w:t>法人单位基本情况</w:t>
            </w:r>
          </w:p>
        </w:tc>
        <w:tc>
          <w:tcPr>
            <w:tcW w:w="73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年报</w:t>
            </w:r>
          </w:p>
        </w:tc>
        <w:tc>
          <w:tcPr>
            <w:tcW w:w="1575" w:type="dxa"/>
            <w:vAlign w:val="center"/>
          </w:tcPr>
          <w:p>
            <w:pPr>
              <w:spacing w:line="240" w:lineRule="exact"/>
              <w:jc w:val="left"/>
              <w:rPr>
                <w:rFonts w:ascii="宋体" w:hAnsi="宋体"/>
                <w:bCs/>
                <w:spacing w:val="-6"/>
                <w:kern w:val="0"/>
                <w:sz w:val="18"/>
                <w:szCs w:val="18"/>
              </w:rPr>
            </w:pPr>
            <w:r>
              <w:rPr>
                <w:rFonts w:hint="eastAsia" w:ascii="宋体" w:hAnsi="宋体"/>
                <w:bCs/>
                <w:spacing w:val="-6"/>
                <w:kern w:val="0"/>
                <w:sz w:val="18"/>
                <w:szCs w:val="18"/>
              </w:rPr>
              <w:t>环境</w:t>
            </w:r>
            <w:r>
              <w:rPr>
                <w:rFonts w:ascii="宋体" w:hAnsi="宋体"/>
                <w:bCs/>
                <w:spacing w:val="-6"/>
                <w:kern w:val="0"/>
                <w:sz w:val="18"/>
                <w:szCs w:val="18"/>
              </w:rPr>
              <w:t>服务业</w:t>
            </w:r>
            <w:r>
              <w:rPr>
                <w:rFonts w:hint="eastAsia" w:ascii="宋体" w:hAnsi="宋体"/>
                <w:bCs/>
                <w:spacing w:val="-6"/>
                <w:kern w:val="0"/>
                <w:sz w:val="18"/>
                <w:szCs w:val="18"/>
              </w:rPr>
              <w:t>从</w:t>
            </w:r>
            <w:r>
              <w:rPr>
                <w:rFonts w:ascii="宋体" w:hAnsi="宋体"/>
                <w:bCs/>
                <w:spacing w:val="-6"/>
                <w:kern w:val="0"/>
                <w:sz w:val="18"/>
                <w:szCs w:val="18"/>
              </w:rPr>
              <w:t>业法人单位</w:t>
            </w:r>
          </w:p>
        </w:tc>
        <w:tc>
          <w:tcPr>
            <w:tcW w:w="1550" w:type="dxa"/>
            <w:vAlign w:val="center"/>
          </w:tcPr>
          <w:p>
            <w:pPr>
              <w:spacing w:line="240" w:lineRule="exact"/>
              <w:jc w:val="left"/>
            </w:pPr>
            <w:r>
              <w:rPr>
                <w:rFonts w:hint="eastAsia" w:ascii="宋体" w:hAnsi="宋体"/>
                <w:bCs/>
                <w:snapToGrid w:val="0"/>
                <w:kern w:val="0"/>
                <w:sz w:val="18"/>
                <w:szCs w:val="18"/>
              </w:rPr>
              <w:t>各省级生态环境行政主管部门</w:t>
            </w:r>
          </w:p>
        </w:tc>
        <w:tc>
          <w:tcPr>
            <w:tcW w:w="1664" w:type="dxa"/>
            <w:vAlign w:val="center"/>
          </w:tcPr>
          <w:p>
            <w:pPr>
              <w:spacing w:line="240" w:lineRule="exact"/>
              <w:rPr>
                <w:rFonts w:ascii="宋体" w:hAnsi="宋体"/>
                <w:bCs/>
                <w:snapToGrid w:val="0"/>
                <w:kern w:val="0"/>
                <w:sz w:val="18"/>
                <w:szCs w:val="18"/>
              </w:rPr>
            </w:pPr>
            <w:r>
              <w:rPr>
                <w:rFonts w:hint="eastAsia" w:ascii="宋体" w:hAnsi="宋体"/>
                <w:bCs/>
                <w:snapToGrid w:val="0"/>
                <w:kern w:val="0"/>
                <w:sz w:val="18"/>
                <w:szCs w:val="18"/>
              </w:rPr>
              <w:t>本年度4月30日前</w:t>
            </w:r>
            <w:r>
              <w:rPr>
                <w:rFonts w:ascii="宋体" w:hAnsi="宋体"/>
                <w:bCs/>
                <w:snapToGrid w:val="0"/>
                <w:kern w:val="0"/>
                <w:sz w:val="18"/>
                <w:szCs w:val="18"/>
              </w:rPr>
              <w:t>网络</w:t>
            </w:r>
            <w:r>
              <w:rPr>
                <w:rFonts w:hint="eastAsia" w:ascii="宋体" w:hAnsi="宋体"/>
                <w:bCs/>
                <w:snapToGrid w:val="0"/>
                <w:kern w:val="0"/>
                <w:sz w:val="18"/>
                <w:szCs w:val="18"/>
              </w:rPr>
              <w:t>填</w:t>
            </w:r>
            <w:r>
              <w:rPr>
                <w:rFonts w:ascii="宋体" w:hAnsi="宋体"/>
                <w:bCs/>
                <w:snapToGrid w:val="0"/>
                <w:kern w:val="0"/>
                <w:sz w:val="18"/>
                <w:szCs w:val="18"/>
              </w:rPr>
              <w:t>报</w:t>
            </w:r>
          </w:p>
        </w:tc>
        <w:tc>
          <w:tcPr>
            <w:tcW w:w="485" w:type="dxa"/>
            <w:vAlign w:val="center"/>
          </w:tcPr>
          <w:p>
            <w:pPr>
              <w:spacing w:line="240" w:lineRule="exact"/>
              <w:jc w:val="center"/>
              <w:rPr>
                <w:rFonts w:ascii="宋体" w:hAnsi="宋体"/>
                <w:bCs/>
                <w:spacing w:val="-6"/>
                <w:kern w:val="0"/>
                <w:sz w:val="18"/>
                <w:szCs w:val="18"/>
              </w:rPr>
            </w:pPr>
            <w:r>
              <w:rPr>
                <w:rFonts w:hint="eastAsia" w:ascii="宋体" w:hAnsi="宋体"/>
                <w:bCs/>
                <w:spacing w:val="-6"/>
                <w:kern w:val="0"/>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1065" w:type="dxa"/>
            <w:vAlign w:val="center"/>
          </w:tcPr>
          <w:p>
            <w:pPr>
              <w:widowControl/>
              <w:spacing w:line="240" w:lineRule="exact"/>
              <w:rPr>
                <w:rFonts w:ascii="宋体" w:hAnsi="宋体"/>
                <w:bCs/>
                <w:spacing w:val="-6"/>
                <w:kern w:val="0"/>
                <w:sz w:val="18"/>
                <w:szCs w:val="18"/>
              </w:rPr>
            </w:pPr>
            <w:r>
              <w:rPr>
                <w:rFonts w:ascii="宋体" w:hAnsi="宋体"/>
                <w:bCs/>
                <w:spacing w:val="-6"/>
                <w:kern w:val="0"/>
                <w:sz w:val="18"/>
                <w:szCs w:val="18"/>
              </w:rPr>
              <w:t>环服基</w:t>
            </w:r>
            <w:r>
              <w:rPr>
                <w:rFonts w:hint="eastAsia" w:ascii="宋体" w:hAnsi="宋体"/>
                <w:sz w:val="18"/>
                <w:szCs w:val="18"/>
              </w:rPr>
              <w:t>2</w:t>
            </w:r>
            <w:r>
              <w:rPr>
                <w:rFonts w:ascii="宋体" w:hAnsi="宋体"/>
                <w:bCs/>
                <w:spacing w:val="-6"/>
                <w:kern w:val="0"/>
                <w:sz w:val="18"/>
                <w:szCs w:val="18"/>
              </w:rPr>
              <w:t>表</w:t>
            </w:r>
          </w:p>
        </w:tc>
        <w:tc>
          <w:tcPr>
            <w:tcW w:w="1575" w:type="dxa"/>
            <w:vAlign w:val="center"/>
          </w:tcPr>
          <w:p>
            <w:pPr>
              <w:widowControl/>
              <w:spacing w:line="240" w:lineRule="exact"/>
              <w:rPr>
                <w:rFonts w:ascii="宋体" w:hAnsi="宋体"/>
                <w:bCs/>
                <w:spacing w:val="-6"/>
                <w:kern w:val="0"/>
                <w:sz w:val="18"/>
                <w:szCs w:val="18"/>
              </w:rPr>
            </w:pPr>
            <w:r>
              <w:rPr>
                <w:rFonts w:ascii="宋体" w:hAnsi="宋体"/>
                <w:bCs/>
                <w:spacing w:val="-6"/>
                <w:kern w:val="0"/>
                <w:sz w:val="18"/>
                <w:szCs w:val="18"/>
              </w:rPr>
              <w:t>企业</w:t>
            </w:r>
            <w:r>
              <w:rPr>
                <w:rFonts w:hint="eastAsia" w:ascii="宋体" w:hAnsi="宋体"/>
                <w:bCs/>
                <w:spacing w:val="-6"/>
                <w:kern w:val="0"/>
                <w:sz w:val="18"/>
                <w:szCs w:val="18"/>
              </w:rPr>
              <w:t>财务状况</w:t>
            </w:r>
          </w:p>
        </w:tc>
        <w:tc>
          <w:tcPr>
            <w:tcW w:w="73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年报</w:t>
            </w:r>
          </w:p>
        </w:tc>
        <w:tc>
          <w:tcPr>
            <w:tcW w:w="1575" w:type="dxa"/>
            <w:vAlign w:val="center"/>
          </w:tcPr>
          <w:p>
            <w:pPr>
              <w:spacing w:line="240" w:lineRule="exact"/>
              <w:ind w:right="-82" w:rightChars="-39"/>
              <w:jc w:val="left"/>
              <w:rPr>
                <w:rFonts w:ascii="宋体" w:hAnsi="宋体"/>
                <w:bCs/>
                <w:snapToGrid w:val="0"/>
                <w:kern w:val="0"/>
                <w:sz w:val="18"/>
                <w:szCs w:val="18"/>
              </w:rPr>
            </w:pPr>
            <w:r>
              <w:rPr>
                <w:rFonts w:hint="eastAsia" w:ascii="宋体" w:hAnsi="宋体"/>
                <w:bCs/>
                <w:snapToGrid w:val="0"/>
                <w:kern w:val="0"/>
                <w:sz w:val="18"/>
                <w:szCs w:val="18"/>
              </w:rPr>
              <w:t>环境服务业中执行企业会计制度的法人单位</w:t>
            </w:r>
          </w:p>
        </w:tc>
        <w:tc>
          <w:tcPr>
            <w:tcW w:w="1550" w:type="dxa"/>
            <w:vAlign w:val="center"/>
          </w:tcPr>
          <w:p>
            <w:pPr>
              <w:spacing w:line="240" w:lineRule="exact"/>
              <w:jc w:val="left"/>
            </w:pPr>
            <w:r>
              <w:rPr>
                <w:rFonts w:hint="eastAsia" w:ascii="宋体" w:hAnsi="宋体"/>
                <w:bCs/>
                <w:snapToGrid w:val="0"/>
                <w:kern w:val="0"/>
                <w:sz w:val="18"/>
                <w:szCs w:val="18"/>
              </w:rPr>
              <w:t>各省级生态环境行政主管部门</w:t>
            </w:r>
          </w:p>
        </w:tc>
        <w:tc>
          <w:tcPr>
            <w:tcW w:w="1664" w:type="dxa"/>
            <w:vAlign w:val="center"/>
          </w:tcPr>
          <w:p>
            <w:pPr>
              <w:spacing w:line="240" w:lineRule="exact"/>
            </w:pPr>
            <w:r>
              <w:rPr>
                <w:rFonts w:hint="eastAsia" w:ascii="宋体" w:hAnsi="宋体"/>
                <w:bCs/>
                <w:snapToGrid w:val="0"/>
                <w:kern w:val="0"/>
                <w:sz w:val="18"/>
                <w:szCs w:val="18"/>
              </w:rPr>
              <w:t>本年度4月30日前</w:t>
            </w:r>
            <w:r>
              <w:rPr>
                <w:rFonts w:ascii="宋体" w:hAnsi="宋体"/>
                <w:bCs/>
                <w:snapToGrid w:val="0"/>
                <w:kern w:val="0"/>
                <w:sz w:val="18"/>
                <w:szCs w:val="18"/>
              </w:rPr>
              <w:t>网络</w:t>
            </w:r>
            <w:r>
              <w:rPr>
                <w:rFonts w:hint="eastAsia" w:ascii="宋体" w:hAnsi="宋体"/>
                <w:bCs/>
                <w:snapToGrid w:val="0"/>
                <w:kern w:val="0"/>
                <w:sz w:val="18"/>
                <w:szCs w:val="18"/>
              </w:rPr>
              <w:t>填</w:t>
            </w:r>
            <w:r>
              <w:rPr>
                <w:rFonts w:ascii="宋体" w:hAnsi="宋体"/>
                <w:bCs/>
                <w:snapToGrid w:val="0"/>
                <w:kern w:val="0"/>
                <w:sz w:val="18"/>
                <w:szCs w:val="18"/>
              </w:rPr>
              <w:t>报</w:t>
            </w:r>
          </w:p>
        </w:tc>
        <w:tc>
          <w:tcPr>
            <w:tcW w:w="485" w:type="dxa"/>
            <w:vAlign w:val="center"/>
          </w:tcPr>
          <w:p>
            <w:pPr>
              <w:widowControl/>
              <w:spacing w:line="240" w:lineRule="exact"/>
              <w:jc w:val="center"/>
              <w:rPr>
                <w:rFonts w:ascii="宋体" w:hAnsi="宋体"/>
                <w:bCs/>
                <w:spacing w:val="-6"/>
                <w:kern w:val="0"/>
                <w:sz w:val="18"/>
                <w:szCs w:val="18"/>
              </w:rPr>
            </w:pPr>
            <w:r>
              <w:rPr>
                <w:rFonts w:hint="eastAsia" w:ascii="宋体" w:hAnsi="宋体"/>
                <w:bCs/>
                <w:spacing w:val="-6"/>
                <w:kern w:val="0"/>
                <w:sz w:val="18"/>
                <w:szCs w:val="18"/>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1065" w:type="dxa"/>
            <w:vAlign w:val="center"/>
          </w:tcPr>
          <w:p>
            <w:pPr>
              <w:widowControl/>
              <w:spacing w:line="240" w:lineRule="exact"/>
              <w:rPr>
                <w:rFonts w:ascii="宋体" w:hAnsi="宋体"/>
                <w:bCs/>
                <w:spacing w:val="-6"/>
                <w:kern w:val="0"/>
                <w:sz w:val="18"/>
                <w:szCs w:val="18"/>
              </w:rPr>
            </w:pPr>
            <w:r>
              <w:rPr>
                <w:rFonts w:ascii="宋体" w:hAnsi="宋体"/>
                <w:bCs/>
                <w:spacing w:val="-6"/>
                <w:kern w:val="0"/>
                <w:sz w:val="18"/>
                <w:szCs w:val="18"/>
              </w:rPr>
              <w:t>环服基</w:t>
            </w:r>
            <w:r>
              <w:rPr>
                <w:rFonts w:hint="eastAsia" w:ascii="宋体" w:hAnsi="宋体"/>
                <w:sz w:val="18"/>
                <w:szCs w:val="18"/>
              </w:rPr>
              <w:t>3</w:t>
            </w:r>
            <w:r>
              <w:rPr>
                <w:rFonts w:ascii="宋体" w:hAnsi="宋体"/>
                <w:bCs/>
                <w:spacing w:val="-6"/>
                <w:kern w:val="0"/>
                <w:sz w:val="18"/>
                <w:szCs w:val="18"/>
              </w:rPr>
              <w:t>表</w:t>
            </w:r>
          </w:p>
        </w:tc>
        <w:tc>
          <w:tcPr>
            <w:tcW w:w="1575" w:type="dxa"/>
            <w:vAlign w:val="center"/>
          </w:tcPr>
          <w:p>
            <w:pPr>
              <w:widowControl/>
              <w:spacing w:line="240" w:lineRule="exact"/>
              <w:rPr>
                <w:rFonts w:ascii="宋体" w:hAnsi="宋体"/>
                <w:bCs/>
                <w:spacing w:val="-6"/>
                <w:kern w:val="0"/>
                <w:sz w:val="18"/>
                <w:szCs w:val="18"/>
              </w:rPr>
            </w:pPr>
            <w:r>
              <w:rPr>
                <w:rFonts w:ascii="宋体" w:hAnsi="宋体"/>
                <w:bCs/>
                <w:spacing w:val="-6"/>
                <w:kern w:val="0"/>
                <w:sz w:val="18"/>
                <w:szCs w:val="18"/>
              </w:rPr>
              <w:t>行政单位</w:t>
            </w:r>
            <w:r>
              <w:rPr>
                <w:rFonts w:hint="eastAsia" w:ascii="宋体" w:hAnsi="宋体"/>
                <w:bCs/>
                <w:spacing w:val="-6"/>
                <w:kern w:val="0"/>
                <w:sz w:val="18"/>
                <w:szCs w:val="18"/>
              </w:rPr>
              <w:t>财务状况</w:t>
            </w:r>
          </w:p>
        </w:tc>
        <w:tc>
          <w:tcPr>
            <w:tcW w:w="73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年报</w:t>
            </w:r>
          </w:p>
        </w:tc>
        <w:tc>
          <w:tcPr>
            <w:tcW w:w="1575" w:type="dxa"/>
            <w:vAlign w:val="center"/>
          </w:tcPr>
          <w:p>
            <w:pPr>
              <w:spacing w:line="240" w:lineRule="exact"/>
              <w:ind w:right="-82" w:rightChars="-39"/>
              <w:jc w:val="left"/>
              <w:rPr>
                <w:rFonts w:ascii="宋体" w:hAnsi="宋体"/>
                <w:bCs/>
                <w:spacing w:val="-6"/>
                <w:kern w:val="0"/>
                <w:sz w:val="18"/>
                <w:szCs w:val="18"/>
              </w:rPr>
            </w:pPr>
            <w:r>
              <w:rPr>
                <w:rFonts w:hint="eastAsia" w:ascii="宋体" w:hAnsi="宋体"/>
                <w:bCs/>
                <w:snapToGrid w:val="0"/>
                <w:kern w:val="0"/>
                <w:sz w:val="18"/>
                <w:szCs w:val="18"/>
              </w:rPr>
              <w:t>环境</w:t>
            </w:r>
            <w:r>
              <w:rPr>
                <w:rFonts w:ascii="宋体" w:hAnsi="宋体"/>
                <w:bCs/>
                <w:snapToGrid w:val="0"/>
                <w:kern w:val="0"/>
                <w:sz w:val="18"/>
                <w:szCs w:val="18"/>
              </w:rPr>
              <w:t>服务业</w:t>
            </w:r>
            <w:r>
              <w:rPr>
                <w:rFonts w:hint="eastAsia" w:ascii="宋体" w:hAnsi="宋体"/>
                <w:bCs/>
                <w:snapToGrid w:val="0"/>
                <w:kern w:val="0"/>
                <w:sz w:val="18"/>
                <w:szCs w:val="18"/>
              </w:rPr>
              <w:t>中执行行政单位会计制度的法人</w:t>
            </w:r>
            <w:r>
              <w:rPr>
                <w:rFonts w:ascii="宋体" w:hAnsi="宋体"/>
                <w:bCs/>
                <w:snapToGrid w:val="0"/>
                <w:kern w:val="0"/>
                <w:sz w:val="18"/>
                <w:szCs w:val="18"/>
              </w:rPr>
              <w:t>单位</w:t>
            </w:r>
          </w:p>
        </w:tc>
        <w:tc>
          <w:tcPr>
            <w:tcW w:w="1550" w:type="dxa"/>
            <w:vAlign w:val="center"/>
          </w:tcPr>
          <w:p>
            <w:pPr>
              <w:spacing w:line="240" w:lineRule="exact"/>
              <w:jc w:val="left"/>
            </w:pPr>
            <w:r>
              <w:rPr>
                <w:rFonts w:hint="eastAsia" w:ascii="宋体" w:hAnsi="宋体"/>
                <w:bCs/>
                <w:snapToGrid w:val="0"/>
                <w:kern w:val="0"/>
                <w:sz w:val="18"/>
                <w:szCs w:val="18"/>
              </w:rPr>
              <w:t>各省级生态环境行政主管部门</w:t>
            </w:r>
          </w:p>
        </w:tc>
        <w:tc>
          <w:tcPr>
            <w:tcW w:w="1664" w:type="dxa"/>
            <w:vAlign w:val="center"/>
          </w:tcPr>
          <w:p>
            <w:pPr>
              <w:spacing w:line="240" w:lineRule="exact"/>
            </w:pPr>
            <w:r>
              <w:rPr>
                <w:rFonts w:hint="eastAsia" w:ascii="宋体" w:hAnsi="宋体"/>
                <w:bCs/>
                <w:snapToGrid w:val="0"/>
                <w:kern w:val="0"/>
                <w:sz w:val="18"/>
                <w:szCs w:val="18"/>
              </w:rPr>
              <w:t>本年度4月30日前</w:t>
            </w:r>
            <w:r>
              <w:rPr>
                <w:rFonts w:ascii="宋体" w:hAnsi="宋体"/>
                <w:bCs/>
                <w:snapToGrid w:val="0"/>
                <w:kern w:val="0"/>
                <w:sz w:val="18"/>
                <w:szCs w:val="18"/>
              </w:rPr>
              <w:t>网络</w:t>
            </w:r>
            <w:r>
              <w:rPr>
                <w:rFonts w:hint="eastAsia" w:ascii="宋体" w:hAnsi="宋体"/>
                <w:bCs/>
                <w:snapToGrid w:val="0"/>
                <w:kern w:val="0"/>
                <w:sz w:val="18"/>
                <w:szCs w:val="18"/>
              </w:rPr>
              <w:t>填</w:t>
            </w:r>
            <w:r>
              <w:rPr>
                <w:rFonts w:ascii="宋体" w:hAnsi="宋体"/>
                <w:bCs/>
                <w:snapToGrid w:val="0"/>
                <w:kern w:val="0"/>
                <w:sz w:val="18"/>
                <w:szCs w:val="18"/>
              </w:rPr>
              <w:t>报</w:t>
            </w:r>
          </w:p>
        </w:tc>
        <w:tc>
          <w:tcPr>
            <w:tcW w:w="485" w:type="dxa"/>
            <w:vAlign w:val="center"/>
          </w:tcPr>
          <w:p>
            <w:pPr>
              <w:widowControl/>
              <w:spacing w:line="240" w:lineRule="exact"/>
              <w:jc w:val="center"/>
              <w:rPr>
                <w:rFonts w:ascii="宋体" w:hAnsi="宋体"/>
                <w:bCs/>
                <w:spacing w:val="-6"/>
                <w:kern w:val="0"/>
                <w:sz w:val="18"/>
                <w:szCs w:val="18"/>
              </w:rPr>
            </w:pPr>
            <w:r>
              <w:rPr>
                <w:rFonts w:hint="eastAsia" w:ascii="宋体" w:hAnsi="宋体"/>
                <w:bCs/>
                <w:spacing w:val="-6"/>
                <w:kern w:val="0"/>
                <w:sz w:val="18"/>
                <w:szCs w:val="18"/>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1065" w:type="dxa"/>
            <w:vAlign w:val="center"/>
          </w:tcPr>
          <w:p>
            <w:pPr>
              <w:widowControl/>
              <w:spacing w:line="240" w:lineRule="exact"/>
              <w:rPr>
                <w:rFonts w:ascii="宋体" w:hAnsi="宋体"/>
                <w:bCs/>
                <w:spacing w:val="-6"/>
                <w:kern w:val="0"/>
                <w:sz w:val="18"/>
                <w:szCs w:val="18"/>
              </w:rPr>
            </w:pPr>
            <w:r>
              <w:rPr>
                <w:rFonts w:ascii="宋体" w:hAnsi="宋体"/>
                <w:bCs/>
                <w:spacing w:val="-6"/>
                <w:kern w:val="0"/>
                <w:sz w:val="18"/>
                <w:szCs w:val="18"/>
              </w:rPr>
              <w:t>环服基</w:t>
            </w:r>
            <w:r>
              <w:rPr>
                <w:rFonts w:hint="eastAsia" w:ascii="宋体" w:hAnsi="宋体"/>
                <w:sz w:val="18"/>
                <w:szCs w:val="18"/>
              </w:rPr>
              <w:t>4</w:t>
            </w:r>
            <w:r>
              <w:rPr>
                <w:rFonts w:ascii="宋体" w:hAnsi="宋体"/>
                <w:bCs/>
                <w:spacing w:val="-6"/>
                <w:kern w:val="0"/>
                <w:sz w:val="18"/>
                <w:szCs w:val="18"/>
              </w:rPr>
              <w:t>表</w:t>
            </w:r>
          </w:p>
        </w:tc>
        <w:tc>
          <w:tcPr>
            <w:tcW w:w="1575" w:type="dxa"/>
            <w:vAlign w:val="center"/>
          </w:tcPr>
          <w:p>
            <w:pPr>
              <w:widowControl/>
              <w:spacing w:line="240" w:lineRule="exact"/>
              <w:rPr>
                <w:rFonts w:ascii="宋体" w:hAnsi="宋体"/>
                <w:bCs/>
                <w:spacing w:val="-6"/>
                <w:kern w:val="0"/>
                <w:sz w:val="18"/>
                <w:szCs w:val="18"/>
              </w:rPr>
            </w:pPr>
            <w:r>
              <w:rPr>
                <w:rFonts w:ascii="宋体" w:hAnsi="宋体"/>
                <w:bCs/>
                <w:spacing w:val="-6"/>
                <w:kern w:val="0"/>
                <w:sz w:val="18"/>
                <w:szCs w:val="18"/>
              </w:rPr>
              <w:t>事业单位</w:t>
            </w:r>
            <w:r>
              <w:rPr>
                <w:rFonts w:hint="eastAsia" w:ascii="宋体" w:hAnsi="宋体"/>
                <w:bCs/>
                <w:spacing w:val="-6"/>
                <w:kern w:val="0"/>
                <w:sz w:val="18"/>
                <w:szCs w:val="18"/>
              </w:rPr>
              <w:t>财务状况</w:t>
            </w:r>
          </w:p>
        </w:tc>
        <w:tc>
          <w:tcPr>
            <w:tcW w:w="735" w:type="dxa"/>
            <w:vAlign w:val="center"/>
          </w:tcPr>
          <w:p>
            <w:pPr>
              <w:widowControl/>
              <w:spacing w:line="240" w:lineRule="exact"/>
              <w:jc w:val="center"/>
              <w:rPr>
                <w:rFonts w:ascii="宋体" w:hAnsi="宋体"/>
                <w:bCs/>
                <w:spacing w:val="-6"/>
                <w:kern w:val="0"/>
                <w:sz w:val="18"/>
                <w:szCs w:val="18"/>
              </w:rPr>
            </w:pPr>
            <w:r>
              <w:rPr>
                <w:rFonts w:ascii="宋体" w:hAnsi="宋体"/>
                <w:bCs/>
                <w:spacing w:val="-6"/>
                <w:kern w:val="0"/>
                <w:sz w:val="18"/>
                <w:szCs w:val="18"/>
              </w:rPr>
              <w:t>年报</w:t>
            </w:r>
          </w:p>
        </w:tc>
        <w:tc>
          <w:tcPr>
            <w:tcW w:w="1575" w:type="dxa"/>
            <w:vAlign w:val="center"/>
          </w:tcPr>
          <w:p>
            <w:pPr>
              <w:spacing w:line="240" w:lineRule="exact"/>
              <w:ind w:right="-82" w:rightChars="-39"/>
              <w:jc w:val="left"/>
              <w:rPr>
                <w:rFonts w:ascii="宋体" w:hAnsi="宋体"/>
                <w:bCs/>
                <w:spacing w:val="-6"/>
                <w:kern w:val="0"/>
                <w:sz w:val="18"/>
                <w:szCs w:val="18"/>
              </w:rPr>
            </w:pPr>
            <w:r>
              <w:rPr>
                <w:rFonts w:hint="eastAsia" w:ascii="宋体" w:hAnsi="宋体"/>
                <w:bCs/>
                <w:snapToGrid w:val="0"/>
                <w:kern w:val="0"/>
                <w:sz w:val="18"/>
                <w:szCs w:val="18"/>
              </w:rPr>
              <w:t>环境</w:t>
            </w:r>
            <w:r>
              <w:rPr>
                <w:rFonts w:ascii="宋体" w:hAnsi="宋体"/>
                <w:bCs/>
                <w:snapToGrid w:val="0"/>
                <w:kern w:val="0"/>
                <w:sz w:val="18"/>
                <w:szCs w:val="18"/>
              </w:rPr>
              <w:t>服务业</w:t>
            </w:r>
            <w:r>
              <w:rPr>
                <w:rFonts w:hint="eastAsia" w:ascii="宋体" w:hAnsi="宋体"/>
                <w:bCs/>
                <w:snapToGrid w:val="0"/>
                <w:kern w:val="0"/>
                <w:sz w:val="18"/>
                <w:szCs w:val="18"/>
              </w:rPr>
              <w:t>中执行事业单位会计制度的法人</w:t>
            </w:r>
            <w:r>
              <w:rPr>
                <w:rFonts w:ascii="宋体" w:hAnsi="宋体"/>
                <w:bCs/>
                <w:snapToGrid w:val="0"/>
                <w:kern w:val="0"/>
                <w:sz w:val="18"/>
                <w:szCs w:val="18"/>
              </w:rPr>
              <w:t>单位</w:t>
            </w:r>
          </w:p>
        </w:tc>
        <w:tc>
          <w:tcPr>
            <w:tcW w:w="1550" w:type="dxa"/>
            <w:vAlign w:val="center"/>
          </w:tcPr>
          <w:p>
            <w:pPr>
              <w:spacing w:line="240" w:lineRule="exact"/>
              <w:jc w:val="left"/>
            </w:pPr>
            <w:r>
              <w:rPr>
                <w:rFonts w:hint="eastAsia" w:ascii="宋体" w:hAnsi="宋体"/>
                <w:bCs/>
                <w:snapToGrid w:val="0"/>
                <w:kern w:val="0"/>
                <w:sz w:val="18"/>
                <w:szCs w:val="18"/>
              </w:rPr>
              <w:t>各省级生态环境行政主管部门</w:t>
            </w:r>
          </w:p>
        </w:tc>
        <w:tc>
          <w:tcPr>
            <w:tcW w:w="1664" w:type="dxa"/>
            <w:vAlign w:val="center"/>
          </w:tcPr>
          <w:p>
            <w:pPr>
              <w:spacing w:line="240" w:lineRule="exact"/>
            </w:pPr>
            <w:r>
              <w:rPr>
                <w:rFonts w:hint="eastAsia" w:ascii="宋体" w:hAnsi="宋体"/>
                <w:bCs/>
                <w:snapToGrid w:val="0"/>
                <w:kern w:val="0"/>
                <w:sz w:val="18"/>
                <w:szCs w:val="18"/>
              </w:rPr>
              <w:t>本年度4月30日前</w:t>
            </w:r>
            <w:r>
              <w:rPr>
                <w:rFonts w:ascii="宋体" w:hAnsi="宋体"/>
                <w:bCs/>
                <w:snapToGrid w:val="0"/>
                <w:kern w:val="0"/>
                <w:sz w:val="18"/>
                <w:szCs w:val="18"/>
              </w:rPr>
              <w:t>网络</w:t>
            </w:r>
            <w:r>
              <w:rPr>
                <w:rFonts w:hint="eastAsia" w:ascii="宋体" w:hAnsi="宋体"/>
                <w:bCs/>
                <w:snapToGrid w:val="0"/>
                <w:kern w:val="0"/>
                <w:sz w:val="18"/>
                <w:szCs w:val="18"/>
              </w:rPr>
              <w:t>填</w:t>
            </w:r>
            <w:r>
              <w:rPr>
                <w:rFonts w:ascii="宋体" w:hAnsi="宋体"/>
                <w:bCs/>
                <w:snapToGrid w:val="0"/>
                <w:kern w:val="0"/>
                <w:sz w:val="18"/>
                <w:szCs w:val="18"/>
              </w:rPr>
              <w:t>报</w:t>
            </w:r>
          </w:p>
        </w:tc>
        <w:tc>
          <w:tcPr>
            <w:tcW w:w="485" w:type="dxa"/>
            <w:vAlign w:val="center"/>
          </w:tcPr>
          <w:p>
            <w:pPr>
              <w:widowControl/>
              <w:spacing w:line="240" w:lineRule="exact"/>
              <w:jc w:val="center"/>
              <w:rPr>
                <w:rFonts w:ascii="宋体" w:hAnsi="宋体"/>
                <w:bCs/>
                <w:spacing w:val="-6"/>
                <w:kern w:val="0"/>
                <w:sz w:val="18"/>
                <w:szCs w:val="18"/>
              </w:rPr>
            </w:pPr>
            <w:r>
              <w:rPr>
                <w:rFonts w:hint="eastAsia" w:ascii="宋体" w:hAnsi="宋体"/>
                <w:bCs/>
                <w:spacing w:val="-6"/>
                <w:kern w:val="0"/>
                <w:sz w:val="18"/>
                <w:szCs w:val="18"/>
              </w:rPr>
              <w:t>10</w:t>
            </w:r>
          </w:p>
        </w:tc>
      </w:tr>
    </w:tbl>
    <w:p>
      <w:pPr>
        <w:ind w:firstLine="420" w:firstLineChars="200"/>
        <w:jc w:val="center"/>
        <w:rPr>
          <w:rFonts w:ascii="宋体" w:hAnsi="宋体"/>
          <w:szCs w:val="21"/>
        </w:rPr>
      </w:pPr>
    </w:p>
    <w:p>
      <w:pPr>
        <w:pStyle w:val="16"/>
        <w:pageBreakBefore/>
        <w:rPr>
          <w:rFonts w:ascii="黑体" w:hAnsi="黑体" w:eastAsia="黑体"/>
          <w:b w:val="0"/>
        </w:rPr>
      </w:pPr>
      <w:r>
        <w:rPr>
          <w:rFonts w:ascii="黑体" w:hAnsi="黑体" w:eastAsia="黑体"/>
          <w:b w:val="0"/>
        </w:rPr>
        <w:t>三、调查表式</w:t>
      </w:r>
    </w:p>
    <w:p>
      <w:pPr>
        <w:snapToGrid w:val="0"/>
        <w:spacing w:after="120" w:line="276" w:lineRule="auto"/>
        <w:jc w:val="center"/>
        <w:rPr>
          <w:rFonts w:ascii="宋体" w:hAnsi="宋体"/>
          <w:sz w:val="28"/>
          <w:szCs w:val="28"/>
        </w:rPr>
      </w:pPr>
    </w:p>
    <w:p>
      <w:pPr>
        <w:snapToGrid w:val="0"/>
        <w:spacing w:after="120"/>
        <w:jc w:val="center"/>
        <w:rPr>
          <w:rFonts w:ascii="宋体" w:hAnsi="宋体"/>
          <w:sz w:val="32"/>
          <w:szCs w:val="32"/>
        </w:rPr>
      </w:pPr>
      <w:r>
        <w:rPr>
          <w:rFonts w:hint="eastAsia" w:ascii="宋体" w:hAnsi="宋体"/>
          <w:sz w:val="32"/>
          <w:szCs w:val="32"/>
        </w:rPr>
        <w:t>法人单位</w:t>
      </w:r>
      <w:r>
        <w:rPr>
          <w:rFonts w:ascii="宋体" w:hAnsi="宋体"/>
          <w:sz w:val="32"/>
          <w:szCs w:val="32"/>
        </w:rPr>
        <w:t>基本情况</w:t>
      </w:r>
    </w:p>
    <w:bookmarkEnd w:id="0"/>
    <w:bookmarkEnd w:id="1"/>
    <w:bookmarkEnd w:id="2"/>
    <w:bookmarkEnd w:id="3"/>
    <w:p>
      <w:pPr>
        <w:rPr>
          <w:rFonts w:ascii="宋体" w:hAnsi="宋体"/>
        </w:rPr>
      </w:pPr>
      <w:r>
        <w:rPr>
          <w:rFonts w:ascii="黑体" w:hAnsi="黑体" w:eastAsia="黑体"/>
          <w:b/>
        </w:rPr>
        <w:pict>
          <v:shape id="_x0000_s1034" o:spid="_x0000_s1034" o:spt="202" type="#_x0000_t202" style="position:absolute;left:0pt;margin-left:331.55pt;margin-top:10.1pt;height:67pt;width:138.55pt;z-index:251662336;mso-width-relative:page;mso-height-relative:page;" filled="f" stroked="f" coordsize="21600,21600">
            <v:path/>
            <v:fill on="f" focussize="0,0"/>
            <v:stroke on="f" joinstyle="miter"/>
            <v:imagedata o:title=""/>
            <o:lock v:ext="edit"/>
            <v:textbox>
              <w:txbxContent>
                <w:p>
                  <w:pPr>
                    <w:adjustRightInd w:val="0"/>
                    <w:snapToGrid w:val="0"/>
                    <w:spacing w:line="240" w:lineRule="exact"/>
                    <w:rPr>
                      <w:rFonts w:ascii="宋体" w:hAnsi="宋体"/>
                      <w:color w:val="008080"/>
                      <w:sz w:val="18"/>
                    </w:rPr>
                  </w:pPr>
                  <w:r>
                    <w:rPr>
                      <w:rFonts w:hint="eastAsia" w:ascii="宋体" w:hAnsi="宋体"/>
                      <w:sz w:val="18"/>
                    </w:rPr>
                    <w:t>表    号：       环服基1表</w:t>
                  </w:r>
                </w:p>
                <w:p>
                  <w:pPr>
                    <w:adjustRightInd w:val="0"/>
                    <w:snapToGrid w:val="0"/>
                    <w:spacing w:line="240" w:lineRule="exact"/>
                    <w:rPr>
                      <w:rFonts w:ascii="宋体" w:hAnsi="宋体"/>
                      <w:sz w:val="18"/>
                    </w:rPr>
                  </w:pPr>
                  <w:r>
                    <w:rPr>
                      <w:rFonts w:hint="eastAsia" w:ascii="宋体" w:hAnsi="宋体"/>
                      <w:sz w:val="18"/>
                    </w:rPr>
                    <w:t>制定机关：       生态环境部</w:t>
                  </w:r>
                </w:p>
                <w:p>
                  <w:pPr>
                    <w:adjustRightInd w:val="0"/>
                    <w:snapToGrid w:val="0"/>
                    <w:spacing w:line="240" w:lineRule="exact"/>
                    <w:rPr>
                      <w:rFonts w:ascii="宋体" w:hAnsi="宋体"/>
                      <w:sz w:val="18"/>
                    </w:rPr>
                  </w:pPr>
                  <w:r>
                    <w:rPr>
                      <w:rFonts w:hint="eastAsia" w:ascii="宋体" w:hAnsi="宋体"/>
                      <w:sz w:val="18"/>
                    </w:rPr>
                    <w:t>批准机关：       国家统计局</w:t>
                  </w:r>
                </w:p>
                <w:p>
                  <w:pPr>
                    <w:adjustRightInd w:val="0"/>
                    <w:snapToGrid w:val="0"/>
                    <w:spacing w:line="240" w:lineRule="exact"/>
                    <w:rPr>
                      <w:rFonts w:ascii="宋体" w:hAnsi="宋体"/>
                      <w:sz w:val="18"/>
                    </w:rPr>
                  </w:pPr>
                  <w:r>
                    <w:rPr>
                      <w:rFonts w:hint="eastAsia" w:ascii="宋体" w:hAnsi="宋体"/>
                      <w:sz w:val="18"/>
                    </w:rPr>
                    <w:t>批准文号：</w:t>
                  </w:r>
                  <w:r>
                    <w:rPr>
                      <w:rFonts w:hint="eastAsia"/>
                      <w:sz w:val="18"/>
                    </w:rPr>
                    <w:t>国统制</w:t>
                  </w:r>
                  <w:r>
                    <w:rPr>
                      <w:rFonts w:hint="eastAsia" w:ascii="宋体" w:hAnsi="宋体"/>
                      <w:sz w:val="18"/>
                    </w:rPr>
                    <w:t>[2019]41</w:t>
                  </w:r>
                  <w:r>
                    <w:rPr>
                      <w:rFonts w:hint="eastAsia"/>
                      <w:sz w:val="18"/>
                    </w:rPr>
                    <w:t>号</w:t>
                  </w:r>
                </w:p>
                <w:p>
                  <w:pPr>
                    <w:adjustRightInd w:val="0"/>
                    <w:snapToGrid w:val="0"/>
                    <w:spacing w:line="240" w:lineRule="exact"/>
                  </w:pPr>
                  <w:r>
                    <w:rPr>
                      <w:rFonts w:hint="eastAsia" w:ascii="宋体" w:hAnsi="宋体"/>
                      <w:sz w:val="18"/>
                    </w:rPr>
                    <w:t>有效期至：      20</w:t>
                  </w:r>
                  <w:r>
                    <w:rPr>
                      <w:rFonts w:ascii="宋体" w:hAnsi="宋体"/>
                      <w:sz w:val="18"/>
                    </w:rPr>
                    <w:t>22</w:t>
                  </w:r>
                  <w:r>
                    <w:rPr>
                      <w:rFonts w:hint="eastAsia" w:ascii="宋体" w:hAnsi="宋体"/>
                      <w:sz w:val="18"/>
                    </w:rPr>
                    <w:t>年4月</w:t>
                  </w:r>
                </w:p>
              </w:txbxContent>
            </v:textbox>
          </v:shape>
        </w:pict>
      </w:r>
    </w:p>
    <w:p>
      <w:pPr>
        <w:rPr>
          <w:rFonts w:ascii="宋体" w:hAnsi="宋体"/>
        </w:rPr>
      </w:pPr>
    </w:p>
    <w:p>
      <w:pPr>
        <w:snapToGrid w:val="0"/>
        <w:spacing w:after="120" w:line="192" w:lineRule="auto"/>
        <w:rPr>
          <w:rFonts w:ascii="宋体" w:hAnsi="宋体"/>
        </w:rPr>
      </w:pPr>
    </w:p>
    <w:p>
      <w:pPr>
        <w:snapToGrid w:val="0"/>
        <w:spacing w:line="100" w:lineRule="atLeast"/>
        <w:rPr>
          <w:rFonts w:ascii="宋体" w:hAnsi="宋体"/>
        </w:rPr>
      </w:pPr>
    </w:p>
    <w:p>
      <w:pPr>
        <w:snapToGrid w:val="0"/>
        <w:rPr>
          <w:rFonts w:ascii="宋体" w:hAnsi="宋体"/>
          <w:sz w:val="18"/>
          <w:szCs w:val="18"/>
        </w:rPr>
      </w:pPr>
      <w:r>
        <w:rPr>
          <w:rFonts w:hint="eastAsia" w:ascii="宋体" w:hAnsi="宋体"/>
          <w:sz w:val="18"/>
          <w:szCs w:val="18"/>
        </w:rPr>
        <w:t>　　　　　　　　　　　　　　　　　　　　　　　２０　</w:t>
      </w:r>
      <w:r>
        <w:rPr>
          <w:rFonts w:ascii="宋体" w:hAnsi="宋体"/>
          <w:sz w:val="18"/>
          <w:szCs w:val="18"/>
        </w:rPr>
        <w:t>年</w:t>
      </w:r>
    </w:p>
    <w:tbl>
      <w:tblPr>
        <w:tblStyle w:val="17"/>
        <w:tblW w:w="5000"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08"/>
        <w:gridCol w:w="5241"/>
        <w:gridCol w:w="408"/>
        <w:gridCol w:w="357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01</w:t>
            </w:r>
          </w:p>
        </w:tc>
        <w:tc>
          <w:tcPr>
            <w:tcW w:w="2722" w:type="pct"/>
          </w:tcPr>
          <w:p>
            <w:pPr>
              <w:adjustRightInd w:val="0"/>
              <w:snapToGrid w:val="0"/>
              <w:spacing w:line="280" w:lineRule="exact"/>
              <w:jc w:val="left"/>
              <w:rPr>
                <w:rFonts w:ascii="宋体" w:hAnsi="宋体"/>
                <w:sz w:val="18"/>
                <w:szCs w:val="18"/>
              </w:rPr>
            </w:pPr>
            <w:r>
              <w:rPr>
                <w:rFonts w:hint="eastAsia" w:ascii="宋体" w:hAnsi="宋体"/>
                <w:sz w:val="18"/>
                <w:szCs w:val="18"/>
              </w:rPr>
              <w:t>统一社会信用代码</w:t>
            </w:r>
            <w:r>
              <w:rPr>
                <w:rFonts w:ascii="宋体" w:hAnsi="宋体"/>
                <w:sz w:val="18"/>
                <w:szCs w:val="18"/>
              </w:rPr>
              <w:t xml:space="preserve">  □□□□□□□□□□□□□□□□□□</w:t>
            </w:r>
          </w:p>
        </w:tc>
        <w:tc>
          <w:tcPr>
            <w:tcW w:w="212" w:type="pct"/>
            <w:vAlign w:val="center"/>
          </w:tcPr>
          <w:p>
            <w:pPr>
              <w:adjustRightInd w:val="0"/>
              <w:snapToGrid w:val="0"/>
              <w:spacing w:line="280" w:lineRule="exact"/>
              <w:rPr>
                <w:rFonts w:ascii="宋体" w:hAnsi="宋体"/>
                <w:sz w:val="18"/>
                <w:szCs w:val="18"/>
              </w:rPr>
            </w:pPr>
            <w:r>
              <w:rPr>
                <w:rFonts w:ascii="宋体" w:hAnsi="宋体"/>
                <w:sz w:val="18"/>
                <w:szCs w:val="18"/>
              </w:rPr>
              <w:t>02</w:t>
            </w:r>
          </w:p>
        </w:tc>
        <w:tc>
          <w:tcPr>
            <w:tcW w:w="1854" w:type="pct"/>
            <w:vAlign w:val="center"/>
          </w:tcPr>
          <w:p>
            <w:pPr>
              <w:adjustRightInd w:val="0"/>
              <w:snapToGrid w:val="0"/>
              <w:spacing w:line="280" w:lineRule="exact"/>
              <w:rPr>
                <w:rFonts w:ascii="宋体" w:hAnsi="宋体"/>
                <w:sz w:val="18"/>
                <w:szCs w:val="18"/>
              </w:rPr>
            </w:pPr>
            <w:r>
              <w:rPr>
                <w:rFonts w:hint="eastAsia" w:ascii="宋体" w:hAnsi="宋体"/>
                <w:sz w:val="18"/>
                <w:szCs w:val="18"/>
              </w:rPr>
              <w:t>单位</w:t>
            </w:r>
            <w:r>
              <w:rPr>
                <w:rFonts w:ascii="宋体" w:hAnsi="宋体"/>
                <w:sz w:val="18"/>
                <w:szCs w:val="18"/>
              </w:rPr>
              <w:t xml:space="preserve">名称（公章）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03</w:t>
            </w:r>
          </w:p>
        </w:tc>
        <w:tc>
          <w:tcPr>
            <w:tcW w:w="2722" w:type="pct"/>
          </w:tcPr>
          <w:p>
            <w:pPr>
              <w:adjustRightInd w:val="0"/>
              <w:snapToGrid w:val="0"/>
              <w:spacing w:line="280" w:lineRule="exact"/>
              <w:rPr>
                <w:rFonts w:ascii="宋体" w:hAnsi="宋体"/>
                <w:sz w:val="18"/>
                <w:szCs w:val="18"/>
              </w:rPr>
            </w:pPr>
            <w:r>
              <w:rPr>
                <w:rFonts w:ascii="宋体" w:hAnsi="宋体"/>
                <w:sz w:val="18"/>
                <w:szCs w:val="18"/>
              </w:rPr>
              <w:t>法定代表人（负责人）</w:t>
            </w:r>
          </w:p>
        </w:tc>
        <w:tc>
          <w:tcPr>
            <w:tcW w:w="212" w:type="pct"/>
          </w:tcPr>
          <w:p>
            <w:pPr>
              <w:adjustRightInd w:val="0"/>
              <w:snapToGrid w:val="0"/>
              <w:spacing w:line="280" w:lineRule="exact"/>
              <w:jc w:val="center"/>
              <w:rPr>
                <w:rFonts w:ascii="宋体" w:hAnsi="宋体"/>
                <w:sz w:val="18"/>
                <w:szCs w:val="18"/>
              </w:rPr>
            </w:pPr>
            <w:r>
              <w:rPr>
                <w:rFonts w:ascii="宋体" w:hAnsi="宋体"/>
                <w:sz w:val="18"/>
                <w:szCs w:val="18"/>
              </w:rPr>
              <w:t>04</w:t>
            </w:r>
          </w:p>
        </w:tc>
        <w:tc>
          <w:tcPr>
            <w:tcW w:w="1854" w:type="pct"/>
          </w:tcPr>
          <w:p>
            <w:pPr>
              <w:adjustRightInd w:val="0"/>
              <w:snapToGrid w:val="0"/>
              <w:spacing w:line="280" w:lineRule="exact"/>
              <w:rPr>
                <w:rFonts w:ascii="宋体" w:hAnsi="宋体"/>
                <w:sz w:val="18"/>
                <w:szCs w:val="18"/>
              </w:rPr>
            </w:pPr>
            <w:r>
              <w:rPr>
                <w:rFonts w:hint="eastAsia" w:ascii="宋体" w:hAnsi="宋体"/>
                <w:sz w:val="18"/>
                <w:szCs w:val="18"/>
              </w:rPr>
              <w:t>环境</w:t>
            </w:r>
            <w:r>
              <w:rPr>
                <w:rFonts w:ascii="宋体" w:hAnsi="宋体"/>
                <w:sz w:val="18"/>
                <w:szCs w:val="18"/>
              </w:rPr>
              <w:t>服务业从业起始年份   □□□□年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05</w:t>
            </w:r>
          </w:p>
        </w:tc>
        <w:tc>
          <w:tcPr>
            <w:tcW w:w="4788" w:type="pct"/>
            <w:gridSpan w:val="3"/>
          </w:tcPr>
          <w:p>
            <w:pPr>
              <w:adjustRightInd w:val="0"/>
              <w:snapToGrid w:val="0"/>
              <w:spacing w:line="280" w:lineRule="exact"/>
              <w:rPr>
                <w:rFonts w:ascii="宋体" w:hAnsi="宋体"/>
                <w:sz w:val="18"/>
                <w:szCs w:val="18"/>
              </w:rPr>
            </w:pPr>
            <w:r>
              <w:rPr>
                <w:rFonts w:hint="eastAsia" w:ascii="宋体" w:hAnsi="宋体"/>
                <w:sz w:val="18"/>
                <w:szCs w:val="18"/>
              </w:rPr>
              <w:t>单位</w:t>
            </w:r>
            <w:r>
              <w:rPr>
                <w:rFonts w:ascii="宋体" w:hAnsi="宋体"/>
                <w:sz w:val="18"/>
                <w:szCs w:val="18"/>
              </w:rPr>
              <w:t>注册地址   注册地行政区划代码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06</w:t>
            </w:r>
          </w:p>
        </w:tc>
        <w:tc>
          <w:tcPr>
            <w:tcW w:w="4788" w:type="pct"/>
            <w:gridSpan w:val="3"/>
          </w:tcPr>
          <w:p>
            <w:pPr>
              <w:adjustRightInd w:val="0"/>
              <w:snapToGrid w:val="0"/>
              <w:spacing w:line="280" w:lineRule="exact"/>
              <w:rPr>
                <w:rFonts w:ascii="宋体" w:hAnsi="宋体"/>
                <w:sz w:val="18"/>
                <w:szCs w:val="18"/>
              </w:rPr>
            </w:pPr>
            <w:r>
              <w:rPr>
                <w:rFonts w:ascii="宋体" w:hAnsi="宋体"/>
                <w:sz w:val="18"/>
                <w:szCs w:val="18"/>
              </w:rPr>
              <w:t>注册资本/注册资金（万元）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07</w:t>
            </w:r>
          </w:p>
        </w:tc>
        <w:tc>
          <w:tcPr>
            <w:tcW w:w="4788" w:type="pct"/>
            <w:gridSpan w:val="3"/>
          </w:tcPr>
          <w:p>
            <w:pPr>
              <w:adjustRightInd w:val="0"/>
              <w:snapToGrid w:val="0"/>
              <w:spacing w:line="280" w:lineRule="exact"/>
              <w:rPr>
                <w:rFonts w:ascii="宋体" w:hAnsi="宋体"/>
                <w:sz w:val="18"/>
                <w:szCs w:val="18"/>
              </w:rPr>
            </w:pPr>
            <w:r>
              <w:rPr>
                <w:rFonts w:hint="eastAsia" w:ascii="宋体" w:hAnsi="宋体"/>
                <w:sz w:val="18"/>
                <w:szCs w:val="18"/>
              </w:rPr>
              <w:t>单位</w:t>
            </w:r>
            <w:r>
              <w:rPr>
                <w:rFonts w:ascii="宋体" w:hAnsi="宋体"/>
                <w:sz w:val="18"/>
                <w:szCs w:val="18"/>
              </w:rPr>
              <w:t>实际所在地地址</w:t>
            </w:r>
            <w:r>
              <w:rPr>
                <w:rFonts w:hint="eastAsia" w:ascii="宋体" w:hAnsi="宋体"/>
                <w:sz w:val="18"/>
                <w:szCs w:val="18"/>
              </w:rPr>
              <w:t xml:space="preserve"> </w:t>
            </w:r>
            <w:r>
              <w:rPr>
                <w:rFonts w:ascii="宋体" w:hAnsi="宋体"/>
                <w:sz w:val="18"/>
                <w:szCs w:val="18"/>
              </w:rPr>
              <w:t xml:space="preserve">      所在地行政区划代码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47" w:hRule="atLeast"/>
          <w:jc w:val="center"/>
        </w:trPr>
        <w:tc>
          <w:tcPr>
            <w:tcW w:w="212" w:type="pct"/>
            <w:vMerge w:val="restar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8</w:t>
            </w:r>
          </w:p>
        </w:tc>
        <w:tc>
          <w:tcPr>
            <w:tcW w:w="2722" w:type="pct"/>
            <w:vMerge w:val="restart"/>
          </w:tcPr>
          <w:p>
            <w:pPr>
              <w:snapToGrid w:val="0"/>
              <w:spacing w:line="280" w:lineRule="exact"/>
              <w:rPr>
                <w:rFonts w:ascii="宋体" w:hAnsi="宋体"/>
                <w:sz w:val="18"/>
                <w:szCs w:val="18"/>
              </w:rPr>
            </w:pPr>
            <w:r>
              <w:rPr>
                <w:rFonts w:ascii="宋体" w:hAnsi="宋体"/>
                <w:sz w:val="18"/>
                <w:szCs w:val="18"/>
              </w:rPr>
              <w:t>联系方式</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3"/>
              <w:gridCol w:w="284"/>
              <w:gridCol w:w="283"/>
              <w:gridCol w:w="284"/>
              <w:gridCol w:w="283"/>
              <w:gridCol w:w="284"/>
              <w:gridCol w:w="236"/>
              <w:gridCol w:w="236"/>
              <w:gridCol w:w="224"/>
              <w:gridCol w:w="224"/>
              <w:gridCol w:w="224"/>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6"/>
                <w:wAfter w:w="1380" w:type="dxa"/>
                <w:trHeight w:val="265" w:hRule="atLeast"/>
              </w:trPr>
              <w:tc>
                <w:tcPr>
                  <w:tcW w:w="1183" w:type="dxa"/>
                </w:tcPr>
                <w:p>
                  <w:pPr>
                    <w:snapToGrid w:val="0"/>
                    <w:spacing w:line="280" w:lineRule="exact"/>
                    <w:rPr>
                      <w:rFonts w:ascii="宋体" w:hAnsi="宋体"/>
                      <w:sz w:val="18"/>
                      <w:szCs w:val="18"/>
                    </w:rPr>
                  </w:pPr>
                  <w:r>
                    <w:rPr>
                      <w:rFonts w:ascii="宋体" w:hAnsi="宋体"/>
                      <w:sz w:val="18"/>
                      <w:szCs w:val="18"/>
                    </w:rPr>
                    <w:t>长途区号</w:t>
                  </w: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684" w:type="dxa"/>
                <w:trHeight w:val="278" w:hRule="atLeast"/>
              </w:trPr>
              <w:tc>
                <w:tcPr>
                  <w:tcW w:w="1183" w:type="dxa"/>
                </w:tcPr>
                <w:p>
                  <w:pPr>
                    <w:snapToGrid w:val="0"/>
                    <w:spacing w:line="280" w:lineRule="exact"/>
                    <w:rPr>
                      <w:rFonts w:ascii="宋体" w:hAnsi="宋体"/>
                      <w:sz w:val="18"/>
                      <w:szCs w:val="18"/>
                    </w:rPr>
                  </w:pPr>
                  <w:r>
                    <w:rPr>
                      <w:rFonts w:ascii="宋体" w:hAnsi="宋体"/>
                      <w:sz w:val="18"/>
                      <w:szCs w:val="18"/>
                    </w:rPr>
                    <w:t>固定电话</w:t>
                  </w: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c>
                <w:tcPr>
                  <w:tcW w:w="224" w:type="dxa"/>
                </w:tcPr>
                <w:p>
                  <w:pPr>
                    <w:snapToGrid w:val="0"/>
                    <w:spacing w:line="280" w:lineRule="exac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5"/>
                <w:wAfter w:w="1144" w:type="dxa"/>
                <w:trHeight w:val="265" w:hRule="atLeast"/>
              </w:trPr>
              <w:tc>
                <w:tcPr>
                  <w:tcW w:w="1183" w:type="dxa"/>
                </w:tcPr>
                <w:p>
                  <w:pPr>
                    <w:snapToGrid w:val="0"/>
                    <w:spacing w:line="280" w:lineRule="exact"/>
                    <w:jc w:val="left"/>
                    <w:rPr>
                      <w:rFonts w:ascii="宋体" w:hAnsi="宋体"/>
                      <w:sz w:val="18"/>
                      <w:szCs w:val="18"/>
                    </w:rPr>
                  </w:pPr>
                  <w:r>
                    <w:rPr>
                      <w:rFonts w:ascii="宋体" w:hAnsi="宋体"/>
                      <w:sz w:val="18"/>
                      <w:szCs w:val="18"/>
                    </w:rPr>
                    <w:t>电话分机号</w:t>
                  </w: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1183" w:type="dxa"/>
                </w:tcPr>
                <w:p>
                  <w:pPr>
                    <w:snapToGrid w:val="0"/>
                    <w:spacing w:line="280" w:lineRule="exact"/>
                    <w:rPr>
                      <w:rFonts w:ascii="宋体" w:hAnsi="宋体"/>
                      <w:sz w:val="18"/>
                      <w:szCs w:val="18"/>
                    </w:rPr>
                  </w:pPr>
                  <w:r>
                    <w:rPr>
                      <w:rFonts w:ascii="宋体" w:hAnsi="宋体"/>
                      <w:sz w:val="18"/>
                      <w:szCs w:val="18"/>
                    </w:rPr>
                    <w:t>移动电话</w:t>
                  </w: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c>
                <w:tcPr>
                  <w:tcW w:w="224" w:type="dxa"/>
                </w:tcPr>
                <w:p>
                  <w:pPr>
                    <w:snapToGrid w:val="0"/>
                    <w:spacing w:line="280" w:lineRule="exact"/>
                    <w:rPr>
                      <w:rFonts w:ascii="宋体" w:hAnsi="宋体"/>
                      <w:sz w:val="18"/>
                      <w:szCs w:val="18"/>
                    </w:rPr>
                  </w:pPr>
                </w:p>
              </w:tc>
              <w:tc>
                <w:tcPr>
                  <w:tcW w:w="224" w:type="dxa"/>
                </w:tcPr>
                <w:p>
                  <w:pPr>
                    <w:snapToGrid w:val="0"/>
                    <w:spacing w:line="280" w:lineRule="exact"/>
                    <w:rPr>
                      <w:rFonts w:ascii="宋体" w:hAnsi="宋体"/>
                      <w:sz w:val="18"/>
                      <w:szCs w:val="18"/>
                    </w:rPr>
                  </w:pPr>
                </w:p>
              </w:tc>
              <w:tc>
                <w:tcPr>
                  <w:tcW w:w="224"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684" w:type="dxa"/>
                <w:trHeight w:val="278" w:hRule="atLeast"/>
              </w:trPr>
              <w:tc>
                <w:tcPr>
                  <w:tcW w:w="1183" w:type="dxa"/>
                </w:tcPr>
                <w:p>
                  <w:pPr>
                    <w:snapToGrid w:val="0"/>
                    <w:spacing w:line="280" w:lineRule="exact"/>
                    <w:rPr>
                      <w:rFonts w:ascii="宋体" w:hAnsi="宋体"/>
                      <w:sz w:val="18"/>
                      <w:szCs w:val="18"/>
                    </w:rPr>
                  </w:pPr>
                  <w:r>
                    <w:rPr>
                      <w:rFonts w:ascii="宋体" w:hAnsi="宋体"/>
                      <w:sz w:val="18"/>
                      <w:szCs w:val="18"/>
                    </w:rPr>
                    <w:t>传真号码</w:t>
                  </w: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c>
                <w:tcPr>
                  <w:tcW w:w="224" w:type="dxa"/>
                </w:tcPr>
                <w:p>
                  <w:pPr>
                    <w:snapToGrid w:val="0"/>
                    <w:spacing w:line="280" w:lineRule="exac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5"/>
                <w:wAfter w:w="1144" w:type="dxa"/>
                <w:trHeight w:val="265" w:hRule="atLeast"/>
              </w:trPr>
              <w:tc>
                <w:tcPr>
                  <w:tcW w:w="1183" w:type="dxa"/>
                </w:tcPr>
                <w:p>
                  <w:pPr>
                    <w:snapToGrid w:val="0"/>
                    <w:spacing w:line="280" w:lineRule="exact"/>
                    <w:rPr>
                      <w:rFonts w:ascii="宋体" w:hAnsi="宋体"/>
                      <w:sz w:val="18"/>
                      <w:szCs w:val="18"/>
                    </w:rPr>
                  </w:pPr>
                  <w:r>
                    <w:rPr>
                      <w:rFonts w:ascii="宋体" w:hAnsi="宋体"/>
                      <w:sz w:val="18"/>
                      <w:szCs w:val="18"/>
                    </w:rPr>
                    <w:t>传真分机号</w:t>
                  </w: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5"/>
                <w:wAfter w:w="1144" w:type="dxa"/>
                <w:trHeight w:val="278" w:hRule="atLeast"/>
              </w:trPr>
              <w:tc>
                <w:tcPr>
                  <w:tcW w:w="1183" w:type="dxa"/>
                </w:tcPr>
                <w:p>
                  <w:pPr>
                    <w:snapToGrid w:val="0"/>
                    <w:spacing w:line="280" w:lineRule="exact"/>
                    <w:rPr>
                      <w:rFonts w:ascii="宋体" w:hAnsi="宋体"/>
                      <w:sz w:val="18"/>
                      <w:szCs w:val="18"/>
                    </w:rPr>
                  </w:pPr>
                  <w:r>
                    <w:rPr>
                      <w:rFonts w:ascii="宋体" w:hAnsi="宋体"/>
                      <w:sz w:val="18"/>
                      <w:szCs w:val="18"/>
                    </w:rPr>
                    <w:t>邮政编码</w:t>
                  </w: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83" w:type="dxa"/>
                </w:tcPr>
                <w:p>
                  <w:pPr>
                    <w:snapToGrid w:val="0"/>
                    <w:spacing w:line="280" w:lineRule="exact"/>
                    <w:rPr>
                      <w:rFonts w:ascii="宋体" w:hAnsi="宋体"/>
                      <w:sz w:val="18"/>
                      <w:szCs w:val="18"/>
                    </w:rPr>
                  </w:pPr>
                </w:p>
              </w:tc>
              <w:tc>
                <w:tcPr>
                  <w:tcW w:w="284" w:type="dxa"/>
                </w:tcPr>
                <w:p>
                  <w:pPr>
                    <w:snapToGrid w:val="0"/>
                    <w:spacing w:line="280" w:lineRule="exact"/>
                    <w:rPr>
                      <w:rFonts w:ascii="宋体" w:hAnsi="宋体"/>
                      <w:sz w:val="18"/>
                      <w:szCs w:val="18"/>
                    </w:rPr>
                  </w:pPr>
                </w:p>
              </w:tc>
              <w:tc>
                <w:tcPr>
                  <w:tcW w:w="236" w:type="dxa"/>
                </w:tcPr>
                <w:p>
                  <w:pPr>
                    <w:snapToGrid w:val="0"/>
                    <w:spacing w:line="280" w:lineRule="exact"/>
                    <w:rPr>
                      <w:rFonts w:ascii="宋体" w:hAnsi="宋体"/>
                      <w:sz w:val="18"/>
                      <w:szCs w:val="18"/>
                    </w:rPr>
                  </w:pPr>
                </w:p>
              </w:tc>
            </w:tr>
          </w:tbl>
          <w:p>
            <w:pPr>
              <w:widowControl/>
              <w:spacing w:before="156" w:beforeLines="50" w:line="280" w:lineRule="exact"/>
              <w:jc w:val="left"/>
              <w:rPr>
                <w:rFonts w:ascii="宋体" w:hAnsi="宋体"/>
                <w:sz w:val="18"/>
                <w:szCs w:val="18"/>
              </w:rPr>
            </w:pPr>
            <w:r>
              <w:rPr>
                <w:rFonts w:ascii="宋体" w:hAnsi="宋体"/>
                <w:sz w:val="18"/>
                <w:szCs w:val="18"/>
              </w:rPr>
              <w:t xml:space="preserve">电子邮箱 </w:t>
            </w:r>
          </w:p>
          <w:p>
            <w:pPr>
              <w:snapToGrid w:val="0"/>
              <w:spacing w:before="156" w:beforeLines="50" w:line="280" w:lineRule="exact"/>
              <w:rPr>
                <w:rFonts w:ascii="宋体" w:hAnsi="宋体"/>
                <w:sz w:val="18"/>
                <w:szCs w:val="18"/>
              </w:rPr>
            </w:pPr>
            <w:r>
              <w:rPr>
                <w:rFonts w:ascii="宋体" w:hAnsi="宋体"/>
                <w:sz w:val="18"/>
                <w:szCs w:val="18"/>
              </w:rPr>
              <w:t xml:space="preserve">网址 </w:t>
            </w:r>
          </w:p>
        </w:tc>
        <w:tc>
          <w:tcPr>
            <w:tcW w:w="212" w:type="pct"/>
            <w:vAlign w:val="center"/>
          </w:tcPr>
          <w:p>
            <w:pPr>
              <w:snapToGrid w:val="0"/>
              <w:spacing w:line="280" w:lineRule="exact"/>
              <w:rPr>
                <w:rFonts w:ascii="宋体" w:hAnsi="宋体"/>
                <w:sz w:val="18"/>
                <w:szCs w:val="18"/>
              </w:rPr>
            </w:pPr>
            <w:r>
              <w:rPr>
                <w:rFonts w:hint="eastAsia" w:ascii="宋体" w:hAnsi="宋体"/>
                <w:sz w:val="18"/>
                <w:szCs w:val="18"/>
              </w:rPr>
              <w:t>09</w:t>
            </w:r>
          </w:p>
        </w:tc>
        <w:tc>
          <w:tcPr>
            <w:tcW w:w="1854" w:type="pct"/>
            <w:vAlign w:val="center"/>
          </w:tcPr>
          <w:p>
            <w:pPr>
              <w:adjustRightInd w:val="0"/>
              <w:snapToGrid w:val="0"/>
              <w:spacing w:line="280" w:lineRule="exact"/>
              <w:rPr>
                <w:rFonts w:ascii="宋体" w:hAnsi="宋体"/>
                <w:sz w:val="18"/>
                <w:szCs w:val="18"/>
              </w:rPr>
            </w:pPr>
            <w:r>
              <w:rPr>
                <w:rFonts w:hint="eastAsia" w:ascii="宋体" w:hAnsi="宋体"/>
                <w:sz w:val="18"/>
                <w:szCs w:val="18"/>
              </w:rPr>
              <w:t>主营业务</w:t>
            </w:r>
            <w:r>
              <w:rPr>
                <w:rFonts w:ascii="宋体" w:hAnsi="宋体"/>
                <w:sz w:val="18"/>
                <w:szCs w:val="18"/>
              </w:rPr>
              <w:t>行业</w:t>
            </w:r>
            <w:r>
              <w:rPr>
                <w:rFonts w:hint="eastAsia" w:ascii="宋体" w:hAnsi="宋体"/>
                <w:sz w:val="18"/>
                <w:szCs w:val="18"/>
              </w:rPr>
              <w:t xml:space="preserve">代码 </w:t>
            </w:r>
            <w:r>
              <w:rPr>
                <w:rFonts w:ascii="宋体" w:hAnsi="宋体"/>
                <w:sz w:val="18"/>
                <w:szCs w:val="18"/>
              </w:rPr>
              <w:t xml:space="preserve"> □□□□</w:t>
            </w:r>
          </w:p>
          <w:p>
            <w:pPr>
              <w:adjustRightInd w:val="0"/>
              <w:snapToGrid w:val="0"/>
              <w:spacing w:line="280" w:lineRule="exact"/>
              <w:rPr>
                <w:rFonts w:ascii="宋体" w:hAnsi="宋体"/>
                <w:sz w:val="18"/>
                <w:szCs w:val="18"/>
              </w:rPr>
            </w:pPr>
            <w:r>
              <w:rPr>
                <w:rFonts w:ascii="宋体" w:hAnsi="宋体"/>
                <w:sz w:val="18"/>
                <w:szCs w:val="18"/>
              </w:rPr>
              <w:t>行业名称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396" w:hRule="atLeast"/>
          <w:jc w:val="center"/>
        </w:trPr>
        <w:tc>
          <w:tcPr>
            <w:tcW w:w="212" w:type="pct"/>
            <w:vMerge w:val="continue"/>
            <w:vAlign w:val="center"/>
          </w:tcPr>
          <w:p>
            <w:pPr>
              <w:snapToGrid w:val="0"/>
              <w:spacing w:line="280" w:lineRule="exact"/>
              <w:jc w:val="center"/>
              <w:rPr>
                <w:rFonts w:ascii="宋体" w:hAnsi="宋体"/>
                <w:sz w:val="18"/>
                <w:szCs w:val="18"/>
              </w:rPr>
            </w:pPr>
          </w:p>
        </w:tc>
        <w:tc>
          <w:tcPr>
            <w:tcW w:w="2722" w:type="pct"/>
            <w:vMerge w:val="continue"/>
          </w:tcPr>
          <w:p>
            <w:pPr>
              <w:snapToGrid w:val="0"/>
              <w:spacing w:line="280" w:lineRule="exact"/>
              <w:rPr>
                <w:rFonts w:ascii="宋体" w:hAnsi="宋体"/>
                <w:sz w:val="18"/>
                <w:szCs w:val="18"/>
              </w:rPr>
            </w:pPr>
          </w:p>
        </w:tc>
        <w:tc>
          <w:tcPr>
            <w:tcW w:w="212" w:type="pct"/>
            <w:vAlign w:val="center"/>
          </w:tcPr>
          <w:p>
            <w:pPr>
              <w:snapToGrid w:val="0"/>
              <w:spacing w:line="280" w:lineRule="exact"/>
              <w:rPr>
                <w:rFonts w:ascii="宋体" w:hAnsi="宋体"/>
                <w:sz w:val="18"/>
                <w:szCs w:val="18"/>
                <w:highlight w:val="yellow"/>
              </w:rPr>
            </w:pPr>
            <w:r>
              <w:rPr>
                <w:rFonts w:ascii="宋体" w:hAnsi="宋体"/>
                <w:sz w:val="18"/>
                <w:szCs w:val="18"/>
              </w:rPr>
              <w:t>1</w:t>
            </w:r>
            <w:r>
              <w:rPr>
                <w:rFonts w:hint="eastAsia" w:ascii="宋体" w:hAnsi="宋体"/>
                <w:sz w:val="18"/>
                <w:szCs w:val="18"/>
              </w:rPr>
              <w:t>0</w:t>
            </w:r>
          </w:p>
        </w:tc>
        <w:tc>
          <w:tcPr>
            <w:tcW w:w="1854" w:type="pct"/>
          </w:tcPr>
          <w:p>
            <w:pPr>
              <w:snapToGrid w:val="0"/>
              <w:spacing w:line="280" w:lineRule="exact"/>
              <w:jc w:val="left"/>
              <w:rPr>
                <w:rFonts w:ascii="宋体" w:hAnsi="宋体"/>
                <w:sz w:val="18"/>
                <w:szCs w:val="18"/>
              </w:rPr>
            </w:pPr>
            <w:r>
              <w:rPr>
                <w:rFonts w:hint="eastAsia" w:ascii="宋体" w:hAnsi="宋体"/>
                <w:sz w:val="18"/>
                <w:szCs w:val="18"/>
              </w:rPr>
              <w:t>主要业务活动：</w:t>
            </w:r>
          </w:p>
          <w:p>
            <w:pPr>
              <w:snapToGrid w:val="0"/>
              <w:spacing w:line="280" w:lineRule="exact"/>
              <w:jc w:val="left"/>
              <w:rPr>
                <w:rFonts w:ascii="宋体" w:hAnsi="宋体"/>
                <w:sz w:val="18"/>
                <w:szCs w:val="18"/>
              </w:rPr>
            </w:pPr>
          </w:p>
          <w:p>
            <w:pPr>
              <w:snapToGrid w:val="0"/>
              <w:spacing w:line="280" w:lineRule="exact"/>
              <w:rPr>
                <w:rFonts w:ascii="宋体" w:hAnsi="宋体"/>
                <w:sz w:val="18"/>
                <w:szCs w:val="18"/>
              </w:rPr>
            </w:pPr>
            <w:r>
              <w:rPr>
                <w:rFonts w:hint="eastAsia" w:ascii="宋体" w:hAnsi="宋体"/>
                <w:sz w:val="18"/>
                <w:szCs w:val="18"/>
              </w:rPr>
              <w:t xml:space="preserve">1业务活动类别代码 </w:t>
            </w:r>
            <w:r>
              <w:rPr>
                <w:rFonts w:ascii="宋体" w:hAnsi="宋体"/>
                <w:sz w:val="18"/>
                <w:szCs w:val="18"/>
              </w:rPr>
              <w:t>□□□□</w:t>
            </w:r>
          </w:p>
          <w:p>
            <w:pPr>
              <w:snapToGrid w:val="0"/>
              <w:spacing w:line="280" w:lineRule="exact"/>
              <w:ind w:firstLine="90" w:firstLineChars="50"/>
              <w:rPr>
                <w:rFonts w:ascii="宋体" w:hAnsi="宋体"/>
                <w:sz w:val="18"/>
                <w:szCs w:val="18"/>
                <w:u w:val="single"/>
              </w:rPr>
            </w:pPr>
            <w:r>
              <w:rPr>
                <w:rFonts w:hint="eastAsia" w:ascii="宋体" w:hAnsi="宋体"/>
                <w:sz w:val="18"/>
                <w:szCs w:val="18"/>
              </w:rPr>
              <w:t>年收入万元</w:t>
            </w:r>
          </w:p>
          <w:p>
            <w:pPr>
              <w:snapToGrid w:val="0"/>
              <w:spacing w:line="280" w:lineRule="exact"/>
              <w:rPr>
                <w:rFonts w:ascii="宋体" w:hAnsi="宋体"/>
                <w:sz w:val="18"/>
                <w:szCs w:val="18"/>
              </w:rPr>
            </w:pPr>
            <w:r>
              <w:rPr>
                <w:rFonts w:hint="eastAsia" w:ascii="宋体" w:hAnsi="宋体"/>
                <w:sz w:val="18"/>
                <w:szCs w:val="18"/>
              </w:rPr>
              <w:t xml:space="preserve">2 业务活动类别代码 </w:t>
            </w:r>
            <w:r>
              <w:rPr>
                <w:rFonts w:ascii="宋体" w:hAnsi="宋体"/>
                <w:sz w:val="18"/>
                <w:szCs w:val="18"/>
              </w:rPr>
              <w:t>□□□□</w:t>
            </w:r>
          </w:p>
          <w:p>
            <w:pPr>
              <w:snapToGrid w:val="0"/>
              <w:spacing w:line="280" w:lineRule="exact"/>
              <w:ind w:firstLine="90" w:firstLineChars="50"/>
              <w:rPr>
                <w:rFonts w:ascii="宋体" w:hAnsi="宋体"/>
                <w:sz w:val="18"/>
                <w:szCs w:val="18"/>
                <w:u w:val="single"/>
              </w:rPr>
            </w:pPr>
            <w:r>
              <w:rPr>
                <w:rFonts w:hint="eastAsia" w:ascii="宋体" w:hAnsi="宋体"/>
                <w:sz w:val="18"/>
                <w:szCs w:val="18"/>
              </w:rPr>
              <w:t>年收入万元</w:t>
            </w:r>
          </w:p>
          <w:p>
            <w:pPr>
              <w:snapToGrid w:val="0"/>
              <w:spacing w:line="280" w:lineRule="exact"/>
              <w:rPr>
                <w:rFonts w:ascii="宋体" w:hAnsi="宋体"/>
                <w:sz w:val="18"/>
                <w:szCs w:val="18"/>
              </w:rPr>
            </w:pPr>
            <w:r>
              <w:rPr>
                <w:rFonts w:hint="eastAsia" w:ascii="宋体" w:hAnsi="宋体"/>
                <w:sz w:val="18"/>
                <w:szCs w:val="18"/>
              </w:rPr>
              <w:t xml:space="preserve">3 业务活动类别代码 </w:t>
            </w:r>
            <w:r>
              <w:rPr>
                <w:rFonts w:ascii="宋体" w:hAnsi="宋体"/>
                <w:sz w:val="18"/>
                <w:szCs w:val="18"/>
              </w:rPr>
              <w:t>□□□□</w:t>
            </w:r>
          </w:p>
          <w:p>
            <w:pPr>
              <w:snapToGrid w:val="0"/>
              <w:spacing w:line="280" w:lineRule="exact"/>
              <w:ind w:firstLine="90" w:firstLineChars="50"/>
              <w:rPr>
                <w:rFonts w:ascii="宋体" w:hAnsi="宋体"/>
                <w:sz w:val="18"/>
                <w:szCs w:val="18"/>
                <w:highlight w:val="yellow"/>
              </w:rPr>
            </w:pPr>
            <w:r>
              <w:rPr>
                <w:rFonts w:hint="eastAsia" w:ascii="宋体" w:hAnsi="宋体"/>
                <w:sz w:val="18"/>
                <w:szCs w:val="18"/>
              </w:rPr>
              <w:t>年收入万元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1</w:t>
            </w:r>
          </w:p>
        </w:tc>
        <w:tc>
          <w:tcPr>
            <w:tcW w:w="4788" w:type="pct"/>
            <w:gridSpan w:val="3"/>
          </w:tcPr>
          <w:p>
            <w:pPr>
              <w:widowControl/>
              <w:spacing w:line="280" w:lineRule="exact"/>
              <w:jc w:val="left"/>
              <w:rPr>
                <w:rFonts w:ascii="宋体" w:hAnsi="宋体"/>
                <w:sz w:val="18"/>
                <w:szCs w:val="18"/>
              </w:rPr>
            </w:pPr>
            <w:r>
              <w:rPr>
                <w:rFonts w:hint="eastAsia" w:ascii="宋体" w:hAnsi="宋体"/>
                <w:sz w:val="18"/>
                <w:szCs w:val="18"/>
              </w:rPr>
              <w:t xml:space="preserve">从业人员期末人数 </w:t>
            </w:r>
            <w:r>
              <w:rPr>
                <w:rFonts w:ascii="宋体" w:hAnsi="宋体"/>
                <w:sz w:val="18"/>
                <w:szCs w:val="18"/>
              </w:rPr>
              <w:t xml:space="preserve">    </w:t>
            </w:r>
            <w:r>
              <w:rPr>
                <w:rFonts w:hint="eastAsia" w:ascii="宋体" w:hAnsi="宋体"/>
                <w:sz w:val="18"/>
                <w:szCs w:val="18"/>
              </w:rPr>
              <w:t>人</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55"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2</w:t>
            </w:r>
          </w:p>
        </w:tc>
        <w:tc>
          <w:tcPr>
            <w:tcW w:w="4788" w:type="pct"/>
            <w:gridSpan w:val="3"/>
          </w:tcPr>
          <w:p>
            <w:pPr>
              <w:widowControl/>
              <w:adjustRightInd w:val="0"/>
              <w:snapToGrid w:val="0"/>
              <w:spacing w:line="280" w:lineRule="exact"/>
              <w:jc w:val="left"/>
              <w:rPr>
                <w:rFonts w:ascii="宋体" w:hAnsi="宋体"/>
                <w:sz w:val="18"/>
                <w:szCs w:val="18"/>
              </w:rPr>
            </w:pPr>
            <w:r>
              <w:rPr>
                <w:rFonts w:ascii="宋体" w:hAnsi="宋体"/>
                <w:sz w:val="18"/>
                <w:szCs w:val="18"/>
              </w:rPr>
              <w:t xml:space="preserve">机构类型  □□ </w:t>
            </w:r>
          </w:p>
          <w:p>
            <w:pPr>
              <w:widowControl/>
              <w:adjustRightInd w:val="0"/>
              <w:snapToGrid w:val="0"/>
              <w:spacing w:line="280" w:lineRule="exact"/>
              <w:jc w:val="left"/>
              <w:rPr>
                <w:rFonts w:ascii="宋体" w:hAnsi="宋体"/>
                <w:sz w:val="18"/>
                <w:szCs w:val="18"/>
              </w:rPr>
            </w:pPr>
            <w:r>
              <w:rPr>
                <w:rFonts w:ascii="宋体" w:hAnsi="宋体"/>
                <w:sz w:val="18"/>
                <w:szCs w:val="18"/>
              </w:rPr>
              <w:t xml:space="preserve">10 企业   20 事业单位   </w:t>
            </w:r>
            <w:r>
              <w:rPr>
                <w:rFonts w:hint="eastAsia" w:ascii="宋体" w:hAnsi="宋体"/>
                <w:sz w:val="18"/>
                <w:szCs w:val="18"/>
              </w:rPr>
              <w:t>30机关</w:t>
            </w:r>
            <w:r>
              <w:rPr>
                <w:rFonts w:ascii="宋体" w:hAnsi="宋体"/>
                <w:sz w:val="18"/>
                <w:szCs w:val="18"/>
              </w:rPr>
              <w:t>40 社会团体   51 民办非企业单位   52 基金会   90 其他组织机构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55"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3</w:t>
            </w:r>
          </w:p>
        </w:tc>
        <w:tc>
          <w:tcPr>
            <w:tcW w:w="4788" w:type="pct"/>
            <w:gridSpan w:val="3"/>
          </w:tcPr>
          <w:p>
            <w:pPr>
              <w:widowControl/>
              <w:adjustRightInd w:val="0"/>
              <w:snapToGrid w:val="0"/>
              <w:spacing w:line="280" w:lineRule="exact"/>
              <w:jc w:val="left"/>
              <w:rPr>
                <w:rFonts w:ascii="宋体" w:hAnsi="宋体"/>
                <w:sz w:val="18"/>
                <w:szCs w:val="18"/>
              </w:rPr>
            </w:pPr>
            <w:r>
              <w:rPr>
                <w:rFonts w:ascii="宋体" w:hAnsi="宋体"/>
                <w:sz w:val="18"/>
                <w:szCs w:val="18"/>
              </w:rPr>
              <w:t>执行会计制度类别  □</w:t>
            </w:r>
          </w:p>
          <w:p>
            <w:pPr>
              <w:widowControl/>
              <w:adjustRightInd w:val="0"/>
              <w:snapToGrid w:val="0"/>
              <w:spacing w:line="280" w:lineRule="exact"/>
              <w:jc w:val="left"/>
              <w:rPr>
                <w:rFonts w:ascii="宋体" w:hAnsi="宋体"/>
                <w:sz w:val="18"/>
                <w:szCs w:val="18"/>
              </w:rPr>
            </w:pPr>
            <w:r>
              <w:rPr>
                <w:rFonts w:ascii="宋体" w:hAnsi="宋体"/>
                <w:sz w:val="18"/>
                <w:szCs w:val="18"/>
              </w:rPr>
              <w:t xml:space="preserve">1企业会计制度       </w:t>
            </w:r>
            <w:r>
              <w:rPr>
                <w:rFonts w:hint="eastAsia" w:ascii="宋体" w:hAnsi="宋体"/>
                <w:sz w:val="18"/>
                <w:szCs w:val="18"/>
              </w:rPr>
              <w:t>2行政单位会计制度3</w:t>
            </w:r>
            <w:r>
              <w:rPr>
                <w:rFonts w:ascii="宋体" w:hAnsi="宋体"/>
                <w:sz w:val="18"/>
                <w:szCs w:val="18"/>
              </w:rPr>
              <w:t>事业单位会计制度</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4</w:t>
            </w:r>
          </w:p>
        </w:tc>
        <w:tc>
          <w:tcPr>
            <w:tcW w:w="4788" w:type="pct"/>
            <w:gridSpan w:val="3"/>
          </w:tcPr>
          <w:p>
            <w:pPr>
              <w:widowControl/>
              <w:adjustRightInd w:val="0"/>
              <w:snapToGrid w:val="0"/>
              <w:spacing w:line="280" w:lineRule="exact"/>
              <w:jc w:val="left"/>
              <w:rPr>
                <w:rFonts w:ascii="宋体" w:hAnsi="宋体"/>
                <w:sz w:val="18"/>
                <w:szCs w:val="18"/>
              </w:rPr>
            </w:pPr>
            <w:r>
              <w:rPr>
                <w:rFonts w:ascii="宋体" w:hAnsi="宋体"/>
                <w:sz w:val="18"/>
                <w:szCs w:val="18"/>
              </w:rPr>
              <w:t>企业登记注册类型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5" w:hRule="atLeast"/>
          <w:jc w:val="center"/>
        </w:trPr>
        <w:tc>
          <w:tcPr>
            <w:tcW w:w="212" w:type="pct"/>
            <w:vAlign w:val="center"/>
          </w:tcPr>
          <w:p>
            <w:pPr>
              <w:adjustRightInd w:val="0"/>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5</w:t>
            </w:r>
          </w:p>
        </w:tc>
        <w:tc>
          <w:tcPr>
            <w:tcW w:w="4788" w:type="pct"/>
            <w:gridSpan w:val="3"/>
          </w:tcPr>
          <w:p>
            <w:pPr>
              <w:widowControl/>
              <w:adjustRightInd w:val="0"/>
              <w:snapToGrid w:val="0"/>
              <w:spacing w:line="280" w:lineRule="exact"/>
              <w:jc w:val="left"/>
              <w:rPr>
                <w:rFonts w:ascii="宋体" w:hAnsi="宋体"/>
                <w:sz w:val="18"/>
                <w:szCs w:val="18"/>
              </w:rPr>
            </w:pPr>
            <w:r>
              <w:rPr>
                <w:rFonts w:ascii="宋体" w:hAnsi="宋体"/>
                <w:sz w:val="18"/>
                <w:szCs w:val="18"/>
              </w:rPr>
              <w:t>企业控股情况  □   1 国有控股  2 集体控股  3 私人控股  4 港澳台商控股  5 外商控股  6 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41" w:hRule="atLeast"/>
          <w:jc w:val="center"/>
        </w:trPr>
        <w:tc>
          <w:tcPr>
            <w:tcW w:w="212" w:type="pct"/>
            <w:vAlign w:val="center"/>
          </w:tcPr>
          <w:p>
            <w:pPr>
              <w:adjustRightInd w:val="0"/>
              <w:snapToGrid w:val="0"/>
              <w:spacing w:line="280" w:lineRule="exact"/>
              <w:jc w:val="center"/>
              <w:rPr>
                <w:rFonts w:ascii="宋体" w:hAnsi="宋体"/>
                <w:sz w:val="18"/>
                <w:szCs w:val="18"/>
              </w:rPr>
            </w:pPr>
            <w:r>
              <w:rPr>
                <w:rFonts w:hint="eastAsia" w:ascii="宋体" w:hAnsi="宋体"/>
                <w:sz w:val="18"/>
                <w:szCs w:val="18"/>
              </w:rPr>
              <w:t>16</w:t>
            </w:r>
          </w:p>
        </w:tc>
        <w:tc>
          <w:tcPr>
            <w:tcW w:w="4788" w:type="pct"/>
            <w:gridSpan w:val="3"/>
          </w:tcPr>
          <w:p>
            <w:pPr>
              <w:adjustRightInd w:val="0"/>
              <w:snapToGrid w:val="0"/>
              <w:spacing w:line="280" w:lineRule="exact"/>
              <w:rPr>
                <w:rFonts w:ascii="宋体" w:hAnsi="宋体"/>
                <w:sz w:val="18"/>
                <w:szCs w:val="18"/>
              </w:rPr>
            </w:pPr>
            <w:r>
              <w:rPr>
                <w:rFonts w:ascii="宋体" w:hAnsi="宋体"/>
                <w:sz w:val="18"/>
                <w:szCs w:val="18"/>
              </w:rPr>
              <w:t>服务类别    □（可多选）</w:t>
            </w:r>
          </w:p>
          <w:p>
            <w:pPr>
              <w:widowControl/>
              <w:adjustRightInd w:val="0"/>
              <w:snapToGrid w:val="0"/>
              <w:spacing w:line="280" w:lineRule="exact"/>
              <w:jc w:val="left"/>
              <w:rPr>
                <w:rFonts w:ascii="宋体" w:hAnsi="宋体"/>
                <w:sz w:val="18"/>
                <w:szCs w:val="18"/>
              </w:rPr>
            </w:pPr>
            <w:r>
              <w:rPr>
                <w:rFonts w:ascii="宋体" w:hAnsi="宋体"/>
                <w:sz w:val="18"/>
                <w:szCs w:val="18"/>
              </w:rPr>
              <w:t>1环境</w:t>
            </w:r>
            <w:r>
              <w:rPr>
                <w:rFonts w:hint="eastAsia" w:ascii="宋体" w:hAnsi="宋体"/>
                <w:sz w:val="18"/>
                <w:szCs w:val="18"/>
              </w:rPr>
              <w:t>与生态</w:t>
            </w:r>
            <w:r>
              <w:rPr>
                <w:rFonts w:ascii="宋体" w:hAnsi="宋体"/>
                <w:sz w:val="18"/>
                <w:szCs w:val="18"/>
              </w:rPr>
              <w:t>监测</w:t>
            </w:r>
            <w:r>
              <w:rPr>
                <w:rFonts w:hint="eastAsia" w:ascii="宋体" w:hAnsi="宋体"/>
                <w:sz w:val="18"/>
                <w:szCs w:val="18"/>
              </w:rPr>
              <w:t xml:space="preserve">检测 </w:t>
            </w:r>
            <w:r>
              <w:rPr>
                <w:rFonts w:ascii="宋体" w:hAnsi="宋体"/>
                <w:sz w:val="18"/>
                <w:szCs w:val="18"/>
              </w:rPr>
              <w:t xml:space="preserve"> 2</w:t>
            </w:r>
            <w:r>
              <w:rPr>
                <w:rFonts w:hint="eastAsia" w:ascii="宋体" w:hAnsi="宋体"/>
                <w:sz w:val="18"/>
                <w:szCs w:val="18"/>
              </w:rPr>
              <w:t xml:space="preserve">生态保护 </w:t>
            </w:r>
            <w:r>
              <w:rPr>
                <w:rFonts w:ascii="宋体" w:hAnsi="宋体"/>
                <w:sz w:val="18"/>
                <w:szCs w:val="18"/>
              </w:rPr>
              <w:t xml:space="preserve"> 3</w:t>
            </w:r>
            <w:r>
              <w:rPr>
                <w:rFonts w:hint="eastAsia" w:ascii="宋体" w:hAnsi="宋体"/>
                <w:sz w:val="18"/>
                <w:szCs w:val="18"/>
              </w:rPr>
              <w:t>环境治理</w:t>
            </w:r>
          </w:p>
        </w:tc>
      </w:tr>
    </w:tbl>
    <w:p>
      <w:pPr>
        <w:snapToGrid w:val="0"/>
        <w:spacing w:line="240" w:lineRule="exact"/>
        <w:rPr>
          <w:rFonts w:ascii="宋体" w:hAnsi="宋体"/>
          <w:sz w:val="18"/>
          <w:szCs w:val="18"/>
        </w:rPr>
      </w:pPr>
      <w:r>
        <w:rPr>
          <w:rFonts w:ascii="宋体" w:hAnsi="宋体"/>
          <w:sz w:val="18"/>
          <w:szCs w:val="18"/>
        </w:rPr>
        <w:t>单位负责人：</w:t>
      </w:r>
      <w:r>
        <w:rPr>
          <w:rFonts w:ascii="宋体" w:hAnsi="宋体"/>
          <w:sz w:val="18"/>
          <w:szCs w:val="18"/>
        </w:rPr>
        <w:tab/>
      </w:r>
      <w:r>
        <w:rPr>
          <w:rFonts w:ascii="宋体" w:hAnsi="宋体"/>
          <w:sz w:val="18"/>
          <w:szCs w:val="18"/>
        </w:rPr>
        <w:tab/>
      </w:r>
      <w:r>
        <w:rPr>
          <w:rFonts w:ascii="宋体" w:hAnsi="宋体"/>
          <w:sz w:val="18"/>
          <w:szCs w:val="18"/>
        </w:rPr>
        <w:t xml:space="preserve">  统计负责人：</w:t>
      </w:r>
      <w:r>
        <w:rPr>
          <w:rFonts w:ascii="宋体" w:hAnsi="宋体"/>
          <w:sz w:val="18"/>
          <w:szCs w:val="18"/>
        </w:rPr>
        <w:tab/>
      </w:r>
      <w:r>
        <w:rPr>
          <w:rFonts w:ascii="宋体" w:hAnsi="宋体"/>
          <w:sz w:val="18"/>
          <w:szCs w:val="18"/>
        </w:rPr>
        <w:tab/>
      </w:r>
      <w:r>
        <w:rPr>
          <w:rFonts w:ascii="宋体" w:hAnsi="宋体"/>
          <w:sz w:val="18"/>
          <w:szCs w:val="18"/>
        </w:rPr>
        <w:t xml:space="preserve"> 填表人：    </w:t>
      </w:r>
      <w:r>
        <w:rPr>
          <w:rFonts w:ascii="宋体" w:hAnsi="宋体"/>
          <w:sz w:val="18"/>
          <w:szCs w:val="18"/>
        </w:rPr>
        <w:tab/>
      </w:r>
      <w:r>
        <w:rPr>
          <w:rFonts w:ascii="宋体" w:hAnsi="宋体"/>
          <w:sz w:val="18"/>
          <w:szCs w:val="18"/>
        </w:rPr>
        <w:tab/>
      </w:r>
      <w:r>
        <w:rPr>
          <w:rFonts w:hint="eastAsia" w:ascii="宋体" w:hAnsi="宋体"/>
          <w:sz w:val="18"/>
          <w:szCs w:val="18"/>
        </w:rPr>
        <w:t>联系电话:</w:t>
      </w:r>
      <w:r>
        <w:rPr>
          <w:rFonts w:ascii="宋体" w:hAnsi="宋体"/>
          <w:sz w:val="18"/>
          <w:szCs w:val="18"/>
        </w:rPr>
        <w:t>报出日期：20  年  月  日</w:t>
      </w:r>
    </w:p>
    <w:p>
      <w:pPr>
        <w:snapToGrid w:val="0"/>
        <w:ind w:firstLine="540" w:firstLineChars="300"/>
        <w:jc w:val="left"/>
        <w:rPr>
          <w:rFonts w:ascii="宋体" w:hAnsi="宋体"/>
          <w:sz w:val="18"/>
          <w:szCs w:val="18"/>
        </w:rPr>
      </w:pPr>
    </w:p>
    <w:p>
      <w:pPr>
        <w:snapToGrid w:val="0"/>
        <w:spacing w:line="280" w:lineRule="exact"/>
        <w:jc w:val="left"/>
        <w:rPr>
          <w:rFonts w:ascii="宋体" w:hAnsi="宋体"/>
          <w:sz w:val="18"/>
          <w:szCs w:val="18"/>
        </w:rPr>
      </w:pPr>
      <w:r>
        <w:rPr>
          <w:rFonts w:ascii="宋体" w:hAnsi="宋体"/>
          <w:sz w:val="18"/>
          <w:szCs w:val="18"/>
        </w:rPr>
        <w:t>说明：1</w:t>
      </w:r>
      <w:r>
        <w:rPr>
          <w:rFonts w:ascii="宋体" w:hAnsi="宋体"/>
          <w:sz w:val="18"/>
        </w:rPr>
        <w:t>.凡列入本</w:t>
      </w:r>
      <w:r>
        <w:rPr>
          <w:rFonts w:hint="eastAsia" w:ascii="宋体" w:hAnsi="宋体"/>
          <w:sz w:val="18"/>
        </w:rPr>
        <w:t>制度</w:t>
      </w:r>
      <w:r>
        <w:rPr>
          <w:rFonts w:ascii="宋体" w:hAnsi="宋体"/>
          <w:sz w:val="18"/>
        </w:rPr>
        <w:t>调查范围的</w:t>
      </w:r>
      <w:r>
        <w:rPr>
          <w:rFonts w:ascii="宋体" w:hAnsi="宋体"/>
          <w:sz w:val="18"/>
          <w:szCs w:val="18"/>
        </w:rPr>
        <w:t>法人单位均须填报本表。</w:t>
      </w:r>
    </w:p>
    <w:p>
      <w:pPr>
        <w:pStyle w:val="7"/>
        <w:snapToGrid w:val="0"/>
        <w:spacing w:after="0" w:line="280" w:lineRule="exact"/>
        <w:ind w:firstLine="540" w:firstLineChars="300"/>
      </w:pPr>
      <w:r>
        <w:rPr>
          <w:rFonts w:ascii="宋体" w:hAnsi="宋体"/>
          <w:sz w:val="18"/>
          <w:szCs w:val="18"/>
        </w:rPr>
        <w:t>2.</w:t>
      </w:r>
      <w:r>
        <w:rPr>
          <w:rFonts w:hint="eastAsia" w:ascii="宋体" w:hAnsi="宋体"/>
          <w:sz w:val="18"/>
          <w:szCs w:val="18"/>
        </w:rPr>
        <w:t>本</w:t>
      </w:r>
      <w:r>
        <w:rPr>
          <w:rFonts w:ascii="宋体" w:hAnsi="宋体"/>
          <w:sz w:val="18"/>
          <w:szCs w:val="18"/>
        </w:rPr>
        <w:t>表内选项除注明“可多选”外，均为单一选项。</w:t>
      </w:r>
      <w:r>
        <w:br w:type="page"/>
      </w:r>
    </w:p>
    <w:p>
      <w:pPr>
        <w:snapToGrid w:val="0"/>
        <w:spacing w:after="120"/>
        <w:jc w:val="center"/>
        <w:rPr>
          <w:rFonts w:ascii="宋体" w:hAnsi="宋体"/>
          <w:sz w:val="32"/>
          <w:szCs w:val="32"/>
        </w:rPr>
      </w:pPr>
      <w:r>
        <w:rPr>
          <w:rFonts w:hint="eastAsia" w:ascii="宋体" w:hAnsi="宋体"/>
          <w:sz w:val="32"/>
          <w:szCs w:val="32"/>
        </w:rPr>
        <w:t>企业财务状况</w:t>
      </w:r>
    </w:p>
    <w:p>
      <w:pPr>
        <w:snapToGrid w:val="0"/>
        <w:spacing w:after="120" w:line="120" w:lineRule="auto"/>
        <w:rPr>
          <w:rFonts w:ascii="宋体" w:hAnsi="宋体"/>
          <w:sz w:val="18"/>
          <w:szCs w:val="18"/>
        </w:rPr>
      </w:pPr>
      <w:r>
        <w:rPr>
          <w:rFonts w:ascii="宋体" w:hAnsi="宋体"/>
          <w:sz w:val="32"/>
          <w:szCs w:val="32"/>
        </w:rPr>
        <w:pict>
          <v:shape id="_x0000_s1033" o:spid="_x0000_s1033" o:spt="202" type="#_x0000_t202" style="position:absolute;left:0pt;margin-left:337.75pt;margin-top:9.95pt;height:67pt;width:138.55pt;z-index:251661312;mso-width-relative:page;mso-height-relative:page;" filled="f" stroked="f" coordsize="21600,21600">
            <v:path/>
            <v:fill on="f" focussize="0,0"/>
            <v:stroke on="f" joinstyle="miter"/>
            <v:imagedata o:title=""/>
            <o:lock v:ext="edit"/>
            <v:textbox>
              <w:txbxContent>
                <w:p>
                  <w:pPr>
                    <w:adjustRightInd w:val="0"/>
                    <w:snapToGrid w:val="0"/>
                    <w:spacing w:line="240" w:lineRule="exact"/>
                    <w:rPr>
                      <w:rFonts w:ascii="宋体" w:hAnsi="宋体"/>
                      <w:color w:val="008080"/>
                      <w:sz w:val="18"/>
                    </w:rPr>
                  </w:pPr>
                  <w:r>
                    <w:rPr>
                      <w:rFonts w:hint="eastAsia" w:ascii="宋体" w:hAnsi="宋体"/>
                      <w:sz w:val="18"/>
                    </w:rPr>
                    <w:t>表    号：       环服基2表</w:t>
                  </w:r>
                </w:p>
                <w:p>
                  <w:pPr>
                    <w:adjustRightInd w:val="0"/>
                    <w:snapToGrid w:val="0"/>
                    <w:spacing w:line="240" w:lineRule="exact"/>
                    <w:rPr>
                      <w:rFonts w:ascii="宋体" w:hAnsi="宋体"/>
                      <w:sz w:val="18"/>
                    </w:rPr>
                  </w:pPr>
                  <w:r>
                    <w:rPr>
                      <w:rFonts w:hint="eastAsia" w:ascii="宋体" w:hAnsi="宋体"/>
                      <w:sz w:val="18"/>
                    </w:rPr>
                    <w:t>制定机关：       生态环境部</w:t>
                  </w:r>
                </w:p>
                <w:p>
                  <w:pPr>
                    <w:adjustRightInd w:val="0"/>
                    <w:snapToGrid w:val="0"/>
                    <w:spacing w:line="240" w:lineRule="exact"/>
                    <w:rPr>
                      <w:rFonts w:ascii="宋体" w:hAnsi="宋体"/>
                      <w:sz w:val="18"/>
                    </w:rPr>
                  </w:pPr>
                  <w:r>
                    <w:rPr>
                      <w:rFonts w:hint="eastAsia" w:ascii="宋体" w:hAnsi="宋体"/>
                      <w:sz w:val="18"/>
                    </w:rPr>
                    <w:t>批准机关：       国家统计局</w:t>
                  </w:r>
                </w:p>
                <w:p>
                  <w:pPr>
                    <w:adjustRightInd w:val="0"/>
                    <w:snapToGrid w:val="0"/>
                    <w:spacing w:line="240" w:lineRule="exact"/>
                    <w:rPr>
                      <w:rFonts w:ascii="宋体" w:hAnsi="宋体"/>
                      <w:sz w:val="18"/>
                    </w:rPr>
                  </w:pPr>
                  <w:r>
                    <w:rPr>
                      <w:rFonts w:hint="eastAsia" w:ascii="宋体" w:hAnsi="宋体"/>
                      <w:sz w:val="18"/>
                    </w:rPr>
                    <w:t>批准文号：</w:t>
                  </w:r>
                  <w:r>
                    <w:rPr>
                      <w:rFonts w:hint="eastAsia"/>
                      <w:sz w:val="18"/>
                    </w:rPr>
                    <w:t>国统制</w:t>
                  </w:r>
                  <w:r>
                    <w:rPr>
                      <w:rFonts w:hint="eastAsia" w:ascii="宋体" w:hAnsi="宋体"/>
                      <w:sz w:val="18"/>
                    </w:rPr>
                    <w:t>[2019]41</w:t>
                  </w:r>
                  <w:r>
                    <w:rPr>
                      <w:rFonts w:hint="eastAsia"/>
                      <w:sz w:val="18"/>
                    </w:rPr>
                    <w:t>号</w:t>
                  </w:r>
                </w:p>
                <w:p>
                  <w:pPr>
                    <w:adjustRightInd w:val="0"/>
                    <w:snapToGrid w:val="0"/>
                    <w:spacing w:line="240" w:lineRule="exact"/>
                  </w:pPr>
                  <w:r>
                    <w:rPr>
                      <w:rFonts w:hint="eastAsia" w:ascii="宋体" w:hAnsi="宋体"/>
                      <w:sz w:val="18"/>
                    </w:rPr>
                    <w:t>有效期至：      2022年4月</w:t>
                  </w:r>
                </w:p>
              </w:txbxContent>
            </v:textbox>
          </v:shape>
        </w:pict>
      </w:r>
    </w:p>
    <w:p>
      <w:pPr>
        <w:snapToGrid w:val="0"/>
        <w:spacing w:line="264" w:lineRule="auto"/>
        <w:rPr>
          <w:rFonts w:ascii="宋体" w:hAnsi="宋体"/>
          <w:sz w:val="18"/>
          <w:szCs w:val="18"/>
        </w:rPr>
      </w:pPr>
    </w:p>
    <w:p>
      <w:pPr>
        <w:snapToGrid w:val="0"/>
        <w:spacing w:line="264" w:lineRule="auto"/>
        <w:rPr>
          <w:rFonts w:ascii="宋体" w:hAnsi="宋体"/>
          <w:sz w:val="18"/>
          <w:szCs w:val="18"/>
        </w:rPr>
      </w:pPr>
    </w:p>
    <w:p>
      <w:pPr>
        <w:snapToGrid w:val="0"/>
        <w:spacing w:line="264" w:lineRule="auto"/>
        <w:rPr>
          <w:rFonts w:ascii="宋体" w:hAnsi="宋体"/>
          <w:sz w:val="18"/>
          <w:szCs w:val="18"/>
        </w:rPr>
      </w:pPr>
    </w:p>
    <w:p>
      <w:pPr>
        <w:snapToGrid w:val="0"/>
        <w:spacing w:line="240" w:lineRule="exact"/>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pPr>
        <w:snapToGrid w:val="0"/>
        <w:spacing w:line="240" w:lineRule="exact"/>
        <w:jc w:val="left"/>
        <w:rPr>
          <w:rFonts w:ascii="宋体" w:hAnsi="宋体"/>
          <w:sz w:val="18"/>
          <w:szCs w:val="18"/>
        </w:rPr>
      </w:pPr>
      <w:r>
        <w:rPr>
          <w:rFonts w:ascii="宋体" w:hAnsi="宋体"/>
          <w:sz w:val="18"/>
          <w:szCs w:val="18"/>
        </w:rPr>
        <w:t xml:space="preserve">单位详细名称：                                  </w:t>
      </w:r>
      <w:r>
        <w:rPr>
          <w:rFonts w:hint="eastAsia" w:ascii="宋体" w:hAnsi="宋体"/>
          <w:sz w:val="18"/>
          <w:szCs w:val="18"/>
        </w:rPr>
        <w:t>２０　</w:t>
      </w:r>
      <w:r>
        <w:rPr>
          <w:rFonts w:ascii="宋体" w:hAnsi="宋体"/>
          <w:sz w:val="18"/>
          <w:szCs w:val="18"/>
        </w:rPr>
        <w:t>年</w:t>
      </w:r>
    </w:p>
    <w:tbl>
      <w:tblPr>
        <w:tblStyle w:val="17"/>
        <w:tblW w:w="5000" w:type="pct"/>
        <w:jc w:val="center"/>
        <w:tblBorders>
          <w:top w:val="single" w:color="auto" w:sz="8" w:space="0"/>
          <w:left w:val="none" w:color="auto" w:sz="0" w:space="0"/>
          <w:bottom w:val="single" w:color="auto" w:sz="8" w:space="0"/>
          <w:right w:val="none" w:color="auto" w:sz="0" w:space="0"/>
          <w:insideH w:val="none" w:color="auto" w:sz="0" w:space="0"/>
          <w:insideV w:val="single" w:color="auto" w:sz="8" w:space="0"/>
        </w:tblBorders>
        <w:tblLayout w:type="autofit"/>
        <w:tblCellMar>
          <w:top w:w="0" w:type="dxa"/>
          <w:left w:w="108" w:type="dxa"/>
          <w:bottom w:w="0" w:type="dxa"/>
          <w:right w:w="108" w:type="dxa"/>
        </w:tblCellMar>
      </w:tblPr>
      <w:tblGrid>
        <w:gridCol w:w="3794"/>
        <w:gridCol w:w="1626"/>
        <w:gridCol w:w="1067"/>
        <w:gridCol w:w="3141"/>
      </w:tblGrid>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top w:val="single" w:color="auto" w:sz="8" w:space="0"/>
              <w:bottom w:val="single" w:color="auto" w:sz="2" w:space="0"/>
              <w:right w:val="single" w:color="auto" w:sz="2" w:space="0"/>
            </w:tcBorders>
            <w:vAlign w:val="center"/>
          </w:tcPr>
          <w:p>
            <w:pPr>
              <w:snapToGrid w:val="0"/>
              <w:spacing w:line="280" w:lineRule="exact"/>
              <w:ind w:left="-527" w:leftChars="-251" w:firstLine="527" w:firstLineChars="293"/>
              <w:jc w:val="center"/>
              <w:rPr>
                <w:rFonts w:ascii="宋体" w:hAnsi="宋体"/>
                <w:sz w:val="18"/>
                <w:szCs w:val="18"/>
              </w:rPr>
            </w:pPr>
            <w:r>
              <w:rPr>
                <w:rFonts w:ascii="宋体" w:hAnsi="宋体"/>
                <w:sz w:val="18"/>
                <w:szCs w:val="18"/>
              </w:rPr>
              <w:t>指标名称</w:t>
            </w:r>
          </w:p>
        </w:tc>
        <w:tc>
          <w:tcPr>
            <w:tcW w:w="844" w:type="pct"/>
            <w:tcBorders>
              <w:top w:val="single" w:color="auto" w:sz="8" w:space="0"/>
              <w:left w:val="single" w:color="auto" w:sz="2" w:space="0"/>
              <w:bottom w:val="single" w:color="auto" w:sz="2" w:space="0"/>
              <w:right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计量单位</w:t>
            </w:r>
          </w:p>
        </w:tc>
        <w:tc>
          <w:tcPr>
            <w:tcW w:w="554" w:type="pct"/>
            <w:tcBorders>
              <w:top w:val="single" w:color="auto" w:sz="8" w:space="0"/>
              <w:left w:val="single" w:color="auto" w:sz="2" w:space="0"/>
              <w:bottom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代码</w:t>
            </w:r>
          </w:p>
        </w:tc>
        <w:tc>
          <w:tcPr>
            <w:tcW w:w="1631" w:type="pct"/>
            <w:tcBorders>
              <w:top w:val="single" w:color="auto" w:sz="8" w:space="0"/>
              <w:left w:val="single" w:color="auto" w:sz="2"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本年实际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top w:val="single" w:color="auto" w:sz="2" w:space="0"/>
              <w:bottom w:val="single" w:color="auto" w:sz="2" w:space="0"/>
              <w:right w:val="single" w:color="auto" w:sz="2" w:space="0"/>
            </w:tcBorders>
            <w:vAlign w:val="center"/>
          </w:tcPr>
          <w:p>
            <w:pPr>
              <w:snapToGrid w:val="0"/>
              <w:spacing w:line="280" w:lineRule="exact"/>
              <w:ind w:left="-527" w:leftChars="-251" w:firstLine="527" w:firstLineChars="293"/>
              <w:jc w:val="center"/>
              <w:rPr>
                <w:rFonts w:ascii="宋体" w:hAnsi="宋体"/>
                <w:sz w:val="18"/>
                <w:szCs w:val="18"/>
              </w:rPr>
            </w:pPr>
            <w:r>
              <w:rPr>
                <w:rFonts w:ascii="宋体" w:hAnsi="宋体"/>
                <w:sz w:val="18"/>
                <w:szCs w:val="18"/>
              </w:rPr>
              <w:t>甲</w:t>
            </w:r>
          </w:p>
        </w:tc>
        <w:tc>
          <w:tcPr>
            <w:tcW w:w="844" w:type="pct"/>
            <w:tcBorders>
              <w:top w:val="single" w:color="auto" w:sz="2" w:space="0"/>
              <w:left w:val="single" w:color="auto" w:sz="2" w:space="0"/>
              <w:bottom w:val="single" w:color="auto" w:sz="2" w:space="0"/>
              <w:right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乙</w:t>
            </w:r>
          </w:p>
        </w:tc>
        <w:tc>
          <w:tcPr>
            <w:tcW w:w="554" w:type="pct"/>
            <w:tcBorders>
              <w:top w:val="single" w:color="auto" w:sz="2" w:space="0"/>
              <w:left w:val="single" w:color="auto" w:sz="2" w:space="0"/>
              <w:bottom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丙</w:t>
            </w:r>
          </w:p>
        </w:tc>
        <w:tc>
          <w:tcPr>
            <w:tcW w:w="1631" w:type="pct"/>
            <w:tcBorders>
              <w:top w:val="single" w:color="auto" w:sz="2" w:space="0"/>
              <w:left w:val="single" w:color="auto" w:sz="2"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top w:val="single" w:color="auto" w:sz="2" w:space="0"/>
              <w:right w:val="single" w:color="auto" w:sz="2" w:space="0"/>
            </w:tcBorders>
          </w:tcPr>
          <w:p>
            <w:pPr>
              <w:snapToGrid w:val="0"/>
              <w:spacing w:line="280" w:lineRule="exact"/>
              <w:ind w:left="-527" w:leftChars="-251" w:firstLine="810" w:firstLineChars="450"/>
              <w:rPr>
                <w:rFonts w:ascii="宋体" w:hAnsi="宋体"/>
                <w:sz w:val="18"/>
                <w:szCs w:val="18"/>
              </w:rPr>
            </w:pPr>
            <w:r>
              <w:rPr>
                <w:rFonts w:hint="eastAsia" w:ascii="宋体" w:hAnsi="宋体"/>
                <w:sz w:val="18"/>
                <w:szCs w:val="18"/>
              </w:rPr>
              <w:t>存货</w:t>
            </w:r>
          </w:p>
        </w:tc>
        <w:tc>
          <w:tcPr>
            <w:tcW w:w="844" w:type="pct"/>
            <w:tcBorders>
              <w:top w:val="single" w:color="auto" w:sz="2" w:space="0"/>
              <w:left w:val="single" w:color="auto" w:sz="2" w:space="0"/>
              <w:right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万元</w:t>
            </w:r>
          </w:p>
        </w:tc>
        <w:tc>
          <w:tcPr>
            <w:tcW w:w="554" w:type="pct"/>
            <w:tcBorders>
              <w:top w:val="single" w:color="auto" w:sz="2" w:space="0"/>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01</w:t>
            </w:r>
          </w:p>
        </w:tc>
        <w:tc>
          <w:tcPr>
            <w:tcW w:w="1631" w:type="pct"/>
            <w:tcBorders>
              <w:top w:val="single" w:color="auto" w:sz="2" w:space="0"/>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固定资产原价</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2</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累计</w:t>
            </w:r>
            <w:r>
              <w:rPr>
                <w:rFonts w:ascii="宋体" w:hAnsi="宋体"/>
                <w:sz w:val="18"/>
                <w:szCs w:val="18"/>
              </w:rPr>
              <w:t>折旧</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3</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975" w:firstLineChars="542"/>
              <w:rPr>
                <w:rFonts w:ascii="宋体" w:hAnsi="宋体"/>
                <w:sz w:val="18"/>
                <w:szCs w:val="18"/>
              </w:rPr>
            </w:pPr>
            <w:r>
              <w:rPr>
                <w:rFonts w:hint="eastAsia" w:ascii="宋体" w:hAnsi="宋体"/>
                <w:sz w:val="18"/>
                <w:szCs w:val="18"/>
              </w:rPr>
              <w:t>其中：本年折旧</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04</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资产总计</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05</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负债合计</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06</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营业收入</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7</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营业成本</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8</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税金</w:t>
            </w:r>
            <w:r>
              <w:rPr>
                <w:rFonts w:ascii="宋体" w:hAnsi="宋体"/>
                <w:sz w:val="18"/>
                <w:szCs w:val="18"/>
              </w:rPr>
              <w:t>及</w:t>
            </w:r>
            <w:r>
              <w:rPr>
                <w:rFonts w:hint="eastAsia" w:ascii="宋体" w:hAnsi="宋体"/>
                <w:sz w:val="18"/>
                <w:szCs w:val="18"/>
              </w:rPr>
              <w:t>附加</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9</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销售费用</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10</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管理费用</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11</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975" w:firstLineChars="542"/>
              <w:rPr>
                <w:rFonts w:ascii="宋体" w:hAnsi="宋体"/>
                <w:sz w:val="18"/>
                <w:szCs w:val="18"/>
              </w:rPr>
            </w:pPr>
            <w:r>
              <w:rPr>
                <w:rFonts w:ascii="宋体" w:hAnsi="宋体"/>
                <w:sz w:val="18"/>
                <w:szCs w:val="18"/>
              </w:rPr>
              <w:t>其中：差旅费</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12</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财务费用</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3</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975" w:firstLineChars="542"/>
              <w:rPr>
                <w:rFonts w:ascii="宋体" w:hAnsi="宋体"/>
                <w:sz w:val="18"/>
                <w:szCs w:val="18"/>
              </w:rPr>
            </w:pPr>
            <w:r>
              <w:rPr>
                <w:rFonts w:ascii="宋体" w:hAnsi="宋体"/>
                <w:sz w:val="18"/>
                <w:szCs w:val="18"/>
              </w:rPr>
              <w:t>其中：利息</w:t>
            </w:r>
            <w:r>
              <w:rPr>
                <w:rFonts w:hint="eastAsia" w:ascii="宋体" w:hAnsi="宋体"/>
                <w:sz w:val="18"/>
                <w:szCs w:val="18"/>
              </w:rPr>
              <w:t>净</w:t>
            </w:r>
            <w:r>
              <w:rPr>
                <w:rFonts w:ascii="宋体" w:hAnsi="宋体"/>
                <w:sz w:val="18"/>
                <w:szCs w:val="18"/>
              </w:rPr>
              <w:t>支出</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4</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资产减值损失</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15</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公允价值变动收益</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6</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投资收益</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7</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其他收益</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18</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营业利润</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9</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营业外收入</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20</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975" w:firstLineChars="542"/>
              <w:rPr>
                <w:rFonts w:ascii="宋体" w:hAnsi="宋体"/>
                <w:sz w:val="18"/>
                <w:szCs w:val="18"/>
              </w:rPr>
            </w:pPr>
            <w:r>
              <w:rPr>
                <w:rFonts w:hint="eastAsia" w:ascii="宋体" w:hAnsi="宋体"/>
                <w:sz w:val="18"/>
                <w:szCs w:val="18"/>
              </w:rPr>
              <w:t>其中：政府补助</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21</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right w:val="single" w:color="auto" w:sz="2" w:space="0"/>
            </w:tcBorders>
          </w:tcPr>
          <w:p>
            <w:pPr>
              <w:snapToGrid w:val="0"/>
              <w:spacing w:line="280" w:lineRule="exact"/>
              <w:ind w:left="-527" w:leftChars="-251" w:firstLine="795" w:firstLineChars="442"/>
              <w:rPr>
                <w:rFonts w:ascii="宋体" w:hAnsi="宋体"/>
                <w:sz w:val="18"/>
                <w:szCs w:val="18"/>
              </w:rPr>
            </w:pPr>
            <w:r>
              <w:rPr>
                <w:rFonts w:ascii="宋体" w:hAnsi="宋体"/>
                <w:sz w:val="18"/>
                <w:szCs w:val="18"/>
              </w:rPr>
              <w:t>应付职工薪酬</w:t>
            </w:r>
            <w:r>
              <w:rPr>
                <w:rFonts w:hint="eastAsia" w:ascii="宋体" w:hAnsi="宋体"/>
                <w:sz w:val="18"/>
                <w:szCs w:val="18"/>
              </w:rPr>
              <w:t>（本年贷方</w:t>
            </w:r>
            <w:r>
              <w:rPr>
                <w:rFonts w:ascii="宋体" w:hAnsi="宋体"/>
                <w:sz w:val="18"/>
                <w:szCs w:val="18"/>
              </w:rPr>
              <w:t>累计发生额</w:t>
            </w:r>
            <w:r>
              <w:rPr>
                <w:rFonts w:hint="eastAsia" w:ascii="宋体" w:hAnsi="宋体"/>
                <w:sz w:val="18"/>
                <w:szCs w:val="18"/>
              </w:rPr>
              <w:t>）</w:t>
            </w:r>
          </w:p>
        </w:tc>
        <w:tc>
          <w:tcPr>
            <w:tcW w:w="844" w:type="pct"/>
            <w:tcBorders>
              <w:left w:val="single" w:color="auto" w:sz="2"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22</w:t>
            </w:r>
          </w:p>
        </w:tc>
        <w:tc>
          <w:tcPr>
            <w:tcW w:w="1631" w:type="pct"/>
            <w:tcBorders>
              <w:left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8" w:space="0"/>
          </w:tblBorders>
          <w:tblCellMar>
            <w:top w:w="0" w:type="dxa"/>
            <w:left w:w="108" w:type="dxa"/>
            <w:bottom w:w="0" w:type="dxa"/>
            <w:right w:w="108" w:type="dxa"/>
          </w:tblCellMar>
        </w:tblPrEx>
        <w:trPr>
          <w:trHeight w:val="171" w:hRule="atLeast"/>
          <w:jc w:val="center"/>
        </w:trPr>
        <w:tc>
          <w:tcPr>
            <w:tcW w:w="1970" w:type="pct"/>
            <w:tcBorders>
              <w:bottom w:val="single" w:color="auto" w:sz="8" w:space="0"/>
              <w:right w:val="single" w:color="auto" w:sz="2" w:space="0"/>
            </w:tcBorders>
          </w:tcPr>
          <w:p>
            <w:pPr>
              <w:snapToGrid w:val="0"/>
              <w:spacing w:line="280" w:lineRule="exact"/>
              <w:ind w:left="-527" w:leftChars="-251" w:firstLine="795" w:firstLineChars="442"/>
              <w:rPr>
                <w:rFonts w:ascii="宋体" w:hAnsi="宋体"/>
                <w:sz w:val="18"/>
                <w:szCs w:val="18"/>
              </w:rPr>
            </w:pPr>
            <w:r>
              <w:rPr>
                <w:rFonts w:hint="eastAsia" w:ascii="宋体" w:hAnsi="宋体"/>
                <w:sz w:val="18"/>
                <w:szCs w:val="18"/>
              </w:rPr>
              <w:t>应交增值税</w:t>
            </w:r>
          </w:p>
        </w:tc>
        <w:tc>
          <w:tcPr>
            <w:tcW w:w="844" w:type="pct"/>
            <w:tcBorders>
              <w:left w:val="single" w:color="auto" w:sz="2" w:space="0"/>
              <w:bottom w:val="single" w:color="auto" w:sz="8" w:space="0"/>
              <w:right w:val="single" w:color="auto" w:sz="2" w:space="0"/>
            </w:tcBorders>
          </w:tcPr>
          <w:p>
            <w:pPr>
              <w:spacing w:line="280" w:lineRule="exact"/>
              <w:jc w:val="center"/>
              <w:rPr>
                <w:rFonts w:ascii="宋体" w:hAnsi="宋体"/>
                <w:sz w:val="18"/>
                <w:szCs w:val="18"/>
              </w:rPr>
            </w:pPr>
            <w:r>
              <w:rPr>
                <w:rFonts w:hint="eastAsia" w:ascii="宋体" w:hAnsi="宋体"/>
                <w:sz w:val="18"/>
                <w:szCs w:val="18"/>
              </w:rPr>
              <w:t>万元</w:t>
            </w:r>
          </w:p>
        </w:tc>
        <w:tc>
          <w:tcPr>
            <w:tcW w:w="554" w:type="pct"/>
            <w:tcBorders>
              <w:left w:val="single" w:color="auto" w:sz="2" w:space="0"/>
              <w:bottom w:val="single" w:color="auto" w:sz="8" w:space="0"/>
              <w:right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23</w:t>
            </w:r>
          </w:p>
        </w:tc>
        <w:tc>
          <w:tcPr>
            <w:tcW w:w="1631" w:type="pct"/>
            <w:tcBorders>
              <w:left w:val="single" w:color="auto" w:sz="2" w:space="0"/>
              <w:bottom w:val="single" w:color="auto" w:sz="8" w:space="0"/>
            </w:tcBorders>
          </w:tcPr>
          <w:p>
            <w:pPr>
              <w:snapToGrid w:val="0"/>
              <w:spacing w:line="280" w:lineRule="exact"/>
              <w:jc w:val="center"/>
              <w:rPr>
                <w:rFonts w:ascii="宋体" w:hAnsi="宋体"/>
                <w:sz w:val="18"/>
                <w:szCs w:val="18"/>
              </w:rPr>
            </w:pPr>
          </w:p>
        </w:tc>
      </w:tr>
    </w:tbl>
    <w:p>
      <w:pPr>
        <w:snapToGrid w:val="0"/>
        <w:spacing w:line="240" w:lineRule="exact"/>
        <w:rPr>
          <w:rFonts w:ascii="宋体" w:hAnsi="宋体"/>
          <w:sz w:val="18"/>
          <w:szCs w:val="18"/>
        </w:rPr>
      </w:pPr>
      <w:r>
        <w:rPr>
          <w:rFonts w:ascii="宋体" w:hAnsi="宋体"/>
          <w:sz w:val="18"/>
          <w:szCs w:val="18"/>
        </w:rPr>
        <w:t>单位负责人：</w:t>
      </w:r>
      <w:r>
        <w:rPr>
          <w:rFonts w:ascii="宋体" w:hAnsi="宋体"/>
          <w:sz w:val="18"/>
          <w:szCs w:val="18"/>
        </w:rPr>
        <w:tab/>
      </w:r>
      <w:r>
        <w:rPr>
          <w:rFonts w:ascii="宋体" w:hAnsi="宋体"/>
          <w:sz w:val="18"/>
          <w:szCs w:val="18"/>
        </w:rPr>
        <w:t xml:space="preserve">       统计负责人：</w:t>
      </w:r>
      <w:r>
        <w:rPr>
          <w:rFonts w:ascii="宋体" w:hAnsi="宋体"/>
          <w:sz w:val="18"/>
          <w:szCs w:val="18"/>
        </w:rPr>
        <w:tab/>
      </w:r>
      <w:r>
        <w:rPr>
          <w:rFonts w:ascii="宋体" w:hAnsi="宋体"/>
          <w:sz w:val="18"/>
          <w:szCs w:val="18"/>
        </w:rPr>
        <w:tab/>
      </w:r>
      <w:r>
        <w:rPr>
          <w:rFonts w:ascii="宋体" w:hAnsi="宋体"/>
          <w:sz w:val="18"/>
          <w:szCs w:val="18"/>
        </w:rPr>
        <w:t>填表人：</w:t>
      </w:r>
      <w:r>
        <w:rPr>
          <w:rFonts w:hint="eastAsia" w:ascii="宋体" w:hAnsi="宋体"/>
          <w:sz w:val="18"/>
          <w:szCs w:val="18"/>
        </w:rPr>
        <w:t xml:space="preserve">    联系电话:</w:t>
      </w:r>
      <w:r>
        <w:rPr>
          <w:rFonts w:ascii="宋体" w:hAnsi="宋体"/>
          <w:sz w:val="18"/>
          <w:szCs w:val="18"/>
        </w:rPr>
        <w:t>报出日期：20  年  月  日</w:t>
      </w:r>
    </w:p>
    <w:p>
      <w:pPr>
        <w:snapToGrid w:val="0"/>
        <w:spacing w:line="192" w:lineRule="auto"/>
        <w:rPr>
          <w:rFonts w:ascii="宋体" w:hAnsi="宋体"/>
          <w:sz w:val="18"/>
        </w:rPr>
      </w:pPr>
    </w:p>
    <w:p>
      <w:pPr>
        <w:snapToGrid w:val="0"/>
        <w:spacing w:line="280" w:lineRule="exact"/>
        <w:ind w:left="1032" w:hanging="1032" w:hangingChars="600"/>
        <w:jc w:val="left"/>
        <w:rPr>
          <w:rFonts w:ascii="宋体" w:hAnsi="宋体"/>
          <w:sz w:val="18"/>
        </w:rPr>
      </w:pPr>
      <w:r>
        <w:rPr>
          <w:rFonts w:ascii="宋体" w:hAnsi="宋体"/>
          <w:spacing w:val="-4"/>
          <w:sz w:val="18"/>
          <w:szCs w:val="18"/>
        </w:rPr>
        <w:t>说明：</w:t>
      </w:r>
      <w:r>
        <w:rPr>
          <w:rFonts w:hint="eastAsia" w:ascii="宋体" w:hAnsi="宋体"/>
          <w:sz w:val="18"/>
        </w:rPr>
        <w:t>1</w:t>
      </w:r>
      <w:r>
        <w:rPr>
          <w:rFonts w:ascii="宋体" w:hAnsi="宋体"/>
          <w:sz w:val="18"/>
        </w:rPr>
        <w:t>.在环服基1表“1</w:t>
      </w:r>
      <w:r>
        <w:rPr>
          <w:rFonts w:hint="eastAsia" w:ascii="宋体" w:hAnsi="宋体"/>
          <w:sz w:val="18"/>
        </w:rPr>
        <w:t>3</w:t>
      </w:r>
      <w:r>
        <w:rPr>
          <w:rFonts w:ascii="宋体" w:hAnsi="宋体"/>
          <w:sz w:val="18"/>
        </w:rPr>
        <w:t>执行会计制度类别”中选填了“1企业会计制度”的</w:t>
      </w:r>
      <w:r>
        <w:rPr>
          <w:rFonts w:ascii="宋体" w:hAnsi="宋体"/>
          <w:sz w:val="18"/>
          <w:szCs w:val="18"/>
        </w:rPr>
        <w:t>法人单位（包括</w:t>
      </w:r>
      <w:r>
        <w:rPr>
          <w:rFonts w:ascii="宋体" w:hAnsi="宋体"/>
          <w:sz w:val="18"/>
        </w:rPr>
        <w:t>实行企业化管理、执行</w:t>
      </w:r>
    </w:p>
    <w:p>
      <w:pPr>
        <w:snapToGrid w:val="0"/>
        <w:spacing w:line="280" w:lineRule="exact"/>
        <w:ind w:left="1082" w:leftChars="344" w:hanging="360" w:hangingChars="200"/>
        <w:jc w:val="left"/>
        <w:rPr>
          <w:rFonts w:ascii="宋体" w:hAnsi="宋体"/>
          <w:sz w:val="18"/>
        </w:rPr>
      </w:pPr>
      <w:r>
        <w:rPr>
          <w:rFonts w:ascii="宋体" w:hAnsi="宋体"/>
          <w:sz w:val="18"/>
        </w:rPr>
        <w:t>企业会计制度的事业单位），均须填报本表。</w:t>
      </w:r>
    </w:p>
    <w:p>
      <w:pPr>
        <w:snapToGrid w:val="0"/>
        <w:spacing w:line="280" w:lineRule="exact"/>
        <w:ind w:firstLine="540" w:firstLineChars="300"/>
        <w:jc w:val="left"/>
        <w:rPr>
          <w:rFonts w:ascii="宋体" w:hAnsi="宋体"/>
          <w:sz w:val="18"/>
        </w:rPr>
      </w:pPr>
      <w:r>
        <w:rPr>
          <w:rFonts w:hint="eastAsia" w:ascii="宋体" w:hAnsi="宋体"/>
          <w:sz w:val="18"/>
        </w:rPr>
        <w:t>2.本表应付职工薪酬按本年贷方累计发生额填报。</w:t>
      </w:r>
    </w:p>
    <w:p>
      <w:pPr>
        <w:snapToGrid w:val="0"/>
        <w:spacing w:line="280" w:lineRule="exact"/>
        <w:ind w:firstLine="540" w:firstLineChars="300"/>
        <w:jc w:val="left"/>
        <w:rPr>
          <w:rFonts w:ascii="宋体" w:hAnsi="宋体"/>
          <w:sz w:val="18"/>
        </w:rPr>
      </w:pPr>
      <w:r>
        <w:rPr>
          <w:rFonts w:hint="eastAsia" w:ascii="宋体" w:hAnsi="宋体"/>
          <w:sz w:val="18"/>
        </w:rPr>
        <w:t>3.审核关系:04</w:t>
      </w:r>
      <w:r>
        <w:rPr>
          <w:rFonts w:ascii="宋体" w:hAnsi="宋体"/>
          <w:sz w:val="18"/>
        </w:rPr>
        <w:t>≤</w:t>
      </w:r>
      <w:r>
        <w:rPr>
          <w:rFonts w:hint="eastAsia" w:ascii="宋体" w:hAnsi="宋体"/>
          <w:sz w:val="18"/>
        </w:rPr>
        <w:t>03，12</w:t>
      </w:r>
      <w:r>
        <w:rPr>
          <w:rFonts w:ascii="宋体" w:hAnsi="宋体"/>
          <w:sz w:val="18"/>
        </w:rPr>
        <w:t>≤</w:t>
      </w:r>
      <w:r>
        <w:rPr>
          <w:rFonts w:hint="eastAsia" w:ascii="宋体" w:hAnsi="宋体"/>
          <w:sz w:val="18"/>
        </w:rPr>
        <w:t>11，21</w:t>
      </w:r>
      <w:r>
        <w:rPr>
          <w:rFonts w:ascii="宋体" w:hAnsi="宋体"/>
          <w:sz w:val="18"/>
        </w:rPr>
        <w:t>≤</w:t>
      </w:r>
      <w:r>
        <w:rPr>
          <w:rFonts w:hint="eastAsia" w:ascii="宋体" w:hAnsi="宋体"/>
          <w:sz w:val="18"/>
        </w:rPr>
        <w:t>20。</w:t>
      </w:r>
    </w:p>
    <w:p>
      <w:pPr>
        <w:snapToGrid w:val="0"/>
        <w:ind w:firstLine="1350" w:firstLineChars="750"/>
        <w:jc w:val="left"/>
        <w:rPr>
          <w:rFonts w:ascii="宋体" w:hAnsi="宋体"/>
          <w:sz w:val="18"/>
        </w:rPr>
      </w:pPr>
    </w:p>
    <w:p>
      <w:pPr>
        <w:snapToGrid w:val="0"/>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spacing w:line="192" w:lineRule="auto"/>
        <w:ind w:left="1041" w:leftChars="410" w:hanging="180" w:hangingChars="100"/>
        <w:jc w:val="left"/>
        <w:rPr>
          <w:rFonts w:ascii="宋体" w:hAnsi="宋体"/>
          <w:sz w:val="18"/>
        </w:rPr>
      </w:pPr>
    </w:p>
    <w:p>
      <w:pPr>
        <w:snapToGrid w:val="0"/>
        <w:jc w:val="center"/>
        <w:rPr>
          <w:rFonts w:ascii="宋体" w:hAnsi="宋体"/>
          <w:sz w:val="32"/>
          <w:szCs w:val="32"/>
        </w:rPr>
      </w:pPr>
      <w:r>
        <w:rPr>
          <w:rFonts w:ascii="宋体" w:hAnsi="宋体"/>
          <w:sz w:val="32"/>
          <w:szCs w:val="32"/>
        </w:rPr>
        <w:t>行政单位</w:t>
      </w:r>
      <w:r>
        <w:rPr>
          <w:rFonts w:hint="eastAsia" w:ascii="宋体" w:hAnsi="宋体"/>
          <w:sz w:val="32"/>
          <w:szCs w:val="32"/>
        </w:rPr>
        <w:t>财务状况</w:t>
      </w:r>
    </w:p>
    <w:p>
      <w:pPr>
        <w:snapToGrid w:val="0"/>
        <w:spacing w:line="204" w:lineRule="auto"/>
        <w:jc w:val="center"/>
        <w:rPr>
          <w:rFonts w:ascii="宋体" w:hAnsi="宋体"/>
          <w:sz w:val="18"/>
          <w:szCs w:val="18"/>
        </w:rPr>
      </w:pPr>
    </w:p>
    <w:p>
      <w:pPr>
        <w:snapToGrid w:val="0"/>
        <w:spacing w:after="120" w:line="192" w:lineRule="auto"/>
        <w:rPr>
          <w:rFonts w:ascii="宋体" w:hAnsi="宋体"/>
          <w:sz w:val="18"/>
          <w:szCs w:val="18"/>
        </w:rPr>
      </w:pPr>
      <w:r>
        <w:rPr>
          <w:rFonts w:ascii="宋体" w:hAnsi="宋体"/>
        </w:rPr>
        <w:pict>
          <v:shape id="_x0000_s1028" o:spid="_x0000_s1028" o:spt="202" type="#_x0000_t202" style="position:absolute;left:0pt;margin-left:337.6pt;margin-top:0.3pt;height:67pt;width:138.55pt;z-index:251659264;mso-width-relative:page;mso-height-relative:page;" filled="f" stroked="f" coordsize="21600,21600">
            <v:path/>
            <v:fill on="f" focussize="0,0"/>
            <v:stroke on="f" joinstyle="miter"/>
            <v:imagedata o:title=""/>
            <o:lock v:ext="edit"/>
            <v:textbox>
              <w:txbxContent>
                <w:p>
                  <w:pPr>
                    <w:adjustRightInd w:val="0"/>
                    <w:snapToGrid w:val="0"/>
                    <w:spacing w:line="240" w:lineRule="exact"/>
                    <w:rPr>
                      <w:rFonts w:ascii="宋体" w:hAnsi="宋体"/>
                      <w:color w:val="008080"/>
                      <w:sz w:val="18"/>
                    </w:rPr>
                  </w:pPr>
                  <w:r>
                    <w:rPr>
                      <w:rFonts w:hint="eastAsia" w:ascii="宋体" w:hAnsi="宋体"/>
                      <w:sz w:val="18"/>
                    </w:rPr>
                    <w:t>表    号：       环服基3表</w:t>
                  </w:r>
                </w:p>
                <w:p>
                  <w:pPr>
                    <w:adjustRightInd w:val="0"/>
                    <w:snapToGrid w:val="0"/>
                    <w:spacing w:line="240" w:lineRule="exact"/>
                    <w:rPr>
                      <w:rFonts w:ascii="宋体" w:hAnsi="宋体"/>
                      <w:sz w:val="18"/>
                    </w:rPr>
                  </w:pPr>
                  <w:r>
                    <w:rPr>
                      <w:rFonts w:hint="eastAsia" w:ascii="宋体" w:hAnsi="宋体"/>
                      <w:sz w:val="18"/>
                    </w:rPr>
                    <w:t>制定机关：       生态环境部</w:t>
                  </w:r>
                </w:p>
                <w:p>
                  <w:pPr>
                    <w:adjustRightInd w:val="0"/>
                    <w:snapToGrid w:val="0"/>
                    <w:spacing w:line="240" w:lineRule="exact"/>
                    <w:rPr>
                      <w:rFonts w:ascii="宋体" w:hAnsi="宋体"/>
                      <w:sz w:val="18"/>
                    </w:rPr>
                  </w:pPr>
                  <w:r>
                    <w:rPr>
                      <w:rFonts w:hint="eastAsia" w:ascii="宋体" w:hAnsi="宋体"/>
                      <w:sz w:val="18"/>
                    </w:rPr>
                    <w:t>批准机关：       国家统计局</w:t>
                  </w:r>
                </w:p>
                <w:p>
                  <w:pPr>
                    <w:adjustRightInd w:val="0"/>
                    <w:snapToGrid w:val="0"/>
                    <w:spacing w:line="240" w:lineRule="exact"/>
                    <w:rPr>
                      <w:rFonts w:ascii="宋体" w:hAnsi="宋体"/>
                      <w:sz w:val="18"/>
                    </w:rPr>
                  </w:pPr>
                  <w:r>
                    <w:rPr>
                      <w:rFonts w:hint="eastAsia" w:ascii="宋体" w:hAnsi="宋体"/>
                      <w:sz w:val="18"/>
                    </w:rPr>
                    <w:t>批准文号：</w:t>
                  </w:r>
                  <w:r>
                    <w:rPr>
                      <w:rFonts w:hint="eastAsia"/>
                      <w:sz w:val="18"/>
                    </w:rPr>
                    <w:t>国统制</w:t>
                  </w:r>
                  <w:r>
                    <w:rPr>
                      <w:rFonts w:hint="eastAsia" w:ascii="宋体" w:hAnsi="宋体"/>
                      <w:sz w:val="18"/>
                    </w:rPr>
                    <w:t>[2019]41</w:t>
                  </w:r>
                  <w:r>
                    <w:rPr>
                      <w:rFonts w:hint="eastAsia"/>
                      <w:sz w:val="18"/>
                    </w:rPr>
                    <w:t>号</w:t>
                  </w:r>
                </w:p>
                <w:p>
                  <w:pPr>
                    <w:adjustRightInd w:val="0"/>
                    <w:snapToGrid w:val="0"/>
                    <w:spacing w:line="240" w:lineRule="exact"/>
                  </w:pPr>
                  <w:r>
                    <w:rPr>
                      <w:rFonts w:hint="eastAsia" w:ascii="宋体" w:hAnsi="宋体"/>
                      <w:sz w:val="18"/>
                    </w:rPr>
                    <w:t>有效期至：      202</w:t>
                  </w:r>
                  <w:r>
                    <w:rPr>
                      <w:rFonts w:ascii="宋体" w:hAnsi="宋体"/>
                      <w:sz w:val="18"/>
                    </w:rPr>
                    <w:t>2</w:t>
                  </w:r>
                  <w:r>
                    <w:rPr>
                      <w:rFonts w:hint="eastAsia" w:ascii="宋体" w:hAnsi="宋体"/>
                      <w:sz w:val="18"/>
                    </w:rPr>
                    <w:t>年4月</w:t>
                  </w:r>
                </w:p>
              </w:txbxContent>
            </v:textbox>
          </v:shape>
        </w:pict>
      </w:r>
    </w:p>
    <w:p>
      <w:pPr>
        <w:snapToGrid w:val="0"/>
        <w:spacing w:after="120" w:line="120" w:lineRule="auto"/>
        <w:rPr>
          <w:rFonts w:ascii="宋体" w:hAnsi="宋体"/>
          <w:sz w:val="18"/>
          <w:szCs w:val="18"/>
        </w:rPr>
      </w:pPr>
    </w:p>
    <w:p>
      <w:pPr>
        <w:snapToGrid w:val="0"/>
        <w:spacing w:after="120" w:line="120" w:lineRule="auto"/>
        <w:rPr>
          <w:rFonts w:ascii="宋体" w:hAnsi="宋体"/>
          <w:sz w:val="18"/>
          <w:szCs w:val="18"/>
        </w:rPr>
      </w:pPr>
    </w:p>
    <w:p>
      <w:pPr>
        <w:snapToGrid w:val="0"/>
        <w:spacing w:line="240" w:lineRule="exact"/>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pPr>
        <w:snapToGrid w:val="0"/>
        <w:spacing w:line="240" w:lineRule="exact"/>
        <w:jc w:val="left"/>
        <w:rPr>
          <w:rFonts w:ascii="宋体" w:hAnsi="宋体"/>
          <w:sz w:val="18"/>
          <w:szCs w:val="18"/>
        </w:rPr>
      </w:pPr>
      <w:r>
        <w:rPr>
          <w:rFonts w:ascii="宋体" w:hAnsi="宋体"/>
          <w:sz w:val="18"/>
          <w:szCs w:val="18"/>
        </w:rPr>
        <w:t xml:space="preserve">单位详细名称：                                 </w:t>
      </w:r>
      <w:r>
        <w:rPr>
          <w:rFonts w:hint="eastAsia" w:ascii="宋体" w:hAnsi="宋体"/>
          <w:sz w:val="18"/>
        </w:rPr>
        <w:t>２０　</w:t>
      </w:r>
      <w:r>
        <w:rPr>
          <w:rFonts w:ascii="宋体" w:hAnsi="宋体"/>
          <w:sz w:val="18"/>
          <w:szCs w:val="18"/>
        </w:rPr>
        <w:t>年</w:t>
      </w:r>
    </w:p>
    <w:tbl>
      <w:tblPr>
        <w:tblStyle w:val="17"/>
        <w:tblW w:w="5000" w:type="pct"/>
        <w:jc w:val="center"/>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autofit"/>
        <w:tblCellMar>
          <w:top w:w="0" w:type="dxa"/>
          <w:left w:w="108" w:type="dxa"/>
          <w:bottom w:w="0" w:type="dxa"/>
          <w:right w:w="108" w:type="dxa"/>
        </w:tblCellMar>
      </w:tblPr>
      <w:tblGrid>
        <w:gridCol w:w="3948"/>
        <w:gridCol w:w="1547"/>
        <w:gridCol w:w="992"/>
        <w:gridCol w:w="3141"/>
      </w:tblGrid>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Borders>
              <w:top w:val="single" w:color="auto" w:sz="8"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指标名称</w:t>
            </w:r>
          </w:p>
        </w:tc>
        <w:tc>
          <w:tcPr>
            <w:tcW w:w="803" w:type="pct"/>
            <w:tcBorders>
              <w:top w:val="single" w:color="auto" w:sz="8" w:space="0"/>
              <w:bottom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计量单位</w:t>
            </w:r>
          </w:p>
        </w:tc>
        <w:tc>
          <w:tcPr>
            <w:tcW w:w="515" w:type="pct"/>
            <w:tcBorders>
              <w:top w:val="single" w:color="auto" w:sz="8" w:space="0"/>
              <w:bottom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代码</w:t>
            </w:r>
          </w:p>
        </w:tc>
        <w:tc>
          <w:tcPr>
            <w:tcW w:w="1631" w:type="pct"/>
            <w:tcBorders>
              <w:top w:val="single" w:color="auto" w:sz="8"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本年实际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Borders>
              <w:top w:val="single" w:color="auto" w:sz="2"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甲</w:t>
            </w:r>
          </w:p>
        </w:tc>
        <w:tc>
          <w:tcPr>
            <w:tcW w:w="803" w:type="pct"/>
            <w:tcBorders>
              <w:top w:val="single" w:color="auto" w:sz="2" w:space="0"/>
              <w:bottom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乙</w:t>
            </w:r>
          </w:p>
        </w:tc>
        <w:tc>
          <w:tcPr>
            <w:tcW w:w="515" w:type="pct"/>
            <w:tcBorders>
              <w:top w:val="single" w:color="auto" w:sz="2" w:space="0"/>
              <w:bottom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丙</w:t>
            </w:r>
          </w:p>
        </w:tc>
        <w:tc>
          <w:tcPr>
            <w:tcW w:w="1631" w:type="pct"/>
            <w:tcBorders>
              <w:top w:val="single" w:color="auto" w:sz="2"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Borders>
              <w:top w:val="single" w:color="auto" w:sz="2" w:space="0"/>
            </w:tcBorders>
          </w:tcPr>
          <w:p>
            <w:pPr>
              <w:snapToGrid w:val="0"/>
              <w:spacing w:line="280" w:lineRule="exact"/>
              <w:ind w:firstLine="360" w:firstLineChars="200"/>
              <w:rPr>
                <w:rFonts w:ascii="宋体" w:hAnsi="宋体"/>
                <w:sz w:val="18"/>
                <w:szCs w:val="18"/>
              </w:rPr>
            </w:pPr>
            <w:r>
              <w:rPr>
                <w:rFonts w:hint="eastAsia" w:ascii="宋体" w:hAnsi="宋体"/>
                <w:sz w:val="18"/>
                <w:szCs w:val="18"/>
              </w:rPr>
              <w:t>存货</w:t>
            </w:r>
          </w:p>
        </w:tc>
        <w:tc>
          <w:tcPr>
            <w:tcW w:w="803" w:type="pct"/>
            <w:tcBorders>
              <w:top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万元</w:t>
            </w:r>
          </w:p>
        </w:tc>
        <w:tc>
          <w:tcPr>
            <w:tcW w:w="515" w:type="pct"/>
            <w:tcBorders>
              <w:top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01</w:t>
            </w:r>
          </w:p>
        </w:tc>
        <w:tc>
          <w:tcPr>
            <w:tcW w:w="1631" w:type="pct"/>
            <w:tcBorders>
              <w:top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360" w:firstLineChars="200"/>
              <w:rPr>
                <w:rFonts w:ascii="宋体" w:hAnsi="宋体"/>
                <w:sz w:val="18"/>
                <w:szCs w:val="18"/>
              </w:rPr>
            </w:pPr>
            <w:r>
              <w:rPr>
                <w:rFonts w:ascii="宋体" w:hAnsi="宋体"/>
                <w:sz w:val="18"/>
                <w:szCs w:val="18"/>
              </w:rPr>
              <w:t>固定资产原价</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2</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360" w:firstLineChars="200"/>
              <w:rPr>
                <w:rFonts w:ascii="宋体" w:hAnsi="宋体"/>
                <w:sz w:val="18"/>
                <w:szCs w:val="18"/>
              </w:rPr>
            </w:pPr>
            <w:r>
              <w:rPr>
                <w:rFonts w:hint="eastAsia" w:ascii="宋体" w:hAnsi="宋体"/>
                <w:sz w:val="18"/>
                <w:szCs w:val="18"/>
              </w:rPr>
              <w:t>资产总计</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03</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360" w:firstLineChars="200"/>
              <w:rPr>
                <w:rFonts w:ascii="宋体" w:hAnsi="宋体"/>
                <w:sz w:val="18"/>
                <w:szCs w:val="18"/>
              </w:rPr>
            </w:pPr>
            <w:r>
              <w:rPr>
                <w:rFonts w:hint="eastAsia" w:ascii="宋体" w:hAnsi="宋体"/>
                <w:sz w:val="18"/>
                <w:szCs w:val="18"/>
              </w:rPr>
              <w:t>负债合计</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04</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360" w:firstLineChars="200"/>
              <w:rPr>
                <w:rFonts w:ascii="宋体" w:hAnsi="宋体"/>
                <w:sz w:val="18"/>
                <w:szCs w:val="18"/>
              </w:rPr>
            </w:pPr>
            <w:r>
              <w:rPr>
                <w:rFonts w:ascii="宋体" w:hAnsi="宋体"/>
                <w:sz w:val="18"/>
                <w:szCs w:val="18"/>
              </w:rPr>
              <w:t>本年收入合计</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5</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360" w:firstLineChars="200"/>
              <w:rPr>
                <w:rFonts w:ascii="宋体" w:hAnsi="宋体"/>
                <w:sz w:val="18"/>
                <w:szCs w:val="18"/>
              </w:rPr>
            </w:pPr>
            <w:r>
              <w:rPr>
                <w:rFonts w:ascii="宋体" w:hAnsi="宋体"/>
                <w:sz w:val="18"/>
                <w:szCs w:val="18"/>
              </w:rPr>
              <w:t>本年支出合计</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6</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tabs>
                <w:tab w:val="left" w:pos="1019"/>
              </w:tabs>
              <w:snapToGrid w:val="0"/>
              <w:spacing w:line="280" w:lineRule="exact"/>
              <w:ind w:firstLine="540" w:firstLineChars="300"/>
              <w:rPr>
                <w:rFonts w:ascii="宋体" w:hAnsi="宋体"/>
                <w:sz w:val="18"/>
                <w:szCs w:val="18"/>
              </w:rPr>
            </w:pPr>
            <w:r>
              <w:rPr>
                <w:rFonts w:ascii="宋体" w:hAnsi="宋体"/>
                <w:sz w:val="18"/>
                <w:szCs w:val="18"/>
              </w:rPr>
              <w:t>其中：工资福利支出</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7</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080" w:firstLineChars="600"/>
              <w:rPr>
                <w:rFonts w:ascii="宋体" w:hAnsi="宋体"/>
                <w:sz w:val="18"/>
                <w:szCs w:val="18"/>
              </w:rPr>
            </w:pPr>
            <w:r>
              <w:rPr>
                <w:rFonts w:ascii="宋体" w:hAnsi="宋体"/>
                <w:sz w:val="18"/>
                <w:szCs w:val="18"/>
              </w:rPr>
              <w:t>商品和服务支出</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8</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260" w:firstLineChars="700"/>
              <w:rPr>
                <w:rFonts w:ascii="宋体" w:hAnsi="宋体"/>
                <w:sz w:val="18"/>
                <w:szCs w:val="18"/>
              </w:rPr>
            </w:pPr>
            <w:r>
              <w:rPr>
                <w:rFonts w:ascii="宋体" w:hAnsi="宋体"/>
                <w:sz w:val="18"/>
                <w:szCs w:val="18"/>
              </w:rPr>
              <w:t>其中：取暖费</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9</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差旅费</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10</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因公出国（境）费用</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11</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劳务费</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12</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工会经费</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3</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福利费</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4</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345"/>
              <w:rPr>
                <w:rFonts w:ascii="宋体" w:hAnsi="宋体"/>
                <w:sz w:val="18"/>
                <w:szCs w:val="18"/>
              </w:rPr>
            </w:pPr>
            <w:r>
              <w:rPr>
                <w:rFonts w:ascii="宋体" w:hAnsi="宋体"/>
                <w:sz w:val="18"/>
                <w:szCs w:val="18"/>
              </w:rPr>
              <w:t xml:space="preserve">        对个人和家庭的补助</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5</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345"/>
              <w:rPr>
                <w:rFonts w:ascii="宋体" w:hAnsi="宋体"/>
                <w:sz w:val="18"/>
                <w:szCs w:val="18"/>
              </w:rPr>
            </w:pPr>
            <w:r>
              <w:rPr>
                <w:rFonts w:ascii="宋体" w:hAnsi="宋体"/>
                <w:sz w:val="18"/>
                <w:szCs w:val="18"/>
              </w:rPr>
              <w:t xml:space="preserve">          其中：抚恤金</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6</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63" w:hRule="atLeast"/>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生活补助</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7</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救济费</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8</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助学金</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9</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奖励金</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20</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50" w:type="pct"/>
          </w:tcPr>
          <w:p>
            <w:pPr>
              <w:snapToGrid w:val="0"/>
              <w:spacing w:line="280" w:lineRule="exact"/>
              <w:ind w:firstLine="1800" w:firstLineChars="1000"/>
              <w:rPr>
                <w:rFonts w:ascii="宋体" w:hAnsi="宋体"/>
                <w:sz w:val="18"/>
                <w:szCs w:val="18"/>
              </w:rPr>
            </w:pPr>
            <w:r>
              <w:rPr>
                <w:rFonts w:ascii="宋体" w:hAnsi="宋体"/>
                <w:sz w:val="18"/>
                <w:szCs w:val="18"/>
              </w:rPr>
              <w:t>生产补贴</w:t>
            </w:r>
          </w:p>
        </w:tc>
        <w:tc>
          <w:tcPr>
            <w:tcW w:w="803"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21</w:t>
            </w:r>
          </w:p>
        </w:tc>
        <w:tc>
          <w:tcPr>
            <w:tcW w:w="1631" w:type="pct"/>
          </w:tcPr>
          <w:p>
            <w:pPr>
              <w:snapToGrid w:val="0"/>
              <w:spacing w:line="280" w:lineRule="exact"/>
              <w:jc w:val="center"/>
              <w:rPr>
                <w:rFonts w:ascii="宋体" w:hAnsi="宋体"/>
                <w:sz w:val="18"/>
                <w:szCs w:val="18"/>
              </w:rPr>
            </w:pPr>
          </w:p>
        </w:tc>
      </w:tr>
    </w:tbl>
    <w:p>
      <w:pPr>
        <w:snapToGrid w:val="0"/>
        <w:spacing w:line="240" w:lineRule="exact"/>
        <w:rPr>
          <w:rFonts w:ascii="宋体" w:hAnsi="宋体"/>
          <w:sz w:val="18"/>
          <w:szCs w:val="18"/>
        </w:rPr>
      </w:pPr>
      <w:r>
        <w:rPr>
          <w:rFonts w:ascii="宋体" w:hAnsi="宋体"/>
          <w:sz w:val="18"/>
          <w:szCs w:val="18"/>
        </w:rPr>
        <w:t>单位负责人：</w:t>
      </w:r>
      <w:r>
        <w:rPr>
          <w:rFonts w:ascii="宋体" w:hAnsi="宋体"/>
          <w:sz w:val="18"/>
          <w:szCs w:val="18"/>
        </w:rPr>
        <w:tab/>
      </w:r>
      <w:r>
        <w:rPr>
          <w:rFonts w:ascii="宋体" w:hAnsi="宋体"/>
          <w:sz w:val="18"/>
          <w:szCs w:val="18"/>
        </w:rPr>
        <w:tab/>
      </w:r>
      <w:r>
        <w:rPr>
          <w:rFonts w:ascii="宋体" w:hAnsi="宋体"/>
          <w:sz w:val="18"/>
          <w:szCs w:val="18"/>
        </w:rPr>
        <w:t xml:space="preserve">   统计负责人：</w:t>
      </w:r>
      <w:r>
        <w:rPr>
          <w:rFonts w:ascii="宋体" w:hAnsi="宋体"/>
          <w:sz w:val="18"/>
          <w:szCs w:val="18"/>
        </w:rPr>
        <w:tab/>
      </w:r>
      <w:r>
        <w:rPr>
          <w:rFonts w:ascii="宋体" w:hAnsi="宋体"/>
          <w:sz w:val="18"/>
          <w:szCs w:val="18"/>
        </w:rPr>
        <w:t xml:space="preserve">填表人：   </w:t>
      </w:r>
      <w:r>
        <w:rPr>
          <w:rFonts w:ascii="宋体" w:hAnsi="宋体"/>
          <w:sz w:val="18"/>
          <w:szCs w:val="18"/>
        </w:rPr>
        <w:tab/>
      </w:r>
      <w:r>
        <w:rPr>
          <w:rFonts w:hint="eastAsia" w:ascii="宋体" w:hAnsi="宋体"/>
          <w:sz w:val="18"/>
          <w:szCs w:val="18"/>
        </w:rPr>
        <w:t xml:space="preserve"> 联系电话:</w:t>
      </w:r>
      <w:r>
        <w:rPr>
          <w:rFonts w:ascii="宋体" w:hAnsi="宋体"/>
          <w:sz w:val="18"/>
          <w:szCs w:val="18"/>
        </w:rPr>
        <w:t>报出日期：20  年  月  日</w:t>
      </w:r>
    </w:p>
    <w:p>
      <w:pPr>
        <w:snapToGrid w:val="0"/>
        <w:spacing w:line="192" w:lineRule="auto"/>
        <w:rPr>
          <w:rFonts w:ascii="宋体" w:hAnsi="宋体"/>
          <w:sz w:val="18"/>
        </w:rPr>
      </w:pPr>
    </w:p>
    <w:p>
      <w:pPr>
        <w:snapToGrid w:val="0"/>
        <w:spacing w:line="280" w:lineRule="exact"/>
        <w:ind w:left="1080" w:hanging="1080" w:hangingChars="600"/>
        <w:jc w:val="left"/>
        <w:rPr>
          <w:rFonts w:ascii="宋体" w:hAnsi="宋体"/>
          <w:sz w:val="18"/>
        </w:rPr>
      </w:pPr>
      <w:r>
        <w:rPr>
          <w:rFonts w:ascii="宋体" w:hAnsi="宋体"/>
          <w:sz w:val="18"/>
        </w:rPr>
        <w:t>说明：</w:t>
      </w:r>
      <w:r>
        <w:rPr>
          <w:rFonts w:hint="eastAsia" w:ascii="宋体" w:hAnsi="宋体"/>
          <w:sz w:val="18"/>
        </w:rPr>
        <w:t>1.</w:t>
      </w:r>
      <w:r>
        <w:rPr>
          <w:rFonts w:ascii="宋体" w:hAnsi="宋体"/>
          <w:sz w:val="18"/>
        </w:rPr>
        <w:t>在环</w:t>
      </w:r>
      <w:r>
        <w:rPr>
          <w:rFonts w:hint="eastAsia" w:ascii="宋体" w:hAnsi="宋体"/>
          <w:sz w:val="18"/>
        </w:rPr>
        <w:t>服</w:t>
      </w:r>
      <w:r>
        <w:rPr>
          <w:rFonts w:ascii="宋体" w:hAnsi="宋体"/>
          <w:sz w:val="18"/>
        </w:rPr>
        <w:t>基1表“1</w:t>
      </w:r>
      <w:r>
        <w:rPr>
          <w:rFonts w:hint="eastAsia" w:ascii="宋体" w:hAnsi="宋体"/>
          <w:sz w:val="18"/>
        </w:rPr>
        <w:t>3</w:t>
      </w:r>
      <w:r>
        <w:rPr>
          <w:rFonts w:ascii="宋体" w:hAnsi="宋体"/>
          <w:sz w:val="18"/>
        </w:rPr>
        <w:t>执行会计制度类别”中选填了</w:t>
      </w:r>
      <w:r>
        <w:rPr>
          <w:rFonts w:hint="eastAsia" w:ascii="宋体" w:hAnsi="宋体"/>
          <w:sz w:val="18"/>
          <w:szCs w:val="18"/>
        </w:rPr>
        <w:t>“2行政单位会计制度”</w:t>
      </w:r>
      <w:r>
        <w:rPr>
          <w:rFonts w:ascii="宋体" w:hAnsi="宋体"/>
          <w:sz w:val="18"/>
        </w:rPr>
        <w:t xml:space="preserve"> 的</w:t>
      </w:r>
      <w:r>
        <w:rPr>
          <w:rFonts w:ascii="宋体" w:hAnsi="宋体"/>
          <w:sz w:val="18"/>
          <w:szCs w:val="18"/>
        </w:rPr>
        <w:t>法人单位</w:t>
      </w:r>
      <w:r>
        <w:rPr>
          <w:rFonts w:ascii="宋体" w:hAnsi="宋体"/>
          <w:sz w:val="18"/>
        </w:rPr>
        <w:t>，均须填报本表。</w:t>
      </w:r>
    </w:p>
    <w:p>
      <w:pPr>
        <w:spacing w:line="280" w:lineRule="exact"/>
        <w:ind w:firstLine="540" w:firstLineChars="300"/>
        <w:rPr>
          <w:sz w:val="24"/>
          <w:szCs w:val="24"/>
        </w:rPr>
      </w:pPr>
      <w:r>
        <w:rPr>
          <w:rFonts w:hint="eastAsia" w:ascii="宋体" w:hAnsi="宋体"/>
          <w:sz w:val="18"/>
          <w:szCs w:val="18"/>
        </w:rPr>
        <w:t>2.审核</w:t>
      </w:r>
      <w:r>
        <w:rPr>
          <w:rFonts w:hint="eastAsia" w:ascii="宋体" w:hAnsi="宋体"/>
          <w:sz w:val="18"/>
        </w:rPr>
        <w:t>关系</w:t>
      </w:r>
      <w:r>
        <w:rPr>
          <w:rFonts w:hint="eastAsia" w:ascii="宋体" w:hAnsi="宋体"/>
          <w:sz w:val="18"/>
          <w:szCs w:val="18"/>
        </w:rPr>
        <w:t>：07+08+15</w:t>
      </w:r>
      <w:r>
        <w:rPr>
          <w:rFonts w:ascii="宋体" w:hAnsi="宋体"/>
          <w:sz w:val="18"/>
        </w:rPr>
        <w:t>≤</w:t>
      </w:r>
      <w:r>
        <w:rPr>
          <w:rFonts w:hint="eastAsia" w:ascii="宋体" w:hAnsi="宋体"/>
          <w:sz w:val="18"/>
          <w:szCs w:val="18"/>
        </w:rPr>
        <w:t>06，09+10+11+12+13+14</w:t>
      </w:r>
      <w:r>
        <w:rPr>
          <w:rFonts w:ascii="宋体" w:hAnsi="宋体"/>
          <w:sz w:val="18"/>
        </w:rPr>
        <w:t>≤</w:t>
      </w:r>
      <w:r>
        <w:rPr>
          <w:rFonts w:hint="eastAsia" w:ascii="宋体" w:hAnsi="宋体"/>
          <w:sz w:val="18"/>
        </w:rPr>
        <w:t>08，16+17+18+19+20+21</w:t>
      </w:r>
      <w:r>
        <w:rPr>
          <w:rFonts w:ascii="宋体" w:hAnsi="宋体"/>
          <w:sz w:val="18"/>
        </w:rPr>
        <w:t>≤</w:t>
      </w:r>
      <w:r>
        <w:rPr>
          <w:rFonts w:hint="eastAsia" w:ascii="宋体" w:hAnsi="宋体"/>
          <w:sz w:val="18"/>
        </w:rPr>
        <w:t>15。</w:t>
      </w:r>
    </w:p>
    <w:p>
      <w:pPr>
        <w:snapToGrid w:val="0"/>
        <w:ind w:left="1080" w:right="-239" w:rightChars="-114"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ind w:left="1080" w:hanging="1080" w:hangingChars="600"/>
        <w:jc w:val="left"/>
        <w:rPr>
          <w:rFonts w:ascii="宋体" w:hAnsi="宋体"/>
          <w:sz w:val="18"/>
        </w:rPr>
      </w:pPr>
    </w:p>
    <w:p>
      <w:pPr>
        <w:snapToGrid w:val="0"/>
        <w:jc w:val="center"/>
        <w:rPr>
          <w:rFonts w:ascii="宋体" w:hAnsi="宋体"/>
          <w:sz w:val="32"/>
          <w:szCs w:val="32"/>
        </w:rPr>
      </w:pPr>
      <w:r>
        <w:rPr>
          <w:rFonts w:ascii="宋体" w:hAnsi="宋体"/>
          <w:sz w:val="32"/>
          <w:szCs w:val="32"/>
        </w:rPr>
        <w:t>事业单位</w:t>
      </w:r>
      <w:r>
        <w:rPr>
          <w:rFonts w:hint="eastAsia" w:ascii="宋体" w:hAnsi="宋体"/>
          <w:sz w:val="32"/>
          <w:szCs w:val="32"/>
        </w:rPr>
        <w:t>财务状况</w:t>
      </w:r>
    </w:p>
    <w:p>
      <w:pPr>
        <w:snapToGrid w:val="0"/>
        <w:spacing w:line="204" w:lineRule="auto"/>
        <w:jc w:val="center"/>
        <w:rPr>
          <w:rFonts w:ascii="宋体" w:hAnsi="宋体"/>
          <w:sz w:val="18"/>
          <w:szCs w:val="18"/>
        </w:rPr>
      </w:pPr>
    </w:p>
    <w:p>
      <w:pPr>
        <w:snapToGrid w:val="0"/>
        <w:spacing w:after="120" w:line="192" w:lineRule="auto"/>
        <w:rPr>
          <w:rFonts w:ascii="宋体" w:hAnsi="宋体"/>
          <w:sz w:val="18"/>
          <w:szCs w:val="18"/>
        </w:rPr>
      </w:pPr>
      <w:r>
        <w:rPr>
          <w:rFonts w:ascii="宋体" w:hAnsi="宋体"/>
          <w:sz w:val="32"/>
          <w:szCs w:val="32"/>
        </w:rPr>
        <w:pict>
          <v:shape id="_x0000_s1032" o:spid="_x0000_s1032" o:spt="202" type="#_x0000_t202" style="position:absolute;left:0pt;margin-left:340.2pt;margin-top:1.05pt;height:67pt;width:138.55pt;z-index:251660288;mso-width-relative:page;mso-height-relative:page;" filled="f" stroked="f" coordsize="21600,21600">
            <v:path/>
            <v:fill on="f" focussize="0,0"/>
            <v:stroke on="f" joinstyle="miter"/>
            <v:imagedata o:title=""/>
            <o:lock v:ext="edit"/>
            <v:textbox>
              <w:txbxContent>
                <w:p>
                  <w:pPr>
                    <w:adjustRightInd w:val="0"/>
                    <w:snapToGrid w:val="0"/>
                    <w:spacing w:line="240" w:lineRule="exact"/>
                    <w:rPr>
                      <w:rFonts w:ascii="宋体" w:hAnsi="宋体"/>
                      <w:color w:val="008080"/>
                      <w:sz w:val="18"/>
                    </w:rPr>
                  </w:pPr>
                  <w:r>
                    <w:rPr>
                      <w:rFonts w:hint="eastAsia" w:ascii="宋体" w:hAnsi="宋体"/>
                      <w:sz w:val="18"/>
                    </w:rPr>
                    <w:t>表    号：       环服基4表</w:t>
                  </w:r>
                </w:p>
                <w:p>
                  <w:pPr>
                    <w:adjustRightInd w:val="0"/>
                    <w:snapToGrid w:val="0"/>
                    <w:spacing w:line="240" w:lineRule="exact"/>
                    <w:rPr>
                      <w:rFonts w:ascii="宋体" w:hAnsi="宋体"/>
                      <w:sz w:val="18"/>
                    </w:rPr>
                  </w:pPr>
                  <w:r>
                    <w:rPr>
                      <w:rFonts w:hint="eastAsia" w:ascii="宋体" w:hAnsi="宋体"/>
                      <w:sz w:val="18"/>
                    </w:rPr>
                    <w:t>制定机关：       生态环境部</w:t>
                  </w:r>
                </w:p>
                <w:p>
                  <w:pPr>
                    <w:adjustRightInd w:val="0"/>
                    <w:snapToGrid w:val="0"/>
                    <w:spacing w:line="240" w:lineRule="exact"/>
                    <w:rPr>
                      <w:rFonts w:ascii="宋体" w:hAnsi="宋体"/>
                      <w:sz w:val="18"/>
                    </w:rPr>
                  </w:pPr>
                  <w:r>
                    <w:rPr>
                      <w:rFonts w:hint="eastAsia" w:ascii="宋体" w:hAnsi="宋体"/>
                      <w:sz w:val="18"/>
                    </w:rPr>
                    <w:t>批准机关：       国家统计局</w:t>
                  </w:r>
                </w:p>
                <w:p>
                  <w:pPr>
                    <w:adjustRightInd w:val="0"/>
                    <w:snapToGrid w:val="0"/>
                    <w:spacing w:line="240" w:lineRule="exact"/>
                    <w:rPr>
                      <w:rFonts w:ascii="宋体" w:hAnsi="宋体"/>
                      <w:sz w:val="18"/>
                    </w:rPr>
                  </w:pPr>
                  <w:r>
                    <w:rPr>
                      <w:rFonts w:hint="eastAsia" w:ascii="宋体" w:hAnsi="宋体"/>
                      <w:sz w:val="18"/>
                    </w:rPr>
                    <w:t>批准文号：</w:t>
                  </w:r>
                  <w:r>
                    <w:rPr>
                      <w:rFonts w:hint="eastAsia"/>
                      <w:sz w:val="18"/>
                    </w:rPr>
                    <w:t>国统制</w:t>
                  </w:r>
                  <w:r>
                    <w:rPr>
                      <w:rFonts w:hint="eastAsia" w:ascii="宋体" w:hAnsi="宋体"/>
                      <w:sz w:val="18"/>
                    </w:rPr>
                    <w:t>[2019]41</w:t>
                  </w:r>
                  <w:r>
                    <w:rPr>
                      <w:rFonts w:hint="eastAsia"/>
                      <w:sz w:val="18"/>
                    </w:rPr>
                    <w:t>号</w:t>
                  </w:r>
                </w:p>
                <w:p>
                  <w:pPr>
                    <w:adjustRightInd w:val="0"/>
                    <w:snapToGrid w:val="0"/>
                    <w:spacing w:line="240" w:lineRule="exact"/>
                  </w:pPr>
                  <w:r>
                    <w:rPr>
                      <w:rFonts w:hint="eastAsia" w:ascii="宋体" w:hAnsi="宋体"/>
                      <w:sz w:val="18"/>
                    </w:rPr>
                    <w:t>有效期至：      202</w:t>
                  </w:r>
                  <w:r>
                    <w:rPr>
                      <w:rFonts w:ascii="宋体" w:hAnsi="宋体"/>
                      <w:sz w:val="18"/>
                    </w:rPr>
                    <w:t>2</w:t>
                  </w:r>
                  <w:r>
                    <w:rPr>
                      <w:rFonts w:hint="eastAsia" w:ascii="宋体" w:hAnsi="宋体"/>
                      <w:sz w:val="18"/>
                    </w:rPr>
                    <w:t>年4月</w:t>
                  </w:r>
                </w:p>
              </w:txbxContent>
            </v:textbox>
          </v:shape>
        </w:pict>
      </w:r>
    </w:p>
    <w:p>
      <w:pPr>
        <w:snapToGrid w:val="0"/>
        <w:spacing w:after="120" w:line="120" w:lineRule="auto"/>
        <w:rPr>
          <w:rFonts w:ascii="宋体" w:hAnsi="宋体"/>
          <w:sz w:val="18"/>
          <w:szCs w:val="18"/>
        </w:rPr>
      </w:pPr>
    </w:p>
    <w:p>
      <w:pPr>
        <w:snapToGrid w:val="0"/>
        <w:spacing w:after="120" w:line="120" w:lineRule="auto"/>
        <w:rPr>
          <w:rFonts w:ascii="宋体" w:hAnsi="宋体"/>
          <w:sz w:val="18"/>
          <w:szCs w:val="18"/>
        </w:rPr>
      </w:pPr>
    </w:p>
    <w:p>
      <w:pPr>
        <w:snapToGrid w:val="0"/>
        <w:spacing w:line="264" w:lineRule="auto"/>
        <w:jc w:val="left"/>
        <w:rPr>
          <w:rFonts w:ascii="宋体" w:hAnsi="宋体"/>
          <w:sz w:val="18"/>
          <w:szCs w:val="18"/>
        </w:rPr>
      </w:pPr>
      <w:r>
        <w:rPr>
          <w:rFonts w:hint="eastAsia" w:ascii="宋体" w:hAnsi="宋体"/>
          <w:sz w:val="18"/>
          <w:szCs w:val="18"/>
        </w:rPr>
        <w:t>统一社会信用代码</w:t>
      </w:r>
      <w:r>
        <w:rPr>
          <w:rFonts w:ascii="宋体" w:hAnsi="宋体"/>
          <w:sz w:val="18"/>
          <w:szCs w:val="18"/>
        </w:rPr>
        <w:t>□□□□□□□□□□□□□□□□□□</w:t>
      </w:r>
    </w:p>
    <w:p>
      <w:pPr>
        <w:snapToGrid w:val="0"/>
        <w:spacing w:line="264" w:lineRule="auto"/>
        <w:jc w:val="left"/>
        <w:rPr>
          <w:rFonts w:ascii="宋体" w:hAnsi="宋体"/>
          <w:sz w:val="18"/>
          <w:szCs w:val="18"/>
        </w:rPr>
      </w:pPr>
      <w:r>
        <w:rPr>
          <w:rFonts w:ascii="宋体" w:hAnsi="宋体"/>
          <w:sz w:val="18"/>
          <w:szCs w:val="18"/>
        </w:rPr>
        <w:t xml:space="preserve">单位详细名称：                                 </w:t>
      </w:r>
      <w:r>
        <w:rPr>
          <w:rFonts w:hint="eastAsia" w:ascii="宋体" w:hAnsi="宋体"/>
          <w:sz w:val="18"/>
        </w:rPr>
        <w:t>２０　</w:t>
      </w:r>
      <w:r>
        <w:rPr>
          <w:rFonts w:ascii="宋体" w:hAnsi="宋体"/>
          <w:sz w:val="18"/>
          <w:szCs w:val="18"/>
        </w:rPr>
        <w:t>年</w:t>
      </w:r>
    </w:p>
    <w:tbl>
      <w:tblPr>
        <w:tblStyle w:val="17"/>
        <w:tblW w:w="5000" w:type="pct"/>
        <w:jc w:val="center"/>
        <w:tblBorders>
          <w:top w:val="single" w:color="auto" w:sz="8" w:space="0"/>
          <w:left w:val="none" w:color="auto" w:sz="0" w:space="0"/>
          <w:bottom w:val="single" w:color="auto" w:sz="8" w:space="0"/>
          <w:right w:val="none" w:color="auto" w:sz="0" w:space="0"/>
          <w:insideH w:val="none" w:color="auto" w:sz="0" w:space="0"/>
          <w:insideV w:val="single" w:color="auto" w:sz="2" w:space="0"/>
        </w:tblBorders>
        <w:tblLayout w:type="autofit"/>
        <w:tblCellMar>
          <w:top w:w="0" w:type="dxa"/>
          <w:left w:w="108" w:type="dxa"/>
          <w:bottom w:w="0" w:type="dxa"/>
          <w:right w:w="108" w:type="dxa"/>
        </w:tblCellMar>
      </w:tblPr>
      <w:tblGrid>
        <w:gridCol w:w="3935"/>
        <w:gridCol w:w="1560"/>
        <w:gridCol w:w="992"/>
        <w:gridCol w:w="3141"/>
      </w:tblGrid>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Borders>
              <w:top w:val="single" w:color="auto" w:sz="8"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指标名称</w:t>
            </w:r>
          </w:p>
        </w:tc>
        <w:tc>
          <w:tcPr>
            <w:tcW w:w="810" w:type="pct"/>
            <w:tcBorders>
              <w:top w:val="single" w:color="auto" w:sz="8" w:space="0"/>
              <w:bottom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计量单位</w:t>
            </w:r>
          </w:p>
        </w:tc>
        <w:tc>
          <w:tcPr>
            <w:tcW w:w="515" w:type="pct"/>
            <w:tcBorders>
              <w:top w:val="single" w:color="auto" w:sz="8" w:space="0"/>
              <w:bottom w:val="single" w:color="auto" w:sz="2" w:space="0"/>
            </w:tcBorders>
            <w:vAlign w:val="center"/>
          </w:tcPr>
          <w:p>
            <w:pPr>
              <w:snapToGrid w:val="0"/>
              <w:spacing w:line="280" w:lineRule="exact"/>
              <w:jc w:val="center"/>
              <w:rPr>
                <w:rFonts w:ascii="宋体" w:hAnsi="宋体"/>
                <w:sz w:val="18"/>
                <w:szCs w:val="18"/>
              </w:rPr>
            </w:pPr>
            <w:r>
              <w:rPr>
                <w:rFonts w:ascii="宋体" w:hAnsi="宋体"/>
                <w:sz w:val="18"/>
                <w:szCs w:val="18"/>
              </w:rPr>
              <w:t>代码</w:t>
            </w:r>
          </w:p>
        </w:tc>
        <w:tc>
          <w:tcPr>
            <w:tcW w:w="1631" w:type="pct"/>
            <w:tcBorders>
              <w:top w:val="single" w:color="auto" w:sz="8"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本年实际</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Borders>
              <w:top w:val="single" w:color="auto" w:sz="2"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甲</w:t>
            </w:r>
          </w:p>
        </w:tc>
        <w:tc>
          <w:tcPr>
            <w:tcW w:w="810" w:type="pct"/>
            <w:tcBorders>
              <w:top w:val="single" w:color="auto" w:sz="2" w:space="0"/>
              <w:bottom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乙</w:t>
            </w:r>
          </w:p>
        </w:tc>
        <w:tc>
          <w:tcPr>
            <w:tcW w:w="515" w:type="pct"/>
            <w:tcBorders>
              <w:top w:val="single" w:color="auto" w:sz="2" w:space="0"/>
              <w:bottom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丙</w:t>
            </w:r>
          </w:p>
        </w:tc>
        <w:tc>
          <w:tcPr>
            <w:tcW w:w="1631" w:type="pct"/>
            <w:tcBorders>
              <w:top w:val="single" w:color="auto" w:sz="2" w:space="0"/>
              <w:bottom w:val="single" w:color="auto" w:sz="2" w:space="0"/>
            </w:tcBorders>
          </w:tcPr>
          <w:p>
            <w:pPr>
              <w:snapToGrid w:val="0"/>
              <w:spacing w:line="280" w:lineRule="exact"/>
              <w:jc w:val="center"/>
              <w:rPr>
                <w:rFonts w:ascii="宋体" w:hAnsi="宋体"/>
                <w:sz w:val="18"/>
                <w:szCs w:val="18"/>
              </w:rPr>
            </w:pPr>
            <w:r>
              <w:rPr>
                <w:rFonts w:ascii="宋体" w:hAnsi="宋体"/>
                <w:sz w:val="18"/>
                <w:szCs w:val="18"/>
              </w:rPr>
              <w:t>1</w:t>
            </w: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Borders>
              <w:top w:val="single" w:color="auto" w:sz="2" w:space="0"/>
            </w:tcBorders>
          </w:tcPr>
          <w:p>
            <w:pPr>
              <w:snapToGrid w:val="0"/>
              <w:spacing w:line="280" w:lineRule="exact"/>
              <w:ind w:firstLine="360" w:firstLineChars="200"/>
              <w:rPr>
                <w:rFonts w:ascii="宋体" w:hAnsi="宋体"/>
                <w:sz w:val="18"/>
                <w:szCs w:val="18"/>
              </w:rPr>
            </w:pPr>
            <w:r>
              <w:rPr>
                <w:rFonts w:hint="eastAsia" w:ascii="宋体" w:hAnsi="宋体"/>
                <w:sz w:val="18"/>
                <w:szCs w:val="18"/>
              </w:rPr>
              <w:t>存货</w:t>
            </w:r>
          </w:p>
        </w:tc>
        <w:tc>
          <w:tcPr>
            <w:tcW w:w="810" w:type="pct"/>
            <w:tcBorders>
              <w:top w:val="single" w:color="auto" w:sz="2" w:space="0"/>
            </w:tcBorders>
          </w:tcPr>
          <w:p>
            <w:pPr>
              <w:snapToGrid w:val="0"/>
              <w:spacing w:line="280" w:lineRule="exact"/>
              <w:jc w:val="center"/>
              <w:rPr>
                <w:rFonts w:ascii="宋体" w:hAnsi="宋体"/>
                <w:sz w:val="18"/>
                <w:szCs w:val="18"/>
              </w:rPr>
            </w:pPr>
            <w:r>
              <w:rPr>
                <w:rFonts w:hint="eastAsia" w:ascii="宋体" w:hAnsi="宋体"/>
                <w:sz w:val="18"/>
                <w:szCs w:val="18"/>
              </w:rPr>
              <w:t>万元</w:t>
            </w:r>
          </w:p>
        </w:tc>
        <w:tc>
          <w:tcPr>
            <w:tcW w:w="515" w:type="pct"/>
            <w:tcBorders>
              <w:top w:val="single" w:color="auto" w:sz="2" w:space="0"/>
            </w:tcBorders>
            <w:vAlign w:val="center"/>
          </w:tcPr>
          <w:p>
            <w:pPr>
              <w:snapToGrid w:val="0"/>
              <w:spacing w:line="280" w:lineRule="exact"/>
              <w:jc w:val="center"/>
              <w:rPr>
                <w:rFonts w:ascii="宋体" w:hAnsi="宋体"/>
                <w:sz w:val="18"/>
                <w:szCs w:val="18"/>
              </w:rPr>
            </w:pPr>
            <w:r>
              <w:rPr>
                <w:rFonts w:hint="eastAsia" w:ascii="宋体" w:hAnsi="宋体"/>
                <w:sz w:val="18"/>
                <w:szCs w:val="18"/>
              </w:rPr>
              <w:t>01</w:t>
            </w:r>
          </w:p>
        </w:tc>
        <w:tc>
          <w:tcPr>
            <w:tcW w:w="1631" w:type="pct"/>
            <w:tcBorders>
              <w:top w:val="single" w:color="auto" w:sz="2" w:space="0"/>
            </w:tcBorders>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60" w:firstLineChars="200"/>
              <w:rPr>
                <w:rFonts w:ascii="宋体" w:hAnsi="宋体"/>
                <w:sz w:val="18"/>
                <w:szCs w:val="18"/>
              </w:rPr>
            </w:pPr>
            <w:r>
              <w:rPr>
                <w:rFonts w:ascii="宋体" w:hAnsi="宋体"/>
                <w:sz w:val="18"/>
                <w:szCs w:val="18"/>
              </w:rPr>
              <w:t>固定资产原价</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2</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60" w:firstLineChars="200"/>
              <w:rPr>
                <w:rFonts w:ascii="宋体" w:hAnsi="宋体"/>
                <w:sz w:val="18"/>
                <w:szCs w:val="18"/>
              </w:rPr>
            </w:pPr>
            <w:r>
              <w:rPr>
                <w:rFonts w:hint="eastAsia" w:ascii="宋体" w:hAnsi="宋体"/>
                <w:sz w:val="18"/>
                <w:szCs w:val="18"/>
              </w:rPr>
              <w:t>资产总计</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03</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60" w:firstLineChars="200"/>
              <w:rPr>
                <w:rFonts w:ascii="宋体" w:hAnsi="宋体"/>
                <w:sz w:val="18"/>
                <w:szCs w:val="18"/>
              </w:rPr>
            </w:pPr>
            <w:r>
              <w:rPr>
                <w:rFonts w:hint="eastAsia" w:ascii="宋体" w:hAnsi="宋体"/>
                <w:sz w:val="18"/>
                <w:szCs w:val="18"/>
              </w:rPr>
              <w:t>负债合计</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04</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60" w:firstLineChars="200"/>
              <w:rPr>
                <w:rFonts w:ascii="宋体" w:hAnsi="宋体"/>
                <w:sz w:val="18"/>
                <w:szCs w:val="18"/>
              </w:rPr>
            </w:pPr>
            <w:r>
              <w:rPr>
                <w:rFonts w:ascii="宋体" w:hAnsi="宋体"/>
                <w:sz w:val="18"/>
                <w:szCs w:val="18"/>
              </w:rPr>
              <w:t>本年收入合计</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5</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60" w:firstLineChars="200"/>
              <w:rPr>
                <w:rFonts w:ascii="宋体" w:hAnsi="宋体"/>
                <w:sz w:val="18"/>
                <w:szCs w:val="18"/>
              </w:rPr>
            </w:pPr>
            <w:r>
              <w:rPr>
                <w:rFonts w:ascii="宋体" w:hAnsi="宋体"/>
                <w:sz w:val="18"/>
                <w:szCs w:val="18"/>
              </w:rPr>
              <w:t xml:space="preserve">  其中：</w:t>
            </w:r>
            <w:r>
              <w:rPr>
                <w:rFonts w:hint="eastAsia" w:ascii="宋体" w:hAnsi="宋体"/>
                <w:sz w:val="18"/>
                <w:szCs w:val="18"/>
              </w:rPr>
              <w:t>事业收入</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6</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900" w:firstLineChars="500"/>
              <w:rPr>
                <w:rFonts w:ascii="宋体" w:hAnsi="宋体"/>
                <w:sz w:val="18"/>
                <w:szCs w:val="18"/>
              </w:rPr>
            </w:pPr>
            <w:r>
              <w:rPr>
                <w:rFonts w:hint="eastAsia" w:ascii="宋体" w:hAnsi="宋体"/>
                <w:sz w:val="18"/>
                <w:szCs w:val="18"/>
              </w:rPr>
              <w:t>经营</w:t>
            </w:r>
            <w:r>
              <w:rPr>
                <w:rFonts w:ascii="宋体" w:hAnsi="宋体"/>
                <w:sz w:val="18"/>
                <w:szCs w:val="18"/>
              </w:rPr>
              <w:t>收入</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7</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60" w:firstLineChars="200"/>
              <w:rPr>
                <w:rFonts w:ascii="宋体" w:hAnsi="宋体"/>
                <w:sz w:val="18"/>
                <w:szCs w:val="18"/>
              </w:rPr>
            </w:pPr>
            <w:r>
              <w:rPr>
                <w:rFonts w:ascii="宋体" w:hAnsi="宋体"/>
                <w:sz w:val="18"/>
                <w:szCs w:val="18"/>
              </w:rPr>
              <w:t>本年支出合计</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8</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tabs>
                <w:tab w:val="left" w:pos="1019"/>
              </w:tabs>
              <w:snapToGrid w:val="0"/>
              <w:spacing w:line="280" w:lineRule="exact"/>
              <w:ind w:firstLine="540" w:firstLineChars="300"/>
              <w:rPr>
                <w:rFonts w:ascii="宋体" w:hAnsi="宋体"/>
                <w:sz w:val="18"/>
                <w:szCs w:val="18"/>
              </w:rPr>
            </w:pPr>
            <w:r>
              <w:rPr>
                <w:rFonts w:ascii="宋体" w:hAnsi="宋体"/>
                <w:sz w:val="18"/>
                <w:szCs w:val="18"/>
              </w:rPr>
              <w:t>其中：工资福利支出</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0</w:t>
            </w:r>
            <w:r>
              <w:rPr>
                <w:rFonts w:hint="eastAsia" w:ascii="宋体" w:hAnsi="宋体"/>
                <w:sz w:val="18"/>
                <w:szCs w:val="18"/>
              </w:rPr>
              <w:t>9</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080" w:firstLineChars="600"/>
              <w:rPr>
                <w:rFonts w:ascii="宋体" w:hAnsi="宋体"/>
                <w:sz w:val="18"/>
                <w:szCs w:val="18"/>
              </w:rPr>
            </w:pPr>
            <w:r>
              <w:rPr>
                <w:rFonts w:ascii="宋体" w:hAnsi="宋体"/>
                <w:sz w:val="18"/>
                <w:szCs w:val="18"/>
              </w:rPr>
              <w:t>商品和服务支出</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10</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260" w:firstLineChars="700"/>
              <w:rPr>
                <w:rFonts w:ascii="宋体" w:hAnsi="宋体"/>
                <w:sz w:val="18"/>
                <w:szCs w:val="18"/>
              </w:rPr>
            </w:pPr>
            <w:r>
              <w:rPr>
                <w:rFonts w:ascii="宋体" w:hAnsi="宋体"/>
                <w:sz w:val="18"/>
                <w:szCs w:val="18"/>
              </w:rPr>
              <w:t>其中：取暖费</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11</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差旅费</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12</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因公出国（境）费用</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3</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劳务费</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4</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工会经费</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5</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福利费</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6</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45"/>
              <w:rPr>
                <w:rFonts w:ascii="宋体" w:hAnsi="宋体"/>
                <w:sz w:val="18"/>
                <w:szCs w:val="18"/>
              </w:rPr>
            </w:pPr>
            <w:r>
              <w:rPr>
                <w:rFonts w:ascii="宋体" w:hAnsi="宋体"/>
                <w:sz w:val="18"/>
                <w:szCs w:val="18"/>
              </w:rPr>
              <w:t xml:space="preserve">        对个人和家庭的补助</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7</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45"/>
              <w:rPr>
                <w:rFonts w:ascii="宋体" w:hAnsi="宋体"/>
                <w:sz w:val="18"/>
                <w:szCs w:val="18"/>
              </w:rPr>
            </w:pPr>
            <w:r>
              <w:rPr>
                <w:rFonts w:ascii="宋体" w:hAnsi="宋体"/>
                <w:sz w:val="18"/>
                <w:szCs w:val="18"/>
              </w:rPr>
              <w:t xml:space="preserve">          其中：抚恤金</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8</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trHeight w:val="63" w:hRule="atLeast"/>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生活补助</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1</w:t>
            </w:r>
            <w:r>
              <w:rPr>
                <w:rFonts w:hint="eastAsia" w:ascii="宋体" w:hAnsi="宋体"/>
                <w:sz w:val="18"/>
                <w:szCs w:val="18"/>
              </w:rPr>
              <w:t>9</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救济费</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20</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助学金</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21</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奖励金</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hint="eastAsia" w:ascii="宋体" w:hAnsi="宋体"/>
                <w:sz w:val="18"/>
                <w:szCs w:val="18"/>
              </w:rPr>
              <w:t>22</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1800" w:firstLineChars="1000"/>
              <w:rPr>
                <w:rFonts w:ascii="宋体" w:hAnsi="宋体"/>
                <w:sz w:val="18"/>
                <w:szCs w:val="18"/>
              </w:rPr>
            </w:pPr>
            <w:r>
              <w:rPr>
                <w:rFonts w:ascii="宋体" w:hAnsi="宋体"/>
                <w:sz w:val="18"/>
                <w:szCs w:val="18"/>
              </w:rPr>
              <w:t>生产补贴</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2</w:t>
            </w:r>
            <w:r>
              <w:rPr>
                <w:rFonts w:hint="eastAsia" w:ascii="宋体" w:hAnsi="宋体"/>
                <w:sz w:val="18"/>
                <w:szCs w:val="18"/>
              </w:rPr>
              <w:t>3</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900" w:firstLineChars="500"/>
              <w:rPr>
                <w:rFonts w:ascii="宋体" w:hAnsi="宋体"/>
                <w:sz w:val="18"/>
                <w:szCs w:val="18"/>
              </w:rPr>
            </w:pPr>
            <w:r>
              <w:rPr>
                <w:rFonts w:ascii="宋体" w:hAnsi="宋体"/>
                <w:sz w:val="18"/>
                <w:szCs w:val="18"/>
              </w:rPr>
              <w:t xml:space="preserve">  经营支出</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2</w:t>
            </w:r>
            <w:r>
              <w:rPr>
                <w:rFonts w:hint="eastAsia" w:ascii="宋体" w:hAnsi="宋体"/>
                <w:sz w:val="18"/>
                <w:szCs w:val="18"/>
              </w:rPr>
              <w:t>4</w:t>
            </w:r>
          </w:p>
        </w:tc>
        <w:tc>
          <w:tcPr>
            <w:tcW w:w="1631" w:type="pct"/>
          </w:tcPr>
          <w:p>
            <w:pPr>
              <w:snapToGrid w:val="0"/>
              <w:spacing w:line="280" w:lineRule="exact"/>
              <w:jc w:val="center"/>
              <w:rPr>
                <w:rFonts w:ascii="宋体" w:hAnsi="宋体"/>
                <w:sz w:val="18"/>
                <w:szCs w:val="18"/>
              </w:rPr>
            </w:pPr>
          </w:p>
        </w:tc>
      </w:tr>
      <w:tr>
        <w:tblPrEx>
          <w:tblBorders>
            <w:top w:val="single" w:color="auto" w:sz="8" w:space="0"/>
            <w:left w:val="none" w:color="auto" w:sz="0" w:space="0"/>
            <w:bottom w:val="single" w:color="auto" w:sz="8" w:space="0"/>
            <w:right w:val="none" w:color="auto" w:sz="0" w:space="0"/>
            <w:insideH w:val="none" w:color="auto" w:sz="0" w:space="0"/>
            <w:insideV w:val="single" w:color="auto" w:sz="2" w:space="0"/>
          </w:tblBorders>
          <w:tblCellMar>
            <w:top w:w="0" w:type="dxa"/>
            <w:left w:w="108" w:type="dxa"/>
            <w:bottom w:w="0" w:type="dxa"/>
            <w:right w:w="108" w:type="dxa"/>
          </w:tblCellMar>
        </w:tblPrEx>
        <w:trPr>
          <w:jc w:val="center"/>
        </w:trPr>
        <w:tc>
          <w:tcPr>
            <w:tcW w:w="2044" w:type="pct"/>
          </w:tcPr>
          <w:p>
            <w:pPr>
              <w:snapToGrid w:val="0"/>
              <w:spacing w:line="280" w:lineRule="exact"/>
              <w:ind w:firstLine="360" w:firstLineChars="200"/>
              <w:rPr>
                <w:rFonts w:ascii="宋体" w:hAnsi="宋体"/>
                <w:sz w:val="18"/>
                <w:szCs w:val="18"/>
              </w:rPr>
            </w:pPr>
            <w:r>
              <w:rPr>
                <w:rFonts w:hint="eastAsia" w:ascii="宋体" w:hAnsi="宋体"/>
                <w:sz w:val="18"/>
                <w:szCs w:val="18"/>
              </w:rPr>
              <w:t>销售</w:t>
            </w:r>
            <w:r>
              <w:rPr>
                <w:rFonts w:ascii="宋体" w:hAnsi="宋体"/>
                <w:sz w:val="18"/>
                <w:szCs w:val="18"/>
              </w:rPr>
              <w:t>税金</w:t>
            </w:r>
          </w:p>
        </w:tc>
        <w:tc>
          <w:tcPr>
            <w:tcW w:w="810" w:type="pct"/>
          </w:tcPr>
          <w:p>
            <w:pPr>
              <w:spacing w:line="280" w:lineRule="exact"/>
              <w:jc w:val="center"/>
              <w:rPr>
                <w:rFonts w:ascii="宋体" w:hAnsi="宋体"/>
                <w:sz w:val="18"/>
                <w:szCs w:val="18"/>
              </w:rPr>
            </w:pPr>
            <w:r>
              <w:rPr>
                <w:rFonts w:hint="eastAsia" w:ascii="宋体" w:hAnsi="宋体"/>
                <w:sz w:val="18"/>
                <w:szCs w:val="18"/>
              </w:rPr>
              <w:t>万元</w:t>
            </w:r>
          </w:p>
        </w:tc>
        <w:tc>
          <w:tcPr>
            <w:tcW w:w="515" w:type="pct"/>
            <w:vAlign w:val="center"/>
          </w:tcPr>
          <w:p>
            <w:pPr>
              <w:snapToGrid w:val="0"/>
              <w:spacing w:line="280" w:lineRule="exact"/>
              <w:jc w:val="center"/>
              <w:rPr>
                <w:rFonts w:ascii="宋体" w:hAnsi="宋体"/>
                <w:sz w:val="18"/>
                <w:szCs w:val="18"/>
              </w:rPr>
            </w:pPr>
            <w:r>
              <w:rPr>
                <w:rFonts w:ascii="宋体" w:hAnsi="宋体"/>
                <w:sz w:val="18"/>
                <w:szCs w:val="18"/>
              </w:rPr>
              <w:t>2</w:t>
            </w:r>
            <w:r>
              <w:rPr>
                <w:rFonts w:hint="eastAsia" w:ascii="宋体" w:hAnsi="宋体"/>
                <w:sz w:val="18"/>
                <w:szCs w:val="18"/>
              </w:rPr>
              <w:t>5</w:t>
            </w:r>
          </w:p>
        </w:tc>
        <w:tc>
          <w:tcPr>
            <w:tcW w:w="1631" w:type="pct"/>
          </w:tcPr>
          <w:p>
            <w:pPr>
              <w:snapToGrid w:val="0"/>
              <w:spacing w:line="280" w:lineRule="exact"/>
              <w:jc w:val="center"/>
              <w:rPr>
                <w:rFonts w:ascii="宋体" w:hAnsi="宋体"/>
                <w:sz w:val="18"/>
                <w:szCs w:val="18"/>
              </w:rPr>
            </w:pPr>
          </w:p>
        </w:tc>
      </w:tr>
    </w:tbl>
    <w:p>
      <w:pPr>
        <w:snapToGrid w:val="0"/>
        <w:spacing w:line="240" w:lineRule="exact"/>
        <w:rPr>
          <w:rFonts w:ascii="宋体" w:hAnsi="宋体"/>
          <w:sz w:val="18"/>
          <w:szCs w:val="18"/>
        </w:rPr>
      </w:pPr>
      <w:r>
        <w:rPr>
          <w:rFonts w:ascii="宋体" w:hAnsi="宋体"/>
          <w:sz w:val="18"/>
          <w:szCs w:val="18"/>
        </w:rPr>
        <w:t>单位负责人：</w:t>
      </w:r>
      <w:r>
        <w:rPr>
          <w:rFonts w:ascii="宋体" w:hAnsi="宋体"/>
          <w:sz w:val="18"/>
          <w:szCs w:val="18"/>
        </w:rPr>
        <w:tab/>
      </w:r>
      <w:r>
        <w:rPr>
          <w:rFonts w:ascii="宋体" w:hAnsi="宋体"/>
          <w:sz w:val="18"/>
          <w:szCs w:val="18"/>
        </w:rPr>
        <w:t>统计负责人：</w:t>
      </w:r>
      <w:r>
        <w:rPr>
          <w:rFonts w:ascii="宋体" w:hAnsi="宋体"/>
          <w:sz w:val="18"/>
          <w:szCs w:val="18"/>
        </w:rPr>
        <w:tab/>
      </w:r>
      <w:r>
        <w:rPr>
          <w:rFonts w:ascii="宋体" w:hAnsi="宋体"/>
          <w:sz w:val="18"/>
          <w:szCs w:val="18"/>
        </w:rPr>
        <w:tab/>
      </w:r>
      <w:r>
        <w:rPr>
          <w:rFonts w:ascii="宋体" w:hAnsi="宋体"/>
          <w:sz w:val="18"/>
          <w:szCs w:val="18"/>
        </w:rPr>
        <w:t xml:space="preserve">填表人：   </w:t>
      </w:r>
      <w:r>
        <w:rPr>
          <w:rFonts w:ascii="宋体" w:hAnsi="宋体"/>
          <w:sz w:val="18"/>
          <w:szCs w:val="18"/>
        </w:rPr>
        <w:tab/>
      </w:r>
      <w:r>
        <w:rPr>
          <w:rFonts w:hint="eastAsia" w:ascii="宋体" w:hAnsi="宋体"/>
          <w:sz w:val="18"/>
          <w:szCs w:val="18"/>
        </w:rPr>
        <w:t xml:space="preserve">   联系电话:</w:t>
      </w:r>
      <w:r>
        <w:rPr>
          <w:rFonts w:ascii="宋体" w:hAnsi="宋体"/>
          <w:sz w:val="18"/>
          <w:szCs w:val="18"/>
        </w:rPr>
        <w:t>报出日期：20  年  月  日</w:t>
      </w:r>
    </w:p>
    <w:p>
      <w:pPr>
        <w:snapToGrid w:val="0"/>
        <w:spacing w:line="192" w:lineRule="auto"/>
        <w:rPr>
          <w:rFonts w:ascii="宋体" w:hAnsi="宋体"/>
          <w:sz w:val="18"/>
        </w:rPr>
      </w:pPr>
    </w:p>
    <w:p>
      <w:pPr>
        <w:snapToGrid w:val="0"/>
        <w:spacing w:line="280" w:lineRule="exact"/>
        <w:ind w:left="630" w:hanging="630" w:hangingChars="350"/>
        <w:jc w:val="left"/>
        <w:rPr>
          <w:rFonts w:ascii="宋体" w:hAnsi="宋体"/>
          <w:sz w:val="18"/>
        </w:rPr>
      </w:pPr>
      <w:r>
        <w:rPr>
          <w:rFonts w:ascii="宋体" w:hAnsi="宋体"/>
          <w:sz w:val="18"/>
        </w:rPr>
        <w:t>说明：</w:t>
      </w:r>
      <w:r>
        <w:rPr>
          <w:rFonts w:hint="eastAsia" w:ascii="宋体" w:hAnsi="宋体"/>
          <w:sz w:val="18"/>
        </w:rPr>
        <w:t>1.</w:t>
      </w:r>
      <w:r>
        <w:rPr>
          <w:rFonts w:ascii="宋体" w:hAnsi="宋体"/>
          <w:sz w:val="18"/>
        </w:rPr>
        <w:t>在环</w:t>
      </w:r>
      <w:r>
        <w:rPr>
          <w:rFonts w:hint="eastAsia" w:ascii="宋体" w:hAnsi="宋体"/>
          <w:sz w:val="18"/>
        </w:rPr>
        <w:t>服</w:t>
      </w:r>
      <w:r>
        <w:rPr>
          <w:rFonts w:ascii="宋体" w:hAnsi="宋体"/>
          <w:sz w:val="18"/>
        </w:rPr>
        <w:t>基1表“1</w:t>
      </w:r>
      <w:r>
        <w:rPr>
          <w:rFonts w:hint="eastAsia" w:ascii="宋体" w:hAnsi="宋体"/>
          <w:sz w:val="18"/>
        </w:rPr>
        <w:t>3</w:t>
      </w:r>
      <w:r>
        <w:rPr>
          <w:rFonts w:ascii="宋体" w:hAnsi="宋体"/>
          <w:sz w:val="18"/>
        </w:rPr>
        <w:t>执行会计制度类别”中选填了“</w:t>
      </w:r>
      <w:r>
        <w:rPr>
          <w:rFonts w:hint="eastAsia" w:ascii="宋体" w:hAnsi="宋体"/>
          <w:sz w:val="18"/>
        </w:rPr>
        <w:t>3</w:t>
      </w:r>
      <w:r>
        <w:rPr>
          <w:rFonts w:ascii="宋体" w:hAnsi="宋体"/>
          <w:sz w:val="18"/>
        </w:rPr>
        <w:t>事业单位会计制度”的</w:t>
      </w:r>
      <w:r>
        <w:rPr>
          <w:rFonts w:ascii="宋体" w:hAnsi="宋体"/>
          <w:sz w:val="18"/>
          <w:szCs w:val="18"/>
        </w:rPr>
        <w:t>法人单位</w:t>
      </w:r>
      <w:r>
        <w:rPr>
          <w:rFonts w:hint="eastAsia" w:ascii="宋体" w:hAnsi="宋体"/>
          <w:sz w:val="18"/>
          <w:szCs w:val="18"/>
        </w:rPr>
        <w:t>（</w:t>
      </w:r>
      <w:r>
        <w:rPr>
          <w:rFonts w:ascii="宋体" w:hAnsi="宋体"/>
          <w:sz w:val="18"/>
          <w:szCs w:val="18"/>
        </w:rPr>
        <w:t>不包括</w:t>
      </w:r>
      <w:r>
        <w:rPr>
          <w:rFonts w:ascii="宋体" w:hAnsi="宋体"/>
          <w:sz w:val="18"/>
        </w:rPr>
        <w:t>实行企业化管理、执行企业会计制度的事业单位），均须填报本表。</w:t>
      </w:r>
    </w:p>
    <w:p>
      <w:pPr>
        <w:snapToGrid w:val="0"/>
        <w:spacing w:line="280" w:lineRule="exact"/>
        <w:ind w:firstLine="450" w:firstLineChars="250"/>
        <w:jc w:val="left"/>
        <w:rPr>
          <w:rFonts w:ascii="宋体" w:hAnsi="宋体"/>
          <w:sz w:val="18"/>
        </w:rPr>
      </w:pPr>
      <w:r>
        <w:rPr>
          <w:rFonts w:hint="eastAsia" w:ascii="宋体" w:hAnsi="宋体"/>
          <w:sz w:val="18"/>
          <w:szCs w:val="18"/>
        </w:rPr>
        <w:t>2.审核</w:t>
      </w:r>
      <w:r>
        <w:rPr>
          <w:rFonts w:hint="eastAsia" w:ascii="宋体" w:hAnsi="宋体"/>
          <w:sz w:val="18"/>
        </w:rPr>
        <w:t>关系</w:t>
      </w:r>
      <w:r>
        <w:rPr>
          <w:rFonts w:hint="eastAsia" w:ascii="宋体" w:hAnsi="宋体"/>
          <w:sz w:val="18"/>
          <w:szCs w:val="18"/>
        </w:rPr>
        <w:t>：06+07</w:t>
      </w:r>
      <w:r>
        <w:rPr>
          <w:rFonts w:ascii="宋体" w:hAnsi="宋体"/>
          <w:sz w:val="18"/>
        </w:rPr>
        <w:t>≤</w:t>
      </w:r>
      <w:r>
        <w:rPr>
          <w:rFonts w:hint="eastAsia" w:ascii="宋体" w:hAnsi="宋体"/>
          <w:sz w:val="18"/>
        </w:rPr>
        <w:t>05，</w:t>
      </w:r>
      <w:r>
        <w:rPr>
          <w:rFonts w:hint="eastAsia" w:ascii="宋体" w:hAnsi="宋体"/>
          <w:sz w:val="18"/>
          <w:szCs w:val="18"/>
        </w:rPr>
        <w:t>09+10+17+24</w:t>
      </w:r>
      <w:r>
        <w:rPr>
          <w:rFonts w:ascii="宋体" w:hAnsi="宋体"/>
          <w:sz w:val="18"/>
        </w:rPr>
        <w:t>≤</w:t>
      </w:r>
      <w:r>
        <w:rPr>
          <w:rFonts w:hint="eastAsia" w:ascii="宋体" w:hAnsi="宋体"/>
          <w:sz w:val="18"/>
          <w:szCs w:val="18"/>
        </w:rPr>
        <w:t>08，11+12+13+14+15+16</w:t>
      </w:r>
      <w:r>
        <w:rPr>
          <w:rFonts w:ascii="宋体" w:hAnsi="宋体"/>
          <w:sz w:val="18"/>
        </w:rPr>
        <w:t>≤</w:t>
      </w:r>
      <w:r>
        <w:rPr>
          <w:rFonts w:hint="eastAsia" w:ascii="宋体" w:hAnsi="宋体"/>
          <w:sz w:val="18"/>
        </w:rPr>
        <w:t>10，18+19+20+21+22+23</w:t>
      </w:r>
      <w:r>
        <w:rPr>
          <w:rFonts w:ascii="宋体" w:hAnsi="宋体"/>
          <w:sz w:val="18"/>
        </w:rPr>
        <w:t>≤</w:t>
      </w:r>
      <w:r>
        <w:rPr>
          <w:rFonts w:hint="eastAsia" w:ascii="宋体" w:hAnsi="宋体"/>
          <w:sz w:val="18"/>
        </w:rPr>
        <w:t>17。</w:t>
      </w:r>
    </w:p>
    <w:p>
      <w:pPr>
        <w:pStyle w:val="16"/>
        <w:pageBreakBefore/>
        <w:rPr>
          <w:rFonts w:ascii="黑体" w:hAnsi="黑体" w:eastAsia="黑体"/>
          <w:b w:val="0"/>
        </w:rPr>
      </w:pPr>
      <w:r>
        <w:rPr>
          <w:rFonts w:ascii="黑体" w:hAnsi="黑体" w:eastAsia="黑体"/>
          <w:b w:val="0"/>
        </w:rPr>
        <w:t>四、主要指标解释</w:t>
      </w:r>
      <w:bookmarkEnd w:id="4"/>
      <w:bookmarkEnd w:id="5"/>
      <w:bookmarkEnd w:id="6"/>
      <w:bookmarkEnd w:id="7"/>
    </w:p>
    <w:p>
      <w:pPr>
        <w:pStyle w:val="7"/>
        <w:snapToGrid w:val="0"/>
        <w:spacing w:after="0" w:line="360" w:lineRule="auto"/>
        <w:ind w:firstLine="422" w:firstLineChars="200"/>
        <w:outlineLvl w:val="0"/>
        <w:rPr>
          <w:rFonts w:ascii="宋体" w:hAnsi="宋体"/>
          <w:b/>
          <w:szCs w:val="21"/>
        </w:rPr>
      </w:pPr>
    </w:p>
    <w:p>
      <w:pPr>
        <w:pStyle w:val="7"/>
        <w:snapToGrid w:val="0"/>
        <w:spacing w:after="0" w:line="400" w:lineRule="exact"/>
        <w:ind w:firstLine="3640" w:firstLineChars="1295"/>
        <w:outlineLvl w:val="0"/>
        <w:rPr>
          <w:rFonts w:ascii="宋体" w:hAnsi="宋体"/>
          <w:b/>
          <w:sz w:val="28"/>
          <w:szCs w:val="28"/>
        </w:rPr>
      </w:pPr>
      <w:bookmarkStart w:id="30" w:name="_Toc307411711"/>
      <w:bookmarkStart w:id="31" w:name="_Toc307414760"/>
      <w:bookmarkStart w:id="32" w:name="_Toc313803272"/>
      <w:bookmarkStart w:id="33" w:name="_Toc313890225"/>
      <w:bookmarkStart w:id="34" w:name="_Toc313890868"/>
      <w:r>
        <w:rPr>
          <w:rFonts w:ascii="宋体" w:hAnsi="宋体"/>
          <w:b/>
          <w:sz w:val="28"/>
          <w:szCs w:val="28"/>
        </w:rPr>
        <w:t>法人单位基本情况</w:t>
      </w:r>
      <w:bookmarkEnd w:id="30"/>
      <w:bookmarkEnd w:id="31"/>
      <w:bookmarkEnd w:id="32"/>
      <w:bookmarkEnd w:id="33"/>
      <w:bookmarkEnd w:id="34"/>
    </w:p>
    <w:p>
      <w:pPr>
        <w:pStyle w:val="7"/>
        <w:snapToGrid w:val="0"/>
        <w:spacing w:after="0" w:line="400" w:lineRule="exact"/>
        <w:ind w:firstLine="420" w:firstLineChars="200"/>
        <w:outlineLvl w:val="0"/>
        <w:rPr>
          <w:rFonts w:ascii="宋体" w:hAnsi="宋体"/>
          <w:szCs w:val="21"/>
        </w:rPr>
      </w:pPr>
      <w:bookmarkStart w:id="35" w:name="_Toc313890226"/>
      <w:bookmarkEnd w:id="35"/>
      <w:bookmarkStart w:id="36" w:name="_Toc313890869"/>
      <w:bookmarkEnd w:id="36"/>
      <w:r>
        <w:rPr>
          <w:rFonts w:hint="eastAsia" w:ascii="黑体" w:hAnsi="宋体" w:eastAsia="黑体"/>
          <w:szCs w:val="21"/>
        </w:rPr>
        <w:t xml:space="preserve">统一社会信用代码  </w:t>
      </w:r>
      <w:r>
        <w:rPr>
          <w:rFonts w:hint="eastAsia" w:ascii="宋体" w:hAnsi="宋体"/>
          <w:szCs w:val="21"/>
        </w:rPr>
        <w:t>指由</w:t>
      </w:r>
      <w:r>
        <w:rPr>
          <w:rFonts w:ascii="宋体" w:hAnsi="宋体"/>
          <w:szCs w:val="21"/>
        </w:rPr>
        <w:t>登记主管部门</w:t>
      </w:r>
      <w:r>
        <w:rPr>
          <w:rFonts w:hint="eastAsia" w:ascii="宋体" w:hAnsi="宋体"/>
          <w:szCs w:val="21"/>
        </w:rPr>
        <w:t>颁发的</w:t>
      </w:r>
      <w:r>
        <w:rPr>
          <w:rFonts w:ascii="宋体" w:hAnsi="宋体"/>
          <w:szCs w:val="21"/>
        </w:rPr>
        <w:t>在全国范围内唯一的、始终不变的法定代码</w:t>
      </w:r>
      <w:r>
        <w:rPr>
          <w:rFonts w:hint="eastAsia" w:ascii="宋体" w:hAnsi="宋体"/>
          <w:szCs w:val="21"/>
        </w:rPr>
        <w:t>。统一社会信用代码共18位，由1位登记管理部门代码、1位机构类别代码、6位登记管理机关行政区划码、9位主体标识码（</w:t>
      </w:r>
      <w:r>
        <w:fldChar w:fldCharType="begin"/>
      </w:r>
      <w:r>
        <w:instrText xml:space="preserve"> HYPERLINK "http://search.xinmin.cn/?q=%E7%BB%84%E7%BB%87%E6%9C%BA%E6%9E%84%E4%BB%A3%E7%A0%81" \t "_blank" </w:instrText>
      </w:r>
      <w:r>
        <w:fldChar w:fldCharType="separate"/>
      </w:r>
      <w:r>
        <w:rPr>
          <w:rFonts w:hint="eastAsia" w:ascii="宋体" w:hAnsi="宋体"/>
          <w:szCs w:val="21"/>
        </w:rPr>
        <w:t>组织机构代码</w:t>
      </w:r>
      <w:r>
        <w:rPr>
          <w:rFonts w:hint="eastAsia" w:ascii="宋体" w:hAnsi="宋体"/>
          <w:szCs w:val="21"/>
        </w:rPr>
        <w:fldChar w:fldCharType="end"/>
      </w:r>
      <w:r>
        <w:rPr>
          <w:rFonts w:hint="eastAsia" w:ascii="宋体" w:hAnsi="宋体"/>
          <w:szCs w:val="21"/>
        </w:rPr>
        <w:t>）和1位校验码组成。</w:t>
      </w:r>
    </w:p>
    <w:p>
      <w:pPr>
        <w:pStyle w:val="7"/>
        <w:snapToGrid w:val="0"/>
        <w:spacing w:after="0" w:line="400" w:lineRule="exact"/>
        <w:ind w:firstLine="420" w:firstLineChars="200"/>
        <w:rPr>
          <w:rFonts w:ascii="宋体" w:hAnsi="宋体"/>
          <w:szCs w:val="21"/>
        </w:rPr>
      </w:pPr>
      <w:r>
        <w:rPr>
          <w:rFonts w:hint="eastAsia" w:ascii="黑体" w:hAnsi="宋体" w:eastAsia="黑体"/>
          <w:szCs w:val="21"/>
        </w:rPr>
        <w:t xml:space="preserve">单位名称（公章）  </w:t>
      </w:r>
      <w:r>
        <w:rPr>
          <w:rFonts w:ascii="宋体" w:hAnsi="宋体"/>
          <w:bCs/>
          <w:szCs w:val="21"/>
        </w:rPr>
        <w:t>指经有关部门批准正式使用的与</w:t>
      </w:r>
      <w:r>
        <w:rPr>
          <w:rFonts w:hint="eastAsia" w:ascii="宋体" w:hAnsi="宋体"/>
          <w:bCs/>
          <w:szCs w:val="21"/>
        </w:rPr>
        <w:t>《企业营业执照》上名称</w:t>
      </w:r>
      <w:r>
        <w:rPr>
          <w:rFonts w:ascii="宋体" w:hAnsi="宋体"/>
          <w:bCs/>
          <w:szCs w:val="21"/>
        </w:rPr>
        <w:t>一致的单位全称。不得填写简称</w:t>
      </w:r>
      <w:r>
        <w:rPr>
          <w:rFonts w:ascii="宋体" w:hAnsi="宋体"/>
          <w:szCs w:val="21"/>
        </w:rPr>
        <w:t>。</w:t>
      </w:r>
    </w:p>
    <w:p>
      <w:pPr>
        <w:pStyle w:val="7"/>
        <w:snapToGrid w:val="0"/>
        <w:spacing w:after="0" w:line="400" w:lineRule="exact"/>
        <w:ind w:firstLine="420" w:firstLineChars="200"/>
        <w:rPr>
          <w:rFonts w:ascii="宋体" w:hAnsi="宋体"/>
          <w:szCs w:val="21"/>
        </w:rPr>
      </w:pPr>
      <w:r>
        <w:rPr>
          <w:rFonts w:hint="eastAsia" w:ascii="黑体" w:hAnsi="宋体" w:eastAsia="黑体"/>
          <w:szCs w:val="21"/>
        </w:rPr>
        <w:t xml:space="preserve">法定代表人（负责人）  </w:t>
      </w:r>
      <w:r>
        <w:rPr>
          <w:rFonts w:hint="eastAsia" w:ascii="宋体" w:hAnsi="宋体"/>
          <w:bCs/>
          <w:szCs w:val="21"/>
        </w:rPr>
        <w:t>指</w:t>
      </w:r>
      <w:r>
        <w:rPr>
          <w:rFonts w:ascii="宋体" w:hAnsi="宋体"/>
          <w:bCs/>
          <w:szCs w:val="21"/>
        </w:rPr>
        <w:t>行政</w:t>
      </w:r>
      <w:r>
        <w:rPr>
          <w:rFonts w:hint="eastAsia" w:ascii="宋体" w:hAnsi="宋体"/>
          <w:bCs/>
          <w:szCs w:val="21"/>
        </w:rPr>
        <w:t>、</w:t>
      </w:r>
      <w:r>
        <w:rPr>
          <w:rFonts w:ascii="宋体" w:hAnsi="宋体"/>
          <w:bCs/>
          <w:szCs w:val="21"/>
        </w:rPr>
        <w:t>事业单位的</w:t>
      </w:r>
      <w:r>
        <w:rPr>
          <w:rFonts w:hint="eastAsia" w:ascii="宋体" w:hAnsi="宋体"/>
          <w:bCs/>
          <w:szCs w:val="21"/>
        </w:rPr>
        <w:t>负责人或企业的</w:t>
      </w:r>
      <w:r>
        <w:rPr>
          <w:rFonts w:ascii="宋体" w:hAnsi="宋体"/>
          <w:bCs/>
          <w:szCs w:val="21"/>
        </w:rPr>
        <w:t>法定代表人。凡企业正在更换法</w:t>
      </w:r>
      <w:r>
        <w:rPr>
          <w:rFonts w:hint="eastAsia" w:ascii="宋体" w:hAnsi="宋体"/>
          <w:bCs/>
          <w:szCs w:val="21"/>
        </w:rPr>
        <w:t>定</w:t>
      </w:r>
      <w:r>
        <w:rPr>
          <w:rFonts w:ascii="宋体" w:hAnsi="宋体"/>
          <w:bCs/>
          <w:szCs w:val="21"/>
        </w:rPr>
        <w:t>代表</w:t>
      </w:r>
      <w:r>
        <w:rPr>
          <w:rFonts w:hint="eastAsia" w:ascii="宋体" w:hAnsi="宋体"/>
          <w:bCs/>
          <w:szCs w:val="21"/>
        </w:rPr>
        <w:t>人</w:t>
      </w:r>
      <w:r>
        <w:rPr>
          <w:rFonts w:ascii="宋体" w:hAnsi="宋体"/>
          <w:bCs/>
          <w:szCs w:val="21"/>
        </w:rPr>
        <w:t>，尚未办理登记手续的，以实际负责人为准。</w:t>
      </w:r>
    </w:p>
    <w:p>
      <w:pPr>
        <w:snapToGrid w:val="0"/>
        <w:spacing w:line="400" w:lineRule="exact"/>
        <w:ind w:firstLine="420" w:firstLineChars="200"/>
        <w:rPr>
          <w:rFonts w:ascii="宋体" w:hAnsi="宋体"/>
          <w:szCs w:val="21"/>
        </w:rPr>
      </w:pPr>
      <w:r>
        <w:rPr>
          <w:rFonts w:hint="eastAsia" w:ascii="黑体" w:hAnsi="宋体" w:eastAsia="黑体"/>
          <w:szCs w:val="21"/>
        </w:rPr>
        <w:t xml:space="preserve">环境服务业从业起始年份  </w:t>
      </w:r>
      <w:r>
        <w:rPr>
          <w:rFonts w:ascii="宋体" w:hAnsi="宋体"/>
          <w:szCs w:val="21"/>
        </w:rPr>
        <w:t>指填报单位开始从事</w:t>
      </w:r>
      <w:r>
        <w:rPr>
          <w:rFonts w:hint="eastAsia" w:ascii="宋体" w:hAnsi="宋体"/>
          <w:szCs w:val="21"/>
        </w:rPr>
        <w:t>环境</w:t>
      </w:r>
      <w:r>
        <w:rPr>
          <w:rFonts w:ascii="宋体" w:hAnsi="宋体"/>
          <w:szCs w:val="21"/>
        </w:rPr>
        <w:t>服务业的年份。合并或兼并等重组的企业，填写重组前主要企业开始从事</w:t>
      </w:r>
      <w:r>
        <w:rPr>
          <w:rFonts w:hint="eastAsia" w:ascii="宋体" w:hAnsi="宋体"/>
          <w:szCs w:val="21"/>
        </w:rPr>
        <w:t>环境</w:t>
      </w:r>
      <w:r>
        <w:rPr>
          <w:rFonts w:ascii="宋体" w:hAnsi="宋体"/>
          <w:szCs w:val="21"/>
        </w:rPr>
        <w:t>服务业的年份。</w:t>
      </w:r>
    </w:p>
    <w:p>
      <w:pPr>
        <w:snapToGrid w:val="0"/>
        <w:spacing w:line="400" w:lineRule="exact"/>
        <w:ind w:firstLine="420" w:firstLineChars="200"/>
        <w:rPr>
          <w:rFonts w:ascii="宋体" w:hAnsi="宋体"/>
          <w:szCs w:val="21"/>
        </w:rPr>
      </w:pPr>
      <w:r>
        <w:rPr>
          <w:rFonts w:hint="eastAsia" w:ascii="黑体" w:hAnsi="宋体" w:eastAsia="黑体"/>
          <w:szCs w:val="21"/>
        </w:rPr>
        <w:t xml:space="preserve">单位注册地址  </w:t>
      </w:r>
      <w:r>
        <w:rPr>
          <w:rFonts w:hint="eastAsia" w:ascii="宋体" w:hAnsi="宋体"/>
          <w:bCs/>
          <w:spacing w:val="5"/>
          <w:szCs w:val="21"/>
        </w:rPr>
        <w:t>指填报单位在相关管理部门进行登记注册的地址，即填报单位办理登记注册所在的省（区、市）、地（区、市、州、盟）、县（区、市、旗）、乡（镇）以及具体街（村）的名称和详细的门牌号码</w:t>
      </w:r>
      <w:r>
        <w:rPr>
          <w:rFonts w:ascii="宋体" w:hAnsi="宋体"/>
          <w:szCs w:val="21"/>
        </w:rPr>
        <w:t>。不要填写通讯信箱号。</w:t>
      </w:r>
    </w:p>
    <w:p>
      <w:pPr>
        <w:snapToGrid w:val="0"/>
        <w:spacing w:line="400" w:lineRule="exact"/>
        <w:ind w:firstLine="420" w:firstLineChars="200"/>
        <w:rPr>
          <w:rFonts w:ascii="宋体" w:hAnsi="宋体"/>
          <w:szCs w:val="21"/>
        </w:rPr>
      </w:pPr>
      <w:r>
        <w:rPr>
          <w:rFonts w:hint="eastAsia" w:ascii="黑体" w:hAnsi="宋体" w:eastAsia="黑体"/>
          <w:szCs w:val="21"/>
        </w:rPr>
        <w:t xml:space="preserve">注册地行政区划代码  </w:t>
      </w:r>
      <w:r>
        <w:rPr>
          <w:rFonts w:ascii="宋体" w:hAnsi="宋体"/>
          <w:szCs w:val="21"/>
        </w:rPr>
        <w:t>由6位数码组成，指单位注册所在地，根据国家统计局《最新县及县以上行政区划代码》填列。此项可在数据录入时通过调查软件选填。</w:t>
      </w:r>
    </w:p>
    <w:p>
      <w:pPr>
        <w:snapToGrid w:val="0"/>
        <w:spacing w:line="400" w:lineRule="exact"/>
        <w:ind w:firstLine="420" w:firstLineChars="200"/>
        <w:rPr>
          <w:rFonts w:ascii="宋体" w:hAnsi="宋体"/>
          <w:szCs w:val="21"/>
        </w:rPr>
      </w:pPr>
      <w:r>
        <w:rPr>
          <w:rFonts w:hint="eastAsia" w:ascii="黑体" w:hAnsi="宋体" w:eastAsia="黑体"/>
          <w:szCs w:val="21"/>
        </w:rPr>
        <w:t xml:space="preserve">注册资本  </w:t>
      </w:r>
      <w:r>
        <w:rPr>
          <w:rFonts w:ascii="宋体" w:hAnsi="宋体"/>
          <w:szCs w:val="21"/>
        </w:rPr>
        <w:t>即法定资本，指公司制企业章程规定的全体股东或发起人认缴、并依法在公司登记机关登记的出资额或认购的</w:t>
      </w:r>
      <w:r>
        <w:fldChar w:fldCharType="begin"/>
      </w:r>
      <w:r>
        <w:instrText xml:space="preserve"> HYPERLINK "http://baike.baidu.com/view/84252.htm" \t "_blank" </w:instrText>
      </w:r>
      <w:r>
        <w:fldChar w:fldCharType="separate"/>
      </w:r>
      <w:r>
        <w:rPr>
          <w:rFonts w:ascii="宋体" w:hAnsi="宋体"/>
          <w:szCs w:val="21"/>
        </w:rPr>
        <w:t>股本</w:t>
      </w:r>
      <w:r>
        <w:rPr>
          <w:rFonts w:ascii="宋体" w:hAnsi="宋体"/>
          <w:szCs w:val="21"/>
        </w:rPr>
        <w:fldChar w:fldCharType="end"/>
      </w:r>
      <w:r>
        <w:rPr>
          <w:rFonts w:ascii="宋体" w:hAnsi="宋体"/>
          <w:szCs w:val="21"/>
        </w:rPr>
        <w:t>总额。</w:t>
      </w:r>
    </w:p>
    <w:p>
      <w:pPr>
        <w:snapToGrid w:val="0"/>
        <w:spacing w:line="400" w:lineRule="exact"/>
        <w:ind w:firstLine="420" w:firstLineChars="200"/>
        <w:rPr>
          <w:rFonts w:ascii="宋体" w:hAnsi="宋体"/>
          <w:szCs w:val="21"/>
        </w:rPr>
      </w:pPr>
      <w:r>
        <w:rPr>
          <w:rFonts w:hint="eastAsia" w:ascii="黑体" w:hAnsi="宋体" w:eastAsia="黑体"/>
          <w:szCs w:val="21"/>
        </w:rPr>
        <w:t xml:space="preserve">注册资金  </w:t>
      </w:r>
      <w:r>
        <w:rPr>
          <w:rFonts w:ascii="宋体" w:hAnsi="宋体"/>
          <w:szCs w:val="21"/>
        </w:rPr>
        <w:t>指集体所有制（股份合作）企业的股东实际缴付的出资数额；或全民所有制、集体所有制企业法人或社团法人经营管理的财产或者全部财产的货币表现。</w:t>
      </w:r>
    </w:p>
    <w:p>
      <w:pPr>
        <w:snapToGrid w:val="0"/>
        <w:spacing w:line="400" w:lineRule="exact"/>
        <w:ind w:firstLine="420" w:firstLineChars="200"/>
        <w:rPr>
          <w:rFonts w:ascii="宋体" w:hAnsi="宋体"/>
          <w:szCs w:val="21"/>
        </w:rPr>
      </w:pPr>
      <w:r>
        <w:rPr>
          <w:rFonts w:hint="eastAsia" w:ascii="黑体" w:hAnsi="宋体" w:eastAsia="黑体"/>
          <w:szCs w:val="21"/>
        </w:rPr>
        <w:t xml:space="preserve">单位实际所在地地址  </w:t>
      </w:r>
      <w:r>
        <w:rPr>
          <w:rFonts w:ascii="宋体" w:hAnsi="宋体"/>
          <w:szCs w:val="21"/>
        </w:rPr>
        <w:t>指填报单位实际所在的省（区、市）、地（区、市、州、盟）、县（区、市、旗）、乡（镇）以及具体街（村）的名称和详细的门牌号码。不要填写通讯信箱号。</w:t>
      </w:r>
    </w:p>
    <w:p>
      <w:pPr>
        <w:snapToGrid w:val="0"/>
        <w:spacing w:line="400" w:lineRule="exact"/>
        <w:ind w:firstLine="420" w:firstLineChars="200"/>
        <w:rPr>
          <w:rFonts w:ascii="宋体" w:hAnsi="宋体"/>
          <w:szCs w:val="21"/>
        </w:rPr>
      </w:pPr>
      <w:r>
        <w:rPr>
          <w:rFonts w:hint="eastAsia" w:ascii="黑体" w:hAnsi="宋体" w:eastAsia="黑体"/>
          <w:szCs w:val="21"/>
        </w:rPr>
        <w:t xml:space="preserve">所在地行政区划代码  </w:t>
      </w:r>
      <w:r>
        <w:rPr>
          <w:rFonts w:ascii="宋体" w:hAnsi="宋体"/>
          <w:szCs w:val="21"/>
        </w:rPr>
        <w:t>由6位数码组成，指单位实际所在地，根据国家统计局《最新县及县以上行政区划代码》填列。此项可在数据录入时通过调查软件选填。</w:t>
      </w:r>
    </w:p>
    <w:p>
      <w:pPr>
        <w:snapToGrid w:val="0"/>
        <w:spacing w:line="400" w:lineRule="exact"/>
        <w:ind w:firstLine="420" w:firstLineChars="200"/>
        <w:rPr>
          <w:rFonts w:ascii="宋体" w:hAnsi="宋体"/>
          <w:szCs w:val="21"/>
        </w:rPr>
      </w:pPr>
      <w:r>
        <w:rPr>
          <w:rFonts w:hint="eastAsia" w:ascii="黑体" w:hAnsi="宋体" w:eastAsia="黑体"/>
          <w:szCs w:val="21"/>
        </w:rPr>
        <w:t xml:space="preserve">联系方式  </w:t>
      </w:r>
      <w:r>
        <w:rPr>
          <w:rFonts w:ascii="宋体" w:hAnsi="宋体"/>
          <w:szCs w:val="21"/>
        </w:rPr>
        <w:t>指填报单位（或主管</w:t>
      </w:r>
      <w:r>
        <w:rPr>
          <w:rFonts w:hint="eastAsia" w:ascii="宋体" w:hAnsi="宋体"/>
          <w:szCs w:val="21"/>
        </w:rPr>
        <w:t>生态</w:t>
      </w:r>
      <w:r>
        <w:rPr>
          <w:rFonts w:ascii="宋体" w:hAnsi="宋体"/>
          <w:szCs w:val="21"/>
        </w:rPr>
        <w:t>环境保护工作的部门）对外联系的固定电话、移动电话、传真电话、邮政编码、电子信箱和网站地址等。</w:t>
      </w:r>
    </w:p>
    <w:p>
      <w:pPr>
        <w:snapToGrid w:val="0"/>
        <w:spacing w:line="400" w:lineRule="exact"/>
        <w:ind w:firstLine="420" w:firstLineChars="200"/>
        <w:rPr>
          <w:rFonts w:ascii="宋体" w:hAnsi="宋体"/>
          <w:szCs w:val="21"/>
        </w:rPr>
      </w:pPr>
      <w:r>
        <w:rPr>
          <w:rFonts w:hint="eastAsia" w:ascii="黑体" w:hAnsi="宋体" w:eastAsia="黑体"/>
          <w:szCs w:val="21"/>
        </w:rPr>
        <w:t xml:space="preserve">主营业务行业代码  </w:t>
      </w:r>
      <w:r>
        <w:rPr>
          <w:rFonts w:ascii="宋体" w:hAnsi="宋体"/>
          <w:szCs w:val="21"/>
        </w:rPr>
        <w:t>根据填报单位主营业务的社会经济活动性质对各类单位进行的分类</w:t>
      </w:r>
      <w:r>
        <w:rPr>
          <w:rFonts w:hint="eastAsia" w:ascii="宋体" w:hAnsi="宋体"/>
          <w:szCs w:val="21"/>
        </w:rPr>
        <w:t>，</w:t>
      </w:r>
      <w:r>
        <w:rPr>
          <w:rFonts w:ascii="宋体" w:hAnsi="宋体"/>
          <w:szCs w:val="21"/>
        </w:rPr>
        <w:t>对照</w:t>
      </w:r>
      <w:r>
        <w:rPr>
          <w:rFonts w:hint="eastAsia" w:ascii="宋体" w:hAnsi="宋体"/>
          <w:szCs w:val="21"/>
        </w:rPr>
        <w:t>附录（二）主营业务行业代码</w:t>
      </w:r>
      <w:r>
        <w:rPr>
          <w:rFonts w:ascii="宋体" w:hAnsi="宋体"/>
          <w:szCs w:val="21"/>
        </w:rPr>
        <w:t>填列</w:t>
      </w:r>
      <w:r>
        <w:rPr>
          <w:rFonts w:hint="eastAsia" w:ascii="宋体" w:hAnsi="宋体"/>
          <w:szCs w:val="21"/>
        </w:rPr>
        <w:t>4</w:t>
      </w:r>
      <w:r>
        <w:rPr>
          <w:rFonts w:ascii="宋体" w:hAnsi="宋体"/>
          <w:szCs w:val="21"/>
        </w:rPr>
        <w:t>位行业代码。</w:t>
      </w:r>
    </w:p>
    <w:p>
      <w:pPr>
        <w:snapToGrid w:val="0"/>
        <w:spacing w:line="400" w:lineRule="exact"/>
        <w:ind w:firstLine="420" w:firstLineChars="200"/>
        <w:rPr>
          <w:rFonts w:ascii="宋体" w:hAnsi="宋体"/>
          <w:szCs w:val="21"/>
        </w:rPr>
      </w:pPr>
      <w:r>
        <w:rPr>
          <w:rFonts w:hint="eastAsia" w:ascii="黑体" w:hAnsi="宋体" w:eastAsia="黑体"/>
          <w:szCs w:val="21"/>
        </w:rPr>
        <w:t xml:space="preserve">主要业务活动  </w:t>
      </w:r>
      <w:r>
        <w:rPr>
          <w:rFonts w:hint="eastAsia" w:ascii="宋体" w:hAnsi="宋体"/>
          <w:szCs w:val="21"/>
        </w:rPr>
        <w:t>具体填写填报单位的一至三种主要业务活动名称，并按其重要程度或收入所占比重，从大到小顺序排列。根据附录（三）主要业务活动类别填报代码填列4位代码。</w:t>
      </w:r>
    </w:p>
    <w:p>
      <w:pPr>
        <w:snapToGrid w:val="0"/>
        <w:spacing w:line="400" w:lineRule="exact"/>
        <w:ind w:firstLine="420" w:firstLineChars="200"/>
        <w:rPr>
          <w:rFonts w:ascii="宋体" w:hAnsi="宋体"/>
          <w:szCs w:val="21"/>
        </w:rPr>
      </w:pPr>
      <w:r>
        <w:rPr>
          <w:rFonts w:hint="eastAsia" w:ascii="宋体" w:hAnsi="宋体"/>
          <w:szCs w:val="21"/>
        </w:rPr>
        <w:t>筹建单位按建成投产(营业)后活动性质填写主要业务活动名称及代码。</w:t>
      </w:r>
    </w:p>
    <w:p>
      <w:pPr>
        <w:snapToGrid w:val="0"/>
        <w:spacing w:line="400" w:lineRule="exact"/>
        <w:ind w:firstLine="420" w:firstLineChars="200"/>
        <w:rPr>
          <w:rFonts w:ascii="宋体" w:hAnsi="宋体"/>
          <w:szCs w:val="21"/>
        </w:rPr>
      </w:pPr>
      <w:r>
        <w:rPr>
          <w:rFonts w:hint="eastAsia" w:ascii="黑体" w:hAnsi="宋体" w:eastAsia="黑体"/>
          <w:szCs w:val="21"/>
        </w:rPr>
        <w:t xml:space="preserve">年收入  </w:t>
      </w:r>
      <w:r>
        <w:rPr>
          <w:rFonts w:ascii="宋体" w:hAnsi="宋体"/>
          <w:szCs w:val="21"/>
        </w:rPr>
        <w:t>指填报单位</w:t>
      </w:r>
      <w:r>
        <w:rPr>
          <w:rFonts w:hint="eastAsia" w:ascii="宋体" w:hAnsi="宋体"/>
          <w:szCs w:val="21"/>
        </w:rPr>
        <w:t>报告期内</w:t>
      </w:r>
      <w:r>
        <w:rPr>
          <w:rFonts w:ascii="宋体" w:hAnsi="宋体"/>
          <w:szCs w:val="21"/>
        </w:rPr>
        <w:t>从事</w:t>
      </w:r>
      <w:r>
        <w:rPr>
          <w:rFonts w:hint="eastAsia" w:ascii="宋体" w:hAnsi="宋体"/>
          <w:szCs w:val="21"/>
        </w:rPr>
        <w:t>与所选业务活动代码对应的业务活动</w:t>
      </w:r>
      <w:r>
        <w:rPr>
          <w:rFonts w:ascii="宋体" w:hAnsi="宋体"/>
          <w:szCs w:val="21"/>
        </w:rPr>
        <w:t>取得的</w:t>
      </w:r>
      <w:r>
        <w:rPr>
          <w:rFonts w:hint="eastAsia" w:ascii="宋体" w:hAnsi="宋体"/>
          <w:szCs w:val="21"/>
        </w:rPr>
        <w:t>收入</w:t>
      </w:r>
      <w:r>
        <w:rPr>
          <w:rFonts w:ascii="宋体" w:hAnsi="宋体"/>
          <w:szCs w:val="21"/>
        </w:rPr>
        <w:t>总额。</w:t>
      </w:r>
    </w:p>
    <w:p>
      <w:pPr>
        <w:snapToGrid w:val="0"/>
        <w:spacing w:line="400" w:lineRule="exact"/>
        <w:ind w:firstLine="420" w:firstLineChars="200"/>
        <w:rPr>
          <w:rFonts w:ascii="宋体" w:hAnsi="宋体"/>
          <w:szCs w:val="21"/>
        </w:rPr>
      </w:pPr>
      <w:r>
        <w:rPr>
          <w:rFonts w:hint="eastAsia" w:ascii="黑体" w:hAnsi="宋体" w:eastAsia="黑体"/>
          <w:szCs w:val="21"/>
        </w:rPr>
        <w:t xml:space="preserve">从业人员期末人数  </w:t>
      </w:r>
      <w:r>
        <w:rPr>
          <w:rFonts w:ascii="宋体" w:hAnsi="宋体"/>
          <w:szCs w:val="21"/>
        </w:rPr>
        <w:t>指填报单位在年末从事</w:t>
      </w:r>
      <w:r>
        <w:rPr>
          <w:rFonts w:hint="eastAsia" w:ascii="宋体" w:hAnsi="宋体"/>
          <w:szCs w:val="21"/>
        </w:rPr>
        <w:t>环境</w:t>
      </w:r>
      <w:r>
        <w:rPr>
          <w:rFonts w:ascii="宋体" w:hAnsi="宋体"/>
          <w:szCs w:val="21"/>
        </w:rPr>
        <w:t>服务的实有人员数。包括在岗职工、劳务派遣人员及其他从业人员期末人数之和。不包括离开本单位仍保留劳动关系的职工。反映了各单位实际参加相关工作的全部劳动力。</w:t>
      </w:r>
    </w:p>
    <w:p>
      <w:pPr>
        <w:snapToGrid w:val="0"/>
        <w:spacing w:line="400" w:lineRule="exact"/>
        <w:ind w:firstLine="420" w:firstLineChars="200"/>
        <w:rPr>
          <w:rFonts w:ascii="宋体" w:hAnsi="宋体"/>
          <w:szCs w:val="21"/>
        </w:rPr>
      </w:pPr>
      <w:r>
        <w:rPr>
          <w:rFonts w:hint="eastAsia" w:ascii="黑体" w:hAnsi="宋体" w:eastAsia="黑体"/>
          <w:szCs w:val="21"/>
        </w:rPr>
        <w:t xml:space="preserve">机构类型  </w:t>
      </w:r>
      <w:r>
        <w:rPr>
          <w:rFonts w:hint="eastAsia" w:ascii="宋体" w:hAnsi="宋体"/>
          <w:szCs w:val="21"/>
        </w:rPr>
        <w:t>划分为企业(10)、事业单位(20)、机关(30)、社会团体(40)、民办非企业单位(51)、基金会(52)和其他组织机构（90）。</w:t>
      </w:r>
    </w:p>
    <w:p>
      <w:pPr>
        <w:snapToGrid w:val="0"/>
        <w:spacing w:line="400" w:lineRule="exact"/>
        <w:ind w:firstLine="420" w:firstLineChars="200"/>
        <w:rPr>
          <w:rFonts w:ascii="宋体" w:hAnsi="宋体"/>
          <w:szCs w:val="21"/>
        </w:rPr>
      </w:pPr>
      <w:r>
        <w:rPr>
          <w:rFonts w:ascii="宋体" w:hAnsi="宋体"/>
          <w:szCs w:val="21"/>
        </w:rPr>
        <w:t>企业</w:t>
      </w:r>
      <w:r>
        <w:rPr>
          <w:rFonts w:hint="eastAsia" w:ascii="宋体" w:hAnsi="宋体"/>
          <w:szCs w:val="21"/>
        </w:rPr>
        <w:t>（10）</w:t>
      </w:r>
      <w:r>
        <w:rPr>
          <w:rFonts w:ascii="宋体" w:hAnsi="宋体"/>
          <w:szCs w:val="21"/>
        </w:rPr>
        <w:t>：包括</w:t>
      </w:r>
      <w:r>
        <w:rPr>
          <w:rFonts w:ascii="宋体" w:hAnsi="宋体"/>
          <w:szCs w:val="21"/>
        </w:rPr>
        <w:fldChar w:fldCharType="begin"/>
      </w:r>
      <w:r>
        <w:rPr>
          <w:rFonts w:ascii="宋体" w:hAnsi="宋体"/>
          <w:szCs w:val="21"/>
        </w:rPr>
        <w:instrText xml:space="preserve"> = 1 \* GB3 \* MERGEFORMAT </w:instrText>
      </w:r>
      <w:r>
        <w:rPr>
          <w:rFonts w:ascii="宋体" w:hAnsi="宋体"/>
          <w:szCs w:val="21"/>
        </w:rPr>
        <w:fldChar w:fldCharType="separate"/>
      </w:r>
      <w:r>
        <w:rPr>
          <w:rFonts w:hint="eastAsia" w:ascii="宋体" w:hAnsi="宋体" w:cs="宋体"/>
          <w:szCs w:val="21"/>
        </w:rPr>
        <w:t>①</w:t>
      </w:r>
      <w:r>
        <w:rPr>
          <w:rFonts w:ascii="宋体" w:hAnsi="宋体"/>
          <w:szCs w:val="21"/>
        </w:rPr>
        <w:fldChar w:fldCharType="end"/>
      </w:r>
      <w:r>
        <w:rPr>
          <w:rFonts w:ascii="宋体" w:hAnsi="宋体"/>
          <w:szCs w:val="21"/>
        </w:rPr>
        <w:t>领取《企业营业执照》的各类企业；</w:t>
      </w:r>
      <w:r>
        <w:rPr>
          <w:rFonts w:ascii="宋体" w:hAnsi="宋体"/>
          <w:szCs w:val="21"/>
        </w:rPr>
        <w:fldChar w:fldCharType="begin"/>
      </w:r>
      <w:r>
        <w:rPr>
          <w:rFonts w:ascii="宋体" w:hAnsi="宋体"/>
          <w:szCs w:val="21"/>
        </w:rPr>
        <w:instrText xml:space="preserve"> = 2 \* GB3 \* MERGEFORMAT </w:instrText>
      </w:r>
      <w:r>
        <w:rPr>
          <w:rFonts w:ascii="宋体" w:hAnsi="宋体"/>
          <w:szCs w:val="21"/>
        </w:rPr>
        <w:fldChar w:fldCharType="separate"/>
      </w:r>
      <w:r>
        <w:rPr>
          <w:rFonts w:hint="eastAsia" w:ascii="宋体" w:hAnsi="宋体" w:cs="宋体"/>
          <w:szCs w:val="21"/>
        </w:rPr>
        <w:t>②</w:t>
      </w:r>
      <w:r>
        <w:rPr>
          <w:rFonts w:ascii="宋体" w:hAnsi="宋体"/>
          <w:szCs w:val="21"/>
        </w:rPr>
        <w:fldChar w:fldCharType="end"/>
      </w:r>
      <w:r>
        <w:rPr>
          <w:rFonts w:ascii="宋体" w:hAnsi="宋体"/>
          <w:szCs w:val="21"/>
        </w:rPr>
        <w:t>个人独资企业、合伙企业；</w:t>
      </w:r>
      <w:r>
        <w:rPr>
          <w:rFonts w:ascii="宋体" w:hAnsi="宋体"/>
          <w:szCs w:val="21"/>
        </w:rPr>
        <w:fldChar w:fldCharType="begin"/>
      </w:r>
      <w:r>
        <w:rPr>
          <w:rFonts w:ascii="宋体" w:hAnsi="宋体"/>
          <w:szCs w:val="21"/>
        </w:rPr>
        <w:instrText xml:space="preserve"> = 3 \* GB3 \* MERGEFORMAT </w:instrText>
      </w:r>
      <w:r>
        <w:rPr>
          <w:rFonts w:ascii="宋体" w:hAnsi="宋体"/>
          <w:szCs w:val="21"/>
        </w:rPr>
        <w:fldChar w:fldCharType="separate"/>
      </w:r>
      <w:r>
        <w:rPr>
          <w:rFonts w:hint="eastAsia" w:ascii="宋体" w:hAnsi="宋体" w:cs="宋体"/>
          <w:szCs w:val="21"/>
        </w:rPr>
        <w:t>③</w:t>
      </w:r>
      <w:r>
        <w:rPr>
          <w:rFonts w:ascii="宋体" w:hAnsi="宋体"/>
          <w:szCs w:val="21"/>
        </w:rPr>
        <w:fldChar w:fldCharType="end"/>
      </w:r>
      <w:r>
        <w:rPr>
          <w:rFonts w:ascii="宋体" w:hAnsi="宋体"/>
          <w:szCs w:val="21"/>
        </w:rPr>
        <w:t>由其他行政主管部门依据有关法律法规审批成立，且具备法人条件的企业；</w:t>
      </w:r>
      <w:r>
        <w:rPr>
          <w:rFonts w:ascii="宋体" w:hAnsi="宋体"/>
          <w:szCs w:val="21"/>
        </w:rPr>
        <w:fldChar w:fldCharType="begin"/>
      </w:r>
      <w:r>
        <w:rPr>
          <w:rFonts w:ascii="宋体" w:hAnsi="宋体"/>
          <w:szCs w:val="21"/>
        </w:rPr>
        <w:instrText xml:space="preserve"> = 4 \* GB3 \* MERGEFORMAT </w:instrText>
      </w:r>
      <w:r>
        <w:rPr>
          <w:rFonts w:ascii="宋体" w:hAnsi="宋体"/>
          <w:szCs w:val="21"/>
        </w:rPr>
        <w:fldChar w:fldCharType="separate"/>
      </w:r>
      <w:r>
        <w:rPr>
          <w:rFonts w:hint="eastAsia" w:ascii="宋体" w:hAnsi="宋体" w:cs="宋体"/>
          <w:szCs w:val="21"/>
        </w:rPr>
        <w:t>④</w:t>
      </w:r>
      <w:r>
        <w:rPr>
          <w:rFonts w:ascii="宋体" w:hAnsi="宋体"/>
          <w:szCs w:val="21"/>
        </w:rPr>
        <w:fldChar w:fldCharType="end"/>
      </w:r>
      <w:r>
        <w:rPr>
          <w:rFonts w:ascii="宋体" w:hAnsi="宋体"/>
          <w:szCs w:val="21"/>
        </w:rPr>
        <w:t>未经有关部门批准、但实际从事生产经营活动的企业；</w:t>
      </w:r>
      <w:r>
        <w:rPr>
          <w:rFonts w:ascii="宋体" w:hAnsi="宋体"/>
          <w:szCs w:val="21"/>
        </w:rPr>
        <w:fldChar w:fldCharType="begin"/>
      </w:r>
      <w:r>
        <w:rPr>
          <w:rFonts w:ascii="宋体" w:hAnsi="宋体"/>
          <w:szCs w:val="21"/>
        </w:rPr>
        <w:instrText xml:space="preserve"> = 5 \* GB3 \* MERGEFORMAT </w:instrText>
      </w:r>
      <w:r>
        <w:rPr>
          <w:rFonts w:ascii="宋体" w:hAnsi="宋体"/>
          <w:szCs w:val="21"/>
        </w:rPr>
        <w:fldChar w:fldCharType="separate"/>
      </w:r>
      <w:r>
        <w:rPr>
          <w:rFonts w:hint="eastAsia" w:ascii="宋体" w:hAnsi="宋体" w:cs="宋体"/>
          <w:szCs w:val="21"/>
        </w:rPr>
        <w:t>⑤</w:t>
      </w:r>
      <w:r>
        <w:rPr>
          <w:rFonts w:ascii="宋体" w:hAnsi="宋体"/>
          <w:szCs w:val="21"/>
        </w:rPr>
        <w:fldChar w:fldCharType="end"/>
      </w:r>
      <w:r>
        <w:rPr>
          <w:rFonts w:ascii="宋体" w:hAnsi="宋体"/>
          <w:szCs w:val="21"/>
        </w:rPr>
        <w:t>经各级工商行政管理部门核准登记，领取《营业执照》的各类产业活动单位或经营单位；</w:t>
      </w:r>
      <w:r>
        <w:rPr>
          <w:rFonts w:ascii="宋体" w:hAnsi="宋体"/>
          <w:szCs w:val="21"/>
        </w:rPr>
        <w:fldChar w:fldCharType="begin"/>
      </w:r>
      <w:r>
        <w:rPr>
          <w:rFonts w:ascii="宋体" w:hAnsi="宋体"/>
          <w:szCs w:val="21"/>
        </w:rPr>
        <w:instrText xml:space="preserve"> = 6 \* GB3 \* MERGEFORMAT </w:instrText>
      </w:r>
      <w:r>
        <w:rPr>
          <w:rFonts w:ascii="宋体" w:hAnsi="宋体"/>
          <w:szCs w:val="21"/>
        </w:rPr>
        <w:fldChar w:fldCharType="separate"/>
      </w:r>
      <w:r>
        <w:rPr>
          <w:rFonts w:hint="eastAsia" w:ascii="宋体" w:hAnsi="宋体" w:cs="宋体"/>
          <w:szCs w:val="21"/>
        </w:rPr>
        <w:t>⑥</w:t>
      </w:r>
      <w:r>
        <w:rPr>
          <w:rFonts w:ascii="宋体" w:hAnsi="宋体"/>
          <w:szCs w:val="21"/>
        </w:rPr>
        <w:fldChar w:fldCharType="end"/>
      </w:r>
      <w:r>
        <w:rPr>
          <w:rFonts w:ascii="宋体" w:hAnsi="宋体"/>
          <w:szCs w:val="21"/>
        </w:rPr>
        <w:t>未经有关部门批准但实际从事生产经营活动、且符合产业活动单位条件的企业法人的本部及分支机构。</w:t>
      </w:r>
    </w:p>
    <w:p>
      <w:pPr>
        <w:snapToGrid w:val="0"/>
        <w:spacing w:line="400" w:lineRule="exact"/>
        <w:ind w:firstLine="420" w:firstLineChars="200"/>
        <w:rPr>
          <w:rFonts w:ascii="宋体" w:hAnsi="宋体"/>
          <w:szCs w:val="21"/>
        </w:rPr>
      </w:pPr>
      <w:r>
        <w:rPr>
          <w:rFonts w:ascii="宋体" w:hAnsi="宋体"/>
          <w:szCs w:val="21"/>
        </w:rPr>
        <w:t>事业单位（2</w:t>
      </w:r>
      <w:r>
        <w:rPr>
          <w:rFonts w:hint="eastAsia" w:ascii="宋体" w:hAnsi="宋体"/>
          <w:szCs w:val="21"/>
        </w:rPr>
        <w:t>0</w:t>
      </w:r>
      <w:r>
        <w:rPr>
          <w:rFonts w:ascii="宋体" w:hAnsi="宋体"/>
          <w:szCs w:val="21"/>
        </w:rPr>
        <w:t>）：包括</w:t>
      </w:r>
      <w:r>
        <w:rPr>
          <w:rFonts w:ascii="宋体" w:hAnsi="宋体"/>
          <w:szCs w:val="21"/>
        </w:rPr>
        <w:fldChar w:fldCharType="begin"/>
      </w:r>
      <w:r>
        <w:rPr>
          <w:rFonts w:ascii="宋体" w:hAnsi="宋体"/>
          <w:szCs w:val="21"/>
        </w:rPr>
        <w:instrText xml:space="preserve"> = 1 \* GB3 \* MERGEFORMAT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ascii="宋体" w:hAnsi="宋体"/>
          <w:szCs w:val="21"/>
        </w:rPr>
        <w:t>经机构编制部门批准成立和登记或备案，领取《事业单位法人证书》，取得法人资格的单位；</w:t>
      </w:r>
      <w:r>
        <w:rPr>
          <w:rFonts w:ascii="宋体" w:hAnsi="宋体"/>
          <w:szCs w:val="21"/>
        </w:rPr>
        <w:fldChar w:fldCharType="begin"/>
      </w:r>
      <w:r>
        <w:rPr>
          <w:rFonts w:ascii="宋体" w:hAnsi="宋体"/>
          <w:szCs w:val="21"/>
        </w:rPr>
        <w:instrText xml:space="preserve"> = 2 \* GB3 \* MERGEFORMAT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ascii="宋体" w:hAnsi="宋体"/>
          <w:szCs w:val="21"/>
        </w:rPr>
        <w:t>由其他行政主管部门依据有关法律法规审批成立，且具备法人条件的事业单位：</w:t>
      </w:r>
      <w:r>
        <w:rPr>
          <w:rFonts w:ascii="宋体" w:hAnsi="宋体"/>
          <w:szCs w:val="21"/>
        </w:rPr>
        <w:fldChar w:fldCharType="begin"/>
      </w:r>
      <w:r>
        <w:rPr>
          <w:rFonts w:ascii="宋体" w:hAnsi="宋体"/>
          <w:szCs w:val="21"/>
        </w:rPr>
        <w:instrText xml:space="preserve"> = 3 \* GB3 \* MERGEFORMAT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ascii="宋体" w:hAnsi="宋体"/>
          <w:szCs w:val="21"/>
        </w:rPr>
        <w:t>事业法人单位的本部及分支机构或派出机构。</w:t>
      </w:r>
    </w:p>
    <w:p>
      <w:pPr>
        <w:snapToGrid w:val="0"/>
        <w:spacing w:line="400" w:lineRule="exact"/>
        <w:ind w:firstLine="420" w:firstLineChars="200"/>
        <w:rPr>
          <w:rFonts w:ascii="宋体" w:hAnsi="宋体"/>
          <w:szCs w:val="21"/>
        </w:rPr>
      </w:pPr>
      <w:r>
        <w:rPr>
          <w:rFonts w:hint="eastAsia" w:ascii="宋体" w:hAnsi="宋体"/>
          <w:szCs w:val="21"/>
        </w:rPr>
        <w:t>机关(30)：包括国家权力机关、国家行政机关、国家司法机关、政党机关、政协组织、人民解放军、武警部队和其他机关；还包括机关法人单位的本部，以及国家权力机关分支机构、国家行政机关分支或派出机构、人民法院分支机构、人民检察院分支机构等。</w:t>
      </w:r>
    </w:p>
    <w:p>
      <w:pPr>
        <w:snapToGrid w:val="0"/>
        <w:spacing w:line="400" w:lineRule="exact"/>
        <w:ind w:firstLine="420" w:firstLineChars="200"/>
        <w:rPr>
          <w:rFonts w:ascii="宋体" w:hAnsi="宋体"/>
          <w:szCs w:val="21"/>
        </w:rPr>
      </w:pPr>
      <w:r>
        <w:rPr>
          <w:rFonts w:hint="eastAsia" w:ascii="宋体" w:hAnsi="宋体"/>
          <w:szCs w:val="21"/>
        </w:rPr>
        <w:t>①国家权力机关：指全国人民代表大会及其常务委员会、地方各级人民代表大会及其常务委员会和办事机构。</w:t>
      </w:r>
    </w:p>
    <w:p>
      <w:pPr>
        <w:snapToGrid w:val="0"/>
        <w:spacing w:line="400" w:lineRule="exact"/>
        <w:ind w:firstLine="420" w:firstLineChars="200"/>
        <w:rPr>
          <w:rFonts w:ascii="宋体" w:hAnsi="宋体"/>
          <w:szCs w:val="21"/>
        </w:rPr>
      </w:pPr>
      <w:r>
        <w:rPr>
          <w:rFonts w:hint="eastAsia" w:ascii="宋体" w:hAnsi="宋体"/>
          <w:szCs w:val="21"/>
        </w:rPr>
        <w:t>②国家行政机关：指国务院和地方各级人民政府及其工作部门，以及地区行政行署。</w:t>
      </w:r>
    </w:p>
    <w:p>
      <w:pPr>
        <w:snapToGrid w:val="0"/>
        <w:spacing w:line="400" w:lineRule="exact"/>
        <w:ind w:firstLine="420" w:firstLineChars="200"/>
        <w:rPr>
          <w:rFonts w:ascii="宋体" w:hAnsi="宋体"/>
          <w:szCs w:val="21"/>
        </w:rPr>
      </w:pPr>
      <w:r>
        <w:rPr>
          <w:rFonts w:hint="eastAsia" w:ascii="宋体" w:hAnsi="宋体"/>
          <w:szCs w:val="21"/>
        </w:rPr>
        <w:t>③国家司法机关：指国家审判机关和检察机关。</w:t>
      </w:r>
    </w:p>
    <w:p>
      <w:pPr>
        <w:snapToGrid w:val="0"/>
        <w:spacing w:line="400" w:lineRule="exact"/>
        <w:ind w:firstLine="420" w:firstLineChars="200"/>
        <w:rPr>
          <w:rFonts w:ascii="宋体" w:hAnsi="宋体"/>
          <w:szCs w:val="21"/>
        </w:rPr>
      </w:pPr>
      <w:r>
        <w:rPr>
          <w:rFonts w:hint="eastAsia" w:ascii="宋体" w:hAnsi="宋体"/>
          <w:szCs w:val="21"/>
        </w:rPr>
        <w:t>④政党机关：指中国共产党各级机关和所属办事机构、各民主党派各级机关和办事机构。</w:t>
      </w:r>
    </w:p>
    <w:p>
      <w:pPr>
        <w:snapToGrid w:val="0"/>
        <w:spacing w:line="400" w:lineRule="exact"/>
        <w:ind w:firstLine="420" w:firstLineChars="200"/>
        <w:rPr>
          <w:rFonts w:ascii="宋体" w:hAnsi="宋体"/>
          <w:szCs w:val="21"/>
        </w:rPr>
      </w:pPr>
      <w:r>
        <w:rPr>
          <w:rFonts w:hint="eastAsia" w:ascii="宋体" w:hAnsi="宋体"/>
          <w:szCs w:val="21"/>
        </w:rPr>
        <w:t>⑤政协组织：指中国人民政治协商会议全国委员会和地方各级别委员会及其办事机构。</w:t>
      </w:r>
    </w:p>
    <w:p>
      <w:pPr>
        <w:snapToGrid w:val="0"/>
        <w:spacing w:line="400" w:lineRule="exact"/>
        <w:ind w:firstLine="420" w:firstLineChars="200"/>
        <w:rPr>
          <w:rFonts w:ascii="宋体" w:hAnsi="宋体"/>
          <w:szCs w:val="21"/>
        </w:rPr>
      </w:pPr>
      <w:r>
        <w:rPr>
          <w:rFonts w:ascii="宋体" w:hAnsi="宋体"/>
          <w:szCs w:val="21"/>
        </w:rPr>
        <w:t>社会团体</w:t>
      </w:r>
      <w:r>
        <w:rPr>
          <w:rFonts w:hint="eastAsia" w:ascii="宋体" w:hAnsi="宋体"/>
          <w:szCs w:val="21"/>
        </w:rPr>
        <w:t>（40）</w:t>
      </w:r>
      <w:r>
        <w:rPr>
          <w:rFonts w:ascii="宋体" w:hAnsi="宋体"/>
          <w:szCs w:val="21"/>
        </w:rPr>
        <w:t>：指中国公民自愿组成，为实现会员共同意愿，按照其章程开展活动的非营利性社会组织。包括</w:t>
      </w:r>
      <w:r>
        <w:rPr>
          <w:rFonts w:ascii="宋体" w:hAnsi="宋体"/>
          <w:szCs w:val="21"/>
        </w:rPr>
        <w:fldChar w:fldCharType="begin"/>
      </w:r>
      <w:r>
        <w:rPr>
          <w:rFonts w:ascii="宋体" w:hAnsi="宋体"/>
          <w:szCs w:val="21"/>
        </w:rPr>
        <w:instrText xml:space="preserve"> = 1 \* GB3 \* MERGEFORMAT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ascii="宋体" w:hAnsi="宋体"/>
          <w:szCs w:val="21"/>
        </w:rPr>
        <w:t>经各级民政部门核准登记，领取《社会团体法人</w:t>
      </w:r>
      <w:r>
        <w:rPr>
          <w:rFonts w:hint="eastAsia" w:ascii="宋体" w:hAnsi="宋体"/>
          <w:szCs w:val="21"/>
        </w:rPr>
        <w:t>登记</w:t>
      </w:r>
      <w:r>
        <w:rPr>
          <w:rFonts w:ascii="宋体" w:hAnsi="宋体"/>
          <w:szCs w:val="21"/>
        </w:rPr>
        <w:t>证书》的各类社会团体；</w:t>
      </w:r>
      <w:r>
        <w:rPr>
          <w:rFonts w:ascii="宋体" w:hAnsi="宋体"/>
          <w:szCs w:val="21"/>
        </w:rPr>
        <w:fldChar w:fldCharType="begin"/>
      </w:r>
      <w:r>
        <w:rPr>
          <w:rFonts w:ascii="宋体" w:hAnsi="宋体"/>
          <w:szCs w:val="21"/>
        </w:rPr>
        <w:instrText xml:space="preserve"> = 2 \* GB3 \* MERGEFORMAT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ascii="宋体" w:hAnsi="宋体"/>
          <w:szCs w:val="21"/>
        </w:rPr>
        <w:t>由各级机构编制管理部门直接管理其机关机构编制的群众团体；</w:t>
      </w:r>
      <w:r>
        <w:rPr>
          <w:rFonts w:ascii="宋体" w:hAnsi="宋体"/>
          <w:szCs w:val="21"/>
        </w:rPr>
        <w:fldChar w:fldCharType="begin"/>
      </w:r>
      <w:r>
        <w:rPr>
          <w:rFonts w:ascii="宋体" w:hAnsi="宋体"/>
          <w:szCs w:val="21"/>
        </w:rPr>
        <w:instrText xml:space="preserve"> = 3 \* GB3 \* MERGEFORMAT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ascii="宋体" w:hAnsi="宋体"/>
          <w:szCs w:val="21"/>
        </w:rPr>
        <w:t>经国务院批准可以免于登记的社会团体；</w:t>
      </w:r>
      <w:r>
        <w:rPr>
          <w:rFonts w:ascii="宋体" w:hAnsi="宋体"/>
          <w:szCs w:val="21"/>
        </w:rPr>
        <w:fldChar w:fldCharType="begin"/>
      </w:r>
      <w:r>
        <w:rPr>
          <w:rFonts w:ascii="宋体" w:hAnsi="宋体"/>
          <w:szCs w:val="21"/>
        </w:rPr>
        <w:instrText xml:space="preserve"> = 4 \* GB3 \* MERGEFORMAT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ascii="宋体" w:hAnsi="宋体"/>
          <w:szCs w:val="21"/>
        </w:rPr>
        <w:t>由其他行政主管部门依据有关法律法规审批成立，不需要进行登记的具备法人条件的社会团体；</w:t>
      </w:r>
      <w:r>
        <w:rPr>
          <w:rFonts w:ascii="宋体" w:hAnsi="宋体"/>
          <w:szCs w:val="21"/>
        </w:rPr>
        <w:fldChar w:fldCharType="begin"/>
      </w:r>
      <w:r>
        <w:rPr>
          <w:rFonts w:ascii="宋体" w:hAnsi="宋体"/>
          <w:szCs w:val="21"/>
        </w:rPr>
        <w:instrText xml:space="preserve"> = 5 \* GB3 \* MERGEFORMAT </w:instrText>
      </w:r>
      <w:r>
        <w:rPr>
          <w:rFonts w:ascii="宋体" w:hAnsi="宋体"/>
          <w:szCs w:val="21"/>
        </w:rPr>
        <w:fldChar w:fldCharType="separate"/>
      </w:r>
      <w:r>
        <w:rPr>
          <w:rFonts w:hint="eastAsia" w:ascii="宋体" w:hAnsi="宋体"/>
          <w:szCs w:val="21"/>
        </w:rPr>
        <w:t>⑤</w:t>
      </w:r>
      <w:r>
        <w:rPr>
          <w:rFonts w:ascii="宋体" w:hAnsi="宋体"/>
          <w:szCs w:val="21"/>
        </w:rPr>
        <w:fldChar w:fldCharType="end"/>
      </w:r>
      <w:r>
        <w:rPr>
          <w:rFonts w:ascii="宋体" w:hAnsi="宋体"/>
          <w:szCs w:val="21"/>
        </w:rPr>
        <w:t>社团法人单位的本部，以及经各级民政部门核准登记，领取《社会团体分支机构登记证书》或《社会团体代表机构登记证书》的社会团体分支机构或代表机构。</w:t>
      </w:r>
    </w:p>
    <w:p>
      <w:pPr>
        <w:snapToGrid w:val="0"/>
        <w:spacing w:line="400" w:lineRule="exact"/>
        <w:ind w:firstLine="420" w:firstLineChars="200"/>
        <w:rPr>
          <w:rFonts w:ascii="宋体" w:hAnsi="宋体"/>
          <w:szCs w:val="21"/>
        </w:rPr>
      </w:pPr>
      <w:r>
        <w:rPr>
          <w:rFonts w:ascii="宋体" w:hAnsi="宋体"/>
          <w:szCs w:val="21"/>
        </w:rPr>
        <w:t>民办非企业单位（</w:t>
      </w:r>
      <w:r>
        <w:rPr>
          <w:rFonts w:hint="eastAsia" w:ascii="宋体" w:hAnsi="宋体"/>
          <w:szCs w:val="21"/>
        </w:rPr>
        <w:t>51</w:t>
      </w:r>
      <w:r>
        <w:rPr>
          <w:rFonts w:ascii="宋体" w:hAnsi="宋体"/>
          <w:szCs w:val="21"/>
        </w:rPr>
        <w:t>）：指企业单位、事业单位、社会团体和其他社会力量以及公民个人利用非国有资产举办的，从事非营利性社会服务的社会组织。包括</w:t>
      </w:r>
      <w:r>
        <w:rPr>
          <w:rFonts w:ascii="宋体" w:hAnsi="宋体"/>
          <w:szCs w:val="21"/>
        </w:rPr>
        <w:fldChar w:fldCharType="begin"/>
      </w:r>
      <w:r>
        <w:rPr>
          <w:rFonts w:ascii="宋体" w:hAnsi="宋体"/>
          <w:szCs w:val="21"/>
        </w:rPr>
        <w:instrText xml:space="preserve"> = 1 \* GB3 \* MERGEFORMAT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ascii="宋体" w:hAnsi="宋体"/>
          <w:szCs w:val="21"/>
        </w:rPr>
        <w:t>经各级民政部门核准登记，领取《民办非企业单位（法人）登记证书》的民办非企业单位；</w:t>
      </w:r>
      <w:r>
        <w:rPr>
          <w:rFonts w:ascii="宋体" w:hAnsi="宋体"/>
          <w:szCs w:val="21"/>
        </w:rPr>
        <w:fldChar w:fldCharType="begin"/>
      </w:r>
      <w:r>
        <w:rPr>
          <w:rFonts w:ascii="宋体" w:hAnsi="宋体"/>
          <w:szCs w:val="21"/>
        </w:rPr>
        <w:instrText xml:space="preserve"> = 2 \* GB3 \* MERGEFORMAT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ascii="宋体" w:hAnsi="宋体"/>
          <w:szCs w:val="21"/>
        </w:rPr>
        <w:t>由其他行政主管部门依据有关法律法规审批成立，不需要进行登记的具备法人条件的民办非企业单位。</w:t>
      </w:r>
    </w:p>
    <w:p>
      <w:pPr>
        <w:snapToGrid w:val="0"/>
        <w:spacing w:line="400" w:lineRule="exact"/>
        <w:ind w:firstLine="420" w:firstLineChars="200"/>
        <w:rPr>
          <w:rFonts w:ascii="宋体" w:hAnsi="宋体"/>
          <w:szCs w:val="21"/>
        </w:rPr>
      </w:pPr>
      <w:r>
        <w:rPr>
          <w:rFonts w:ascii="宋体" w:hAnsi="宋体"/>
          <w:szCs w:val="21"/>
        </w:rPr>
        <w:t>基金会（</w:t>
      </w:r>
      <w:r>
        <w:rPr>
          <w:rFonts w:hint="eastAsia" w:ascii="宋体" w:hAnsi="宋体"/>
          <w:szCs w:val="21"/>
        </w:rPr>
        <w:t>52</w:t>
      </w:r>
      <w:r>
        <w:rPr>
          <w:rFonts w:ascii="宋体" w:hAnsi="宋体"/>
          <w:szCs w:val="21"/>
        </w:rPr>
        <w:t>）：包括</w:t>
      </w:r>
      <w:r>
        <w:rPr>
          <w:rFonts w:ascii="宋体" w:hAnsi="宋体"/>
          <w:szCs w:val="21"/>
        </w:rPr>
        <w:fldChar w:fldCharType="begin"/>
      </w:r>
      <w:r>
        <w:rPr>
          <w:rFonts w:ascii="宋体" w:hAnsi="宋体"/>
          <w:szCs w:val="21"/>
        </w:rPr>
        <w:instrText xml:space="preserve"> = 1 \* GB3 \* MERGEFORMAT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ascii="宋体" w:hAnsi="宋体"/>
          <w:szCs w:val="21"/>
        </w:rPr>
        <w:t>民政部和省级民政部门核准登记的，颁发《基金会法人登记证书》的基金会；</w:t>
      </w:r>
      <w:r>
        <w:rPr>
          <w:rFonts w:ascii="宋体" w:hAnsi="宋体"/>
          <w:szCs w:val="21"/>
        </w:rPr>
        <w:fldChar w:fldCharType="begin"/>
      </w:r>
      <w:r>
        <w:rPr>
          <w:rFonts w:ascii="宋体" w:hAnsi="宋体"/>
          <w:szCs w:val="21"/>
        </w:rPr>
        <w:instrText xml:space="preserve"> = 2 \* GB3 \* MERGEFORMAT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ascii="宋体" w:hAnsi="宋体"/>
          <w:szCs w:val="21"/>
        </w:rPr>
        <w:t>基金会的本部及分支机构和境外基金会代表机构。</w:t>
      </w:r>
    </w:p>
    <w:p>
      <w:pPr>
        <w:snapToGrid w:val="0"/>
        <w:spacing w:line="400" w:lineRule="exact"/>
        <w:ind w:firstLine="420" w:firstLineChars="200"/>
        <w:rPr>
          <w:rFonts w:ascii="宋体" w:hAnsi="宋体"/>
          <w:szCs w:val="21"/>
        </w:rPr>
      </w:pPr>
      <w:r>
        <w:rPr>
          <w:rFonts w:ascii="宋体" w:hAnsi="宋体"/>
          <w:szCs w:val="21"/>
        </w:rPr>
        <w:t>其他组织机构（</w:t>
      </w:r>
      <w:r>
        <w:rPr>
          <w:rFonts w:hint="eastAsia" w:ascii="宋体" w:hAnsi="宋体"/>
          <w:szCs w:val="21"/>
        </w:rPr>
        <w:t>90</w:t>
      </w:r>
      <w:r>
        <w:rPr>
          <w:rFonts w:ascii="宋体" w:hAnsi="宋体"/>
          <w:szCs w:val="21"/>
        </w:rPr>
        <w:t>）：指除企业、事业单位、</w:t>
      </w:r>
      <w:r>
        <w:rPr>
          <w:rFonts w:hint="eastAsia" w:ascii="宋体" w:hAnsi="宋体"/>
          <w:szCs w:val="21"/>
        </w:rPr>
        <w:t>机关、</w:t>
      </w:r>
      <w:r>
        <w:rPr>
          <w:rFonts w:ascii="宋体" w:hAnsi="宋体"/>
          <w:szCs w:val="21"/>
        </w:rPr>
        <w:t>社会团体、民办非企业单位、基金会以外的其他符合法人和产业活动单位条件的机构。</w:t>
      </w:r>
    </w:p>
    <w:p>
      <w:pPr>
        <w:snapToGrid w:val="0"/>
        <w:spacing w:line="400" w:lineRule="exact"/>
        <w:ind w:firstLine="424" w:firstLineChars="202"/>
        <w:rPr>
          <w:rFonts w:ascii="宋体" w:hAnsi="宋体"/>
          <w:szCs w:val="21"/>
        </w:rPr>
      </w:pPr>
      <w:r>
        <w:rPr>
          <w:rFonts w:hint="eastAsia" w:ascii="黑体" w:hAnsi="宋体" w:eastAsia="黑体"/>
          <w:szCs w:val="21"/>
        </w:rPr>
        <w:t xml:space="preserve">执行会计制度类别  </w:t>
      </w:r>
      <w:r>
        <w:rPr>
          <w:rFonts w:ascii="宋体" w:hAnsi="宋体"/>
          <w:szCs w:val="21"/>
        </w:rPr>
        <w:t>分为执行企业会计制度、</w:t>
      </w:r>
      <w:r>
        <w:rPr>
          <w:rFonts w:hint="eastAsia" w:ascii="宋体" w:hAnsi="宋体"/>
          <w:szCs w:val="21"/>
        </w:rPr>
        <w:t>行政单位会计制度、</w:t>
      </w:r>
      <w:r>
        <w:rPr>
          <w:rFonts w:ascii="宋体" w:hAnsi="宋体"/>
          <w:szCs w:val="21"/>
        </w:rPr>
        <w:t>事业</w:t>
      </w:r>
      <w:r>
        <w:rPr>
          <w:rFonts w:hint="eastAsia" w:ascii="宋体" w:hAnsi="宋体"/>
          <w:szCs w:val="21"/>
        </w:rPr>
        <w:t>单位</w:t>
      </w:r>
      <w:r>
        <w:rPr>
          <w:rFonts w:ascii="宋体" w:hAnsi="宋体"/>
          <w:szCs w:val="21"/>
        </w:rPr>
        <w:t>会计制度</w:t>
      </w:r>
      <w:r>
        <w:rPr>
          <w:rFonts w:hint="eastAsia" w:ascii="宋体" w:hAnsi="宋体"/>
          <w:szCs w:val="21"/>
        </w:rPr>
        <w:t>三种情况</w:t>
      </w:r>
      <w:r>
        <w:rPr>
          <w:rFonts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①</w:t>
      </w:r>
      <w:r>
        <w:rPr>
          <w:rFonts w:ascii="宋体" w:hAnsi="宋体"/>
          <w:szCs w:val="21"/>
        </w:rPr>
        <w:t>企业会计制度：执行工业企业会计制度、施工企业会计制度、运输（交通）企业会计制度、运输（铁路）企业会计制度、运输（民用航空）企业会计制度、公路经营企业会计制度、邮电通信企业会计制度、农业企业会计制度、国有林场和苗圃会计制度、国有农牧渔良种场会计制度、水利工程管理单位会计制度、商品流通企业会计制度、旅游、饮食服务企业会计制度、金融企业会计制度、城市合作银行会计制度、保险公司会计制度、股份有限公司会计制度、对外经济合作企业会计制度等的企业（单位）选填此项。包括执行小企业会计制度的企业单位和实行企业化管理、执行企业会计制度的事业单位。</w:t>
      </w:r>
    </w:p>
    <w:p>
      <w:pPr>
        <w:snapToGrid w:val="0"/>
        <w:spacing w:line="400" w:lineRule="exact"/>
        <w:ind w:firstLine="420" w:firstLineChars="200"/>
        <w:rPr>
          <w:rFonts w:ascii="宋体" w:hAnsi="宋体"/>
          <w:szCs w:val="21"/>
        </w:rPr>
      </w:pPr>
      <w:r>
        <w:rPr>
          <w:rFonts w:hint="eastAsia" w:ascii="宋体" w:hAnsi="宋体"/>
          <w:szCs w:val="21"/>
        </w:rPr>
        <w:t>②行政单位会计制度：执行行政单位会计制度的单位选填此项。包括各类行政机关、政党机关及执行行政单位会计制度的社会团体。</w:t>
      </w:r>
    </w:p>
    <w:p>
      <w:pPr>
        <w:snapToGrid w:val="0"/>
        <w:spacing w:line="400" w:lineRule="exact"/>
        <w:ind w:firstLine="420" w:firstLineChars="200"/>
        <w:rPr>
          <w:rFonts w:ascii="宋体" w:hAnsi="宋体"/>
          <w:szCs w:val="21"/>
        </w:rPr>
      </w:pPr>
      <w:r>
        <w:rPr>
          <w:rFonts w:hint="eastAsia" w:ascii="宋体" w:hAnsi="宋体"/>
          <w:szCs w:val="21"/>
        </w:rPr>
        <w:t>③</w:t>
      </w:r>
      <w:r>
        <w:rPr>
          <w:rFonts w:ascii="宋体" w:hAnsi="宋体"/>
          <w:szCs w:val="21"/>
        </w:rPr>
        <w:t>事业单位会计制度：执行事业</w:t>
      </w:r>
      <w:r>
        <w:rPr>
          <w:rFonts w:hint="eastAsia" w:ascii="宋体" w:hAnsi="宋体"/>
          <w:szCs w:val="21"/>
        </w:rPr>
        <w:t>单位</w:t>
      </w:r>
      <w:r>
        <w:rPr>
          <w:rFonts w:ascii="宋体" w:hAnsi="宋体"/>
          <w:szCs w:val="21"/>
        </w:rPr>
        <w:t>会计制度的各类事业单位选填此项。包括执行特殊行业会计制度的事业单位（如执行科学事业单位会计制度、中小学校会计制度、高等学校会计制度、医院会计制度、测绘事业单位会计制度、国家物资储备资金会计制度等）以及执行事业</w:t>
      </w:r>
      <w:r>
        <w:rPr>
          <w:rFonts w:hint="eastAsia" w:ascii="宋体" w:hAnsi="宋体"/>
          <w:szCs w:val="21"/>
        </w:rPr>
        <w:t>单位</w:t>
      </w:r>
      <w:r>
        <w:rPr>
          <w:rFonts w:ascii="宋体" w:hAnsi="宋体"/>
          <w:szCs w:val="21"/>
        </w:rPr>
        <w:t>会计制度的社会团体；但不包括实行企业化管理、执行企业会计制度的事业单位。</w:t>
      </w:r>
    </w:p>
    <w:p>
      <w:pPr>
        <w:snapToGrid w:val="0"/>
        <w:spacing w:line="400" w:lineRule="exact"/>
        <w:ind w:firstLine="417" w:firstLineChars="199"/>
        <w:jc w:val="left"/>
        <w:rPr>
          <w:rFonts w:ascii="宋体" w:hAnsi="宋体"/>
          <w:szCs w:val="21"/>
        </w:rPr>
      </w:pPr>
      <w:r>
        <w:rPr>
          <w:rFonts w:hint="eastAsia" w:ascii="黑体" w:hAnsi="宋体" w:eastAsia="黑体"/>
          <w:szCs w:val="21"/>
        </w:rPr>
        <w:t xml:space="preserve">企业登记注册类型  </w:t>
      </w:r>
      <w:r>
        <w:rPr>
          <w:rFonts w:ascii="宋体" w:hAnsi="宋体"/>
          <w:szCs w:val="21"/>
        </w:rPr>
        <w:t>本指标限企业填写</w:t>
      </w:r>
      <w:r>
        <w:rPr>
          <w:rFonts w:hint="eastAsia" w:ascii="宋体" w:hAnsi="宋体"/>
          <w:szCs w:val="21"/>
        </w:rPr>
        <w:t>，根据附录（一）</w:t>
      </w:r>
      <w:r>
        <w:rPr>
          <w:rFonts w:ascii="宋体" w:hAnsi="宋体"/>
          <w:szCs w:val="21"/>
        </w:rPr>
        <w:t>企业登记注册类型与代码</w:t>
      </w:r>
      <w:r>
        <w:rPr>
          <w:rFonts w:hint="eastAsia" w:ascii="宋体" w:hAnsi="宋体"/>
          <w:szCs w:val="21"/>
        </w:rPr>
        <w:t>填列3位代码</w:t>
      </w:r>
      <w:r>
        <w:rPr>
          <w:rFonts w:ascii="宋体" w:hAnsi="宋体"/>
          <w:szCs w:val="21"/>
        </w:rPr>
        <w:t>。依据《关于划分企业登记注册类型的规定》（国统字</w:t>
      </w:r>
      <w:r>
        <w:rPr>
          <w:rFonts w:hint="eastAsia" w:ascii="宋体" w:hAnsi="宋体"/>
          <w:szCs w:val="21"/>
        </w:rPr>
        <w:t>〔</w:t>
      </w:r>
      <w:r>
        <w:rPr>
          <w:rFonts w:ascii="宋体" w:hAnsi="宋体"/>
          <w:szCs w:val="21"/>
        </w:rPr>
        <w:t>2011</w:t>
      </w:r>
      <w:r>
        <w:rPr>
          <w:rFonts w:hint="eastAsia" w:ascii="宋体" w:hAnsi="宋体"/>
          <w:szCs w:val="21"/>
        </w:rPr>
        <w:t>〕</w:t>
      </w:r>
      <w:r>
        <w:rPr>
          <w:rFonts w:ascii="宋体" w:hAnsi="宋体"/>
          <w:szCs w:val="21"/>
        </w:rPr>
        <w:t>86号），指以在工商行政管理机关登记注册的各类企业为划分对象，以工商行政管理部门对企业登记注册的类型为依据，将企业登记注册类型分为内资企业、港澳台商投资企业和外商投资企业三大类。内资企业包括国有企业、集体企业、股份合作企业、联营企业、有限责任公司、股份有限公司、私营公司和其他企业；港澳台商投资企业和外商投资企业分别包括合资经营企业、合作经营企业、独资</w:t>
      </w:r>
      <w:r>
        <w:rPr>
          <w:rFonts w:hint="eastAsia" w:ascii="宋体" w:hAnsi="宋体"/>
          <w:szCs w:val="21"/>
        </w:rPr>
        <w:t>或外资</w:t>
      </w:r>
      <w:r>
        <w:rPr>
          <w:rFonts w:ascii="宋体" w:hAnsi="宋体"/>
          <w:szCs w:val="21"/>
        </w:rPr>
        <w:t>企业、</w:t>
      </w:r>
      <w:r>
        <w:rPr>
          <w:rFonts w:hint="eastAsia" w:ascii="宋体" w:hAnsi="宋体"/>
          <w:szCs w:val="21"/>
        </w:rPr>
        <w:t>投资</w:t>
      </w:r>
      <w:r>
        <w:rPr>
          <w:rFonts w:ascii="宋体" w:hAnsi="宋体"/>
          <w:szCs w:val="21"/>
        </w:rPr>
        <w:t>股份有限公司和其他</w:t>
      </w:r>
      <w:r>
        <w:rPr>
          <w:rFonts w:hint="eastAsia" w:ascii="宋体" w:hAnsi="宋体"/>
          <w:szCs w:val="21"/>
        </w:rPr>
        <w:t>投资</w:t>
      </w:r>
      <w:r>
        <w:rPr>
          <w:rFonts w:ascii="宋体" w:hAnsi="宋体"/>
          <w:szCs w:val="21"/>
        </w:rPr>
        <w:t>企业。</w:t>
      </w:r>
    </w:p>
    <w:p>
      <w:pPr>
        <w:snapToGrid w:val="0"/>
        <w:spacing w:line="400" w:lineRule="exact"/>
        <w:rPr>
          <w:rFonts w:ascii="宋体" w:hAnsi="宋体"/>
          <w:szCs w:val="21"/>
        </w:rPr>
      </w:pPr>
      <w:r>
        <w:rPr>
          <w:rFonts w:ascii="宋体" w:hAnsi="宋体"/>
          <w:szCs w:val="21"/>
        </w:rPr>
        <w:t xml:space="preserve">    国有企业是指企业全部资产归国家所有，并按《中华人民共和国企业法人登记管理条例》规定登记注册的非公司制的经济组织。不包括有限责任公司中的国有独资公司。</w:t>
      </w:r>
    </w:p>
    <w:p>
      <w:pPr>
        <w:snapToGrid w:val="0"/>
        <w:spacing w:line="400" w:lineRule="exact"/>
        <w:rPr>
          <w:rFonts w:ascii="宋体" w:hAnsi="宋体"/>
          <w:szCs w:val="21"/>
        </w:rPr>
      </w:pPr>
      <w:r>
        <w:rPr>
          <w:rFonts w:ascii="宋体" w:hAnsi="宋体"/>
          <w:szCs w:val="21"/>
        </w:rPr>
        <w:t>　　集体企业是指企业资产归集体所有，并按《中华人民共和国企业法人登记管理条例》规定登记注册的经济组织。</w:t>
      </w:r>
    </w:p>
    <w:p>
      <w:pPr>
        <w:snapToGrid w:val="0"/>
        <w:spacing w:line="400" w:lineRule="exact"/>
        <w:rPr>
          <w:rFonts w:ascii="宋体" w:hAnsi="宋体"/>
          <w:szCs w:val="21"/>
        </w:rPr>
      </w:pPr>
      <w:r>
        <w:rPr>
          <w:rFonts w:ascii="宋体" w:hAnsi="宋体"/>
          <w:szCs w:val="21"/>
        </w:rPr>
        <w:t>　　股份合作企业是指以合作制为基础，由企业职工共同出资入股，吸收一定比例的社会资产投资组建，实行自主经营，自负盈亏，共同劳动，民主管理，按劳分配与按股分红相结合的一种集体经济组织。</w:t>
      </w:r>
    </w:p>
    <w:p>
      <w:pPr>
        <w:snapToGrid w:val="0"/>
        <w:spacing w:line="400" w:lineRule="exact"/>
        <w:rPr>
          <w:rFonts w:ascii="宋体" w:hAnsi="宋体"/>
          <w:szCs w:val="21"/>
        </w:rPr>
      </w:pPr>
      <w:r>
        <w:rPr>
          <w:rFonts w:ascii="宋体" w:hAnsi="宋体"/>
          <w:szCs w:val="21"/>
        </w:rPr>
        <w:t>　　联营企业是指两个及两个以上相同或不同所有制性质的企业法人或事业单位法人，按自愿、平等、互利的原则，共同投资组成的经济组织。</w:t>
      </w:r>
    </w:p>
    <w:p>
      <w:pPr>
        <w:snapToGrid w:val="0"/>
        <w:spacing w:line="400" w:lineRule="exact"/>
        <w:ind w:firstLine="420" w:firstLineChars="200"/>
        <w:rPr>
          <w:rFonts w:ascii="宋体" w:hAnsi="宋体"/>
          <w:szCs w:val="21"/>
        </w:rPr>
      </w:pPr>
      <w:r>
        <w:rPr>
          <w:rFonts w:ascii="宋体" w:hAnsi="宋体"/>
          <w:szCs w:val="21"/>
        </w:rPr>
        <w:t>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r>
        <w:rPr>
          <w:rFonts w:hint="eastAsia" w:ascii="宋体" w:hAnsi="宋体"/>
          <w:szCs w:val="21"/>
        </w:rPr>
        <w:t>，</w:t>
      </w:r>
      <w:r>
        <w:rPr>
          <w:rFonts w:ascii="宋体" w:hAnsi="宋体"/>
          <w:szCs w:val="21"/>
        </w:rPr>
        <w:t>包括国有独资公司以及其他有限责任公司。</w:t>
      </w:r>
    </w:p>
    <w:p>
      <w:pPr>
        <w:snapToGrid w:val="0"/>
        <w:spacing w:line="400" w:lineRule="exact"/>
        <w:rPr>
          <w:rFonts w:ascii="宋体" w:hAnsi="宋体"/>
          <w:szCs w:val="21"/>
        </w:rPr>
      </w:pPr>
      <w:r>
        <w:rPr>
          <w:rFonts w:ascii="宋体" w:hAnsi="宋体"/>
          <w:szCs w:val="21"/>
        </w:rPr>
        <w:t>　　国有独资公司是指国家授权的投资机构或者国家授权的部门单独投资设立的有限责任公司。</w:t>
      </w:r>
    </w:p>
    <w:p>
      <w:pPr>
        <w:snapToGrid w:val="0"/>
        <w:spacing w:line="400" w:lineRule="exact"/>
        <w:rPr>
          <w:rFonts w:ascii="宋体" w:hAnsi="宋体"/>
          <w:szCs w:val="21"/>
        </w:rPr>
      </w:pPr>
      <w:r>
        <w:rPr>
          <w:rFonts w:ascii="宋体" w:hAnsi="宋体"/>
          <w:szCs w:val="21"/>
        </w:rPr>
        <w:t>　　其他有限责任公司是指国有独资公司以外的其他有限责任公司。</w:t>
      </w:r>
    </w:p>
    <w:p>
      <w:pPr>
        <w:snapToGrid w:val="0"/>
        <w:spacing w:line="400" w:lineRule="exact"/>
        <w:rPr>
          <w:rFonts w:ascii="宋体" w:hAnsi="宋体"/>
          <w:szCs w:val="21"/>
        </w:rPr>
      </w:pPr>
      <w:r>
        <w:rPr>
          <w:rFonts w:ascii="宋体" w:hAnsi="宋体"/>
          <w:szCs w:val="21"/>
        </w:rPr>
        <w:t>　　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napToGrid w:val="0"/>
        <w:spacing w:line="400" w:lineRule="exact"/>
        <w:rPr>
          <w:rFonts w:ascii="宋体" w:hAnsi="宋体"/>
          <w:szCs w:val="21"/>
        </w:rPr>
      </w:pPr>
      <w:r>
        <w:rPr>
          <w:rFonts w:ascii="宋体" w:hAnsi="宋体"/>
          <w:szCs w:val="21"/>
        </w:rPr>
        <w:t>　　私营企业是指由自然人投资设立或由自然人控股，以雇佣劳动为基础的营利性经济组织。包括按照《公司法》《合伙企业法》《私营企业暂行条例》规定登记注册的私营独资企业</w:t>
      </w:r>
      <w:r>
        <w:rPr>
          <w:rFonts w:hint="eastAsia" w:ascii="宋体" w:hAnsi="宋体"/>
          <w:szCs w:val="21"/>
        </w:rPr>
        <w:t>、</w:t>
      </w:r>
      <w:r>
        <w:rPr>
          <w:rFonts w:ascii="宋体" w:hAnsi="宋体"/>
          <w:szCs w:val="21"/>
        </w:rPr>
        <w:t>私营合伙企业</w:t>
      </w:r>
      <w:r>
        <w:rPr>
          <w:rFonts w:hint="eastAsia" w:ascii="宋体" w:hAnsi="宋体"/>
          <w:szCs w:val="21"/>
        </w:rPr>
        <w:t>、</w:t>
      </w:r>
      <w:r>
        <w:rPr>
          <w:rFonts w:ascii="宋体" w:hAnsi="宋体"/>
          <w:szCs w:val="21"/>
        </w:rPr>
        <w:t>私营有限责任公司</w:t>
      </w:r>
      <w:r>
        <w:rPr>
          <w:rFonts w:hint="eastAsia" w:ascii="宋体" w:hAnsi="宋体"/>
          <w:szCs w:val="21"/>
        </w:rPr>
        <w:t>和</w:t>
      </w:r>
      <w:r>
        <w:rPr>
          <w:rFonts w:ascii="宋体" w:hAnsi="宋体"/>
          <w:szCs w:val="21"/>
        </w:rPr>
        <w:t>私营股份有限公司。</w:t>
      </w:r>
    </w:p>
    <w:p>
      <w:pPr>
        <w:snapToGrid w:val="0"/>
        <w:spacing w:line="400" w:lineRule="exact"/>
        <w:rPr>
          <w:rFonts w:ascii="宋体" w:hAnsi="宋体"/>
          <w:szCs w:val="21"/>
        </w:rPr>
      </w:pPr>
      <w:r>
        <w:rPr>
          <w:rFonts w:ascii="宋体" w:hAnsi="宋体"/>
          <w:szCs w:val="21"/>
        </w:rPr>
        <w:t>　　私营独资企业是指按《私营企业暂行条例》的规定，由一名自然人投资经营，以雇佣劳动为基础，投资者对企业债务承担无限责任的企业。</w:t>
      </w:r>
    </w:p>
    <w:p>
      <w:pPr>
        <w:snapToGrid w:val="0"/>
        <w:spacing w:line="400" w:lineRule="exact"/>
        <w:rPr>
          <w:rFonts w:ascii="宋体" w:hAnsi="宋体"/>
          <w:szCs w:val="21"/>
        </w:rPr>
      </w:pPr>
      <w:r>
        <w:rPr>
          <w:rFonts w:ascii="宋体" w:hAnsi="宋体"/>
          <w:szCs w:val="21"/>
        </w:rPr>
        <w:t>　　私营合伙企业是指按《合伙企业法》或《私营企业暂行条例》的规定，由两个以上自然人按照协议共同投资、共同经营、共负盈亏，以雇佣劳动为基础，对债务承担无限责任的企业。</w:t>
      </w:r>
    </w:p>
    <w:p>
      <w:pPr>
        <w:snapToGrid w:val="0"/>
        <w:spacing w:line="400" w:lineRule="exact"/>
        <w:rPr>
          <w:rFonts w:ascii="宋体" w:hAnsi="宋体"/>
          <w:szCs w:val="21"/>
        </w:rPr>
      </w:pPr>
      <w:r>
        <w:rPr>
          <w:rFonts w:ascii="宋体" w:hAnsi="宋体"/>
          <w:szCs w:val="21"/>
        </w:rPr>
        <w:t>　　私营有限责任公司是指按《公司法》《私营企业暂行条例》的规定，由两个以上自然人投资或由单个自然人控股的有限责任公司。</w:t>
      </w:r>
    </w:p>
    <w:p>
      <w:pPr>
        <w:snapToGrid w:val="0"/>
        <w:spacing w:line="400" w:lineRule="exact"/>
        <w:rPr>
          <w:rFonts w:ascii="宋体" w:hAnsi="宋体"/>
          <w:szCs w:val="21"/>
        </w:rPr>
      </w:pPr>
      <w:r>
        <w:rPr>
          <w:rFonts w:ascii="宋体" w:hAnsi="宋体"/>
          <w:szCs w:val="21"/>
        </w:rPr>
        <w:t>　　私营股份有限公司是指按《公司法》的规定，由五个以上自然人投资，或由单个自然人控股的股份有限公司。</w:t>
      </w:r>
    </w:p>
    <w:p>
      <w:pPr>
        <w:snapToGrid w:val="0"/>
        <w:spacing w:line="400" w:lineRule="exact"/>
        <w:rPr>
          <w:rFonts w:ascii="宋体" w:hAnsi="宋体"/>
          <w:szCs w:val="21"/>
        </w:rPr>
      </w:pPr>
      <w:r>
        <w:rPr>
          <w:rFonts w:ascii="宋体" w:hAnsi="宋体"/>
          <w:szCs w:val="21"/>
        </w:rPr>
        <w:t>　　其他企业是指上述国有企业、集体企业、股份合作企业、联营企业、有限责任公司、股份有限公司、私营企业之外的其他内资经济组织。</w:t>
      </w:r>
    </w:p>
    <w:p>
      <w:pPr>
        <w:snapToGrid w:val="0"/>
        <w:spacing w:line="400" w:lineRule="exact"/>
        <w:rPr>
          <w:rFonts w:ascii="宋体" w:hAnsi="宋体"/>
          <w:szCs w:val="21"/>
        </w:rPr>
      </w:pPr>
      <w:r>
        <w:rPr>
          <w:rFonts w:ascii="宋体" w:hAnsi="宋体"/>
          <w:szCs w:val="21"/>
        </w:rPr>
        <w:t>　　合资经营企业（港或澳、台资）是指港澳台地区投资者与内地企业依照《中华人民共和国中外合资经营企业法》及有关法律的规定，按合同规定的比例投资设立、分享利润和分担风险的企业。</w:t>
      </w:r>
    </w:p>
    <w:p>
      <w:pPr>
        <w:snapToGrid w:val="0"/>
        <w:spacing w:line="400" w:lineRule="exact"/>
        <w:rPr>
          <w:rFonts w:ascii="宋体" w:hAnsi="宋体"/>
          <w:szCs w:val="21"/>
        </w:rPr>
      </w:pPr>
      <w:r>
        <w:rPr>
          <w:rFonts w:ascii="宋体" w:hAnsi="宋体"/>
          <w:szCs w:val="21"/>
        </w:rPr>
        <w:t>　　合作经营企业（港或澳、台资）是指港澳台地区投资者与内地企业依照《中华人民共和国中外合作经营企业法》及有关法律的规定，依照合作合同的约定进行投资或提供条件设立、分配利润和分担风险的企业。</w:t>
      </w:r>
    </w:p>
    <w:p>
      <w:pPr>
        <w:snapToGrid w:val="0"/>
        <w:spacing w:line="400" w:lineRule="exact"/>
        <w:rPr>
          <w:rFonts w:ascii="宋体" w:hAnsi="宋体"/>
          <w:szCs w:val="21"/>
        </w:rPr>
      </w:pPr>
      <w:r>
        <w:rPr>
          <w:rFonts w:ascii="宋体" w:hAnsi="宋体"/>
          <w:szCs w:val="21"/>
        </w:rPr>
        <w:t>　　港、澳、台商独资经营企业是指依照《中华人民共和国外资企业法》及有关法律的规定，在内地由港澳台地区投资者全额投资设立的企业。</w:t>
      </w:r>
    </w:p>
    <w:p>
      <w:pPr>
        <w:snapToGrid w:val="0"/>
        <w:spacing w:line="400" w:lineRule="exact"/>
        <w:rPr>
          <w:rFonts w:ascii="宋体" w:hAnsi="宋体"/>
          <w:szCs w:val="21"/>
        </w:rPr>
      </w:pPr>
      <w:r>
        <w:rPr>
          <w:rFonts w:ascii="宋体" w:hAnsi="宋体"/>
          <w:szCs w:val="21"/>
        </w:rPr>
        <w:t>　　港、澳、台商投资股份有限公司是指根据国家有关规定，经</w:t>
      </w:r>
      <w:r>
        <w:rPr>
          <w:rFonts w:hint="eastAsia" w:ascii="宋体" w:hAnsi="宋体"/>
          <w:szCs w:val="21"/>
        </w:rPr>
        <w:t>原</w:t>
      </w:r>
      <w:r>
        <w:rPr>
          <w:rFonts w:ascii="宋体" w:hAnsi="宋体"/>
          <w:szCs w:val="21"/>
        </w:rPr>
        <w:t>外经贸部依法批准设立，其中港、澳、台商的股本占公司注册资本的比例达25%以上的股份有限公司。凡其中港、澳、台商的股本占公司注册资本的比例小于25%的，属于内资企业中的股份有限公司。</w:t>
      </w:r>
    </w:p>
    <w:p>
      <w:pPr>
        <w:snapToGrid w:val="0"/>
        <w:spacing w:line="400" w:lineRule="exact"/>
        <w:rPr>
          <w:rFonts w:ascii="宋体" w:hAnsi="宋体"/>
          <w:szCs w:val="21"/>
        </w:rPr>
      </w:pPr>
      <w:r>
        <w:rPr>
          <w:rFonts w:ascii="宋体" w:hAnsi="宋体"/>
          <w:szCs w:val="21"/>
        </w:rPr>
        <w:t>　　其他港、澳、台商投资企业是指在中国境内参照《外国企业或个人在中国境内设立合伙企业管理办法》和《外商投资合伙企业登记管理规定》，依法设立的港、澳、台商投资合伙企业等。</w:t>
      </w:r>
    </w:p>
    <w:p>
      <w:pPr>
        <w:snapToGrid w:val="0"/>
        <w:spacing w:line="400" w:lineRule="exact"/>
        <w:rPr>
          <w:rFonts w:ascii="宋体" w:hAnsi="宋体"/>
          <w:szCs w:val="21"/>
        </w:rPr>
      </w:pPr>
      <w:r>
        <w:rPr>
          <w:rFonts w:ascii="宋体" w:hAnsi="宋体"/>
          <w:szCs w:val="21"/>
        </w:rPr>
        <w:t xml:space="preserve">    中外合资经营企业是指外国企业或外国人与中国内地企业依照《中华人民共和国中外合资经营企业法》及有关法律的规定，按合同规定的比例投资设立、分享利润和分担风险的企业。</w:t>
      </w:r>
    </w:p>
    <w:p>
      <w:pPr>
        <w:snapToGrid w:val="0"/>
        <w:spacing w:line="400" w:lineRule="exact"/>
        <w:rPr>
          <w:rFonts w:ascii="宋体" w:hAnsi="宋体"/>
          <w:szCs w:val="21"/>
        </w:rPr>
      </w:pPr>
      <w:r>
        <w:rPr>
          <w:rFonts w:ascii="宋体" w:hAnsi="宋体"/>
          <w:szCs w:val="21"/>
        </w:rPr>
        <w:t>　　中外合作经营企业是指外国企业或外国人与中国内地企业依照《中华人民共和国中外合作经营企业法》及有关法律的规定，依照合作合同的约定进行投资或提供条件设立、分配利润和分担风险的企业。</w:t>
      </w:r>
    </w:p>
    <w:p>
      <w:pPr>
        <w:snapToGrid w:val="0"/>
        <w:spacing w:line="400" w:lineRule="exact"/>
        <w:rPr>
          <w:rFonts w:ascii="宋体" w:hAnsi="宋体"/>
          <w:szCs w:val="21"/>
        </w:rPr>
      </w:pPr>
      <w:r>
        <w:rPr>
          <w:rFonts w:ascii="宋体" w:hAnsi="宋体"/>
          <w:szCs w:val="21"/>
        </w:rPr>
        <w:t>　　外资企业是指依照《中华人民共和国外资企业法》及有关法律的规定，在中国内地由外国投资者全额投资设立的企业。</w:t>
      </w:r>
    </w:p>
    <w:p>
      <w:pPr>
        <w:snapToGrid w:val="0"/>
        <w:spacing w:line="400" w:lineRule="exact"/>
        <w:rPr>
          <w:rFonts w:ascii="宋体" w:hAnsi="宋体"/>
          <w:kern w:val="0"/>
          <w:szCs w:val="21"/>
        </w:rPr>
      </w:pPr>
      <w:r>
        <w:rPr>
          <w:rFonts w:ascii="宋体" w:hAnsi="宋体"/>
          <w:szCs w:val="21"/>
        </w:rPr>
        <w:t>　　外商投资股份有限公司是指根据国家有关规定，经</w:t>
      </w:r>
      <w:r>
        <w:rPr>
          <w:rFonts w:hint="eastAsia" w:ascii="宋体" w:hAnsi="宋体"/>
          <w:szCs w:val="21"/>
        </w:rPr>
        <w:t>原</w:t>
      </w:r>
      <w:r>
        <w:rPr>
          <w:rFonts w:ascii="宋体" w:hAnsi="宋体"/>
          <w:szCs w:val="21"/>
        </w:rPr>
        <w:t>外经贸部依法批准设立，其中外资的股本占公司注册资本的比例达25% 以上的股份有限公司。凡其中外资股本占公司注册资本的比例小于25%的，属于内资企业中的股份有限公司。</w:t>
      </w:r>
    </w:p>
    <w:p>
      <w:pPr>
        <w:snapToGrid w:val="0"/>
        <w:spacing w:line="400" w:lineRule="exact"/>
        <w:rPr>
          <w:rFonts w:ascii="宋体" w:hAnsi="宋体"/>
          <w:szCs w:val="21"/>
        </w:rPr>
      </w:pPr>
      <w:r>
        <w:rPr>
          <w:rFonts w:ascii="宋体" w:hAnsi="宋体"/>
          <w:kern w:val="0"/>
          <w:szCs w:val="21"/>
        </w:rPr>
        <w:t>　　其他外商投资企业是指在中国境内依照《外国企业或个人在中国境内设立合伙企业管理办法》和《外商投资合伙企业登记管理规定》，依法设立的外商投资合伙企业等。</w:t>
      </w:r>
    </w:p>
    <w:p>
      <w:pPr>
        <w:snapToGrid w:val="0"/>
        <w:spacing w:line="400" w:lineRule="exact"/>
        <w:ind w:firstLine="420" w:firstLineChars="200"/>
        <w:rPr>
          <w:rFonts w:ascii="宋体" w:hAnsi="宋体"/>
          <w:szCs w:val="21"/>
        </w:rPr>
      </w:pPr>
      <w:r>
        <w:rPr>
          <w:rFonts w:hint="eastAsia" w:ascii="黑体" w:hAnsi="宋体" w:eastAsia="黑体"/>
          <w:szCs w:val="21"/>
        </w:rPr>
        <w:t xml:space="preserve">企业控股情况  </w:t>
      </w:r>
      <w:r>
        <w:rPr>
          <w:rFonts w:ascii="宋体" w:hAnsi="宋体"/>
          <w:szCs w:val="21"/>
        </w:rPr>
        <w:t>指根据企业实收资本中某类经济成分的出资人的实际投资情况，或出资人对企业资产的实际控制、支配程度进行分类。具体分为国有控股、集体控股、私人控股、港澳台</w:t>
      </w:r>
      <w:r>
        <w:rPr>
          <w:rFonts w:hint="eastAsia" w:ascii="宋体" w:hAnsi="宋体"/>
          <w:szCs w:val="21"/>
        </w:rPr>
        <w:t>商</w:t>
      </w:r>
      <w:r>
        <w:rPr>
          <w:rFonts w:ascii="宋体" w:hAnsi="宋体"/>
          <w:szCs w:val="21"/>
        </w:rPr>
        <w:t>控股、外商控股和其他六类。该指标限企业填报。</w:t>
      </w:r>
    </w:p>
    <w:p>
      <w:pPr>
        <w:snapToGrid w:val="0"/>
        <w:spacing w:line="400" w:lineRule="exact"/>
        <w:ind w:firstLine="420" w:firstLineChars="200"/>
        <w:rPr>
          <w:rFonts w:ascii="宋体" w:hAnsi="宋体"/>
          <w:szCs w:val="21"/>
        </w:rPr>
      </w:pPr>
      <w:r>
        <w:rPr>
          <w:rFonts w:ascii="宋体" w:hAnsi="宋体"/>
          <w:szCs w:val="21"/>
        </w:rPr>
        <w:t>国有控股：是指在企业的全部实收资本中，国有经济成分的出资人拥有的实收资本（股本）所占企业全部实收资本（股本）的比例大于50%的国有绝对控股。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投资双方各占50%，且未明确由谁绝对控股的企业，若其中一方为国有经济成分的，一律按国有控股处理。</w:t>
      </w:r>
    </w:p>
    <w:p>
      <w:pPr>
        <w:snapToGrid w:val="0"/>
        <w:spacing w:line="400" w:lineRule="exact"/>
        <w:ind w:firstLine="420" w:firstLineChars="200"/>
        <w:rPr>
          <w:rFonts w:ascii="宋体" w:hAnsi="宋体"/>
          <w:szCs w:val="21"/>
        </w:rPr>
      </w:pPr>
      <w:r>
        <w:rPr>
          <w:rFonts w:ascii="宋体" w:hAnsi="宋体"/>
          <w:szCs w:val="21"/>
        </w:rPr>
        <w:t>集体控股：是指在企业的全部实收资本中，集体经济成分的出资人拥有的实收资本（股本）所占企业全部实收资本（股本）的比例大于50%的集体绝对控股。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pPr>
        <w:snapToGrid w:val="0"/>
        <w:spacing w:line="400" w:lineRule="exact"/>
        <w:ind w:firstLine="420" w:firstLineChars="200"/>
        <w:rPr>
          <w:rFonts w:ascii="宋体" w:hAnsi="宋体"/>
          <w:szCs w:val="21"/>
        </w:rPr>
      </w:pPr>
      <w:r>
        <w:rPr>
          <w:rFonts w:ascii="宋体" w:hAnsi="宋体"/>
          <w:szCs w:val="21"/>
        </w:rPr>
        <w:t>私人控股：是指在企业的全部实收资本中，私人经济成分的出资人拥有的实收资本（股本）所占企业全部实收资本（股本）的比例大于50%的私人绝对控股。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pPr>
        <w:snapToGrid w:val="0"/>
        <w:spacing w:line="400" w:lineRule="exact"/>
        <w:ind w:firstLine="420" w:firstLineChars="200"/>
        <w:rPr>
          <w:rFonts w:ascii="宋体" w:hAnsi="宋体"/>
          <w:szCs w:val="21"/>
        </w:rPr>
      </w:pPr>
      <w:r>
        <w:rPr>
          <w:rFonts w:ascii="宋体" w:hAnsi="宋体"/>
          <w:szCs w:val="21"/>
        </w:rPr>
        <w:t>港澳台商控股：是指在企业的全部实收资本中，港澳台商经济成分的出资人拥有的实收资本（股本）所占企业全部实收资本（股本）的比例大于50%的港澳台商绝对控股。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pPr>
        <w:snapToGrid w:val="0"/>
        <w:spacing w:line="400" w:lineRule="exact"/>
        <w:ind w:firstLine="420" w:firstLineChars="200"/>
        <w:rPr>
          <w:rFonts w:ascii="宋体" w:hAnsi="宋体"/>
          <w:szCs w:val="21"/>
        </w:rPr>
      </w:pPr>
      <w:r>
        <w:rPr>
          <w:rFonts w:ascii="宋体" w:hAnsi="宋体"/>
          <w:szCs w:val="21"/>
        </w:rPr>
        <w:t>外商控股：是指在企业的全部实收资本中，外商经济成分的出资人拥有的实收资本（股本）所占企业全部实收资本（股本）的比例大于50%的外商绝对控股。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pPr>
        <w:snapToGrid w:val="0"/>
        <w:spacing w:line="400" w:lineRule="exact"/>
        <w:ind w:firstLine="411" w:firstLineChars="196"/>
        <w:rPr>
          <w:rFonts w:ascii="宋体" w:hAnsi="宋体"/>
          <w:szCs w:val="21"/>
        </w:rPr>
      </w:pPr>
      <w:r>
        <w:rPr>
          <w:rFonts w:ascii="宋体" w:hAnsi="宋体"/>
          <w:szCs w:val="21"/>
        </w:rPr>
        <w:t>其他：是指除国有控股、集体控股、私人控股、港澳台商控股、外商控股以外的控股方式。</w:t>
      </w:r>
    </w:p>
    <w:p>
      <w:pPr>
        <w:snapToGrid w:val="0"/>
        <w:spacing w:line="400" w:lineRule="exact"/>
        <w:ind w:firstLine="420" w:firstLineChars="200"/>
        <w:rPr>
          <w:rFonts w:ascii="宋体" w:hAnsi="宋体"/>
          <w:szCs w:val="21"/>
        </w:rPr>
      </w:pPr>
      <w:r>
        <w:rPr>
          <w:rFonts w:hint="eastAsia" w:ascii="黑体" w:hAnsi="宋体" w:eastAsia="黑体"/>
          <w:szCs w:val="21"/>
        </w:rPr>
        <w:t xml:space="preserve">服务类别  </w:t>
      </w:r>
      <w:r>
        <w:rPr>
          <w:rFonts w:ascii="宋体" w:hAnsi="宋体"/>
          <w:szCs w:val="21"/>
        </w:rPr>
        <w:t>指填报单位从事</w:t>
      </w:r>
      <w:r>
        <w:rPr>
          <w:rFonts w:hint="eastAsia" w:ascii="宋体" w:hAnsi="宋体"/>
          <w:szCs w:val="21"/>
        </w:rPr>
        <w:t>环境</w:t>
      </w:r>
      <w:r>
        <w:rPr>
          <w:rFonts w:ascii="宋体" w:hAnsi="宋体"/>
          <w:szCs w:val="21"/>
        </w:rPr>
        <w:t>服务</w:t>
      </w:r>
      <w:r>
        <w:rPr>
          <w:rFonts w:hint="eastAsia" w:ascii="宋体" w:hAnsi="宋体"/>
          <w:szCs w:val="21"/>
        </w:rPr>
        <w:t>业务活动的类别</w:t>
      </w:r>
      <w:r>
        <w:rPr>
          <w:rFonts w:ascii="宋体" w:hAnsi="宋体"/>
          <w:szCs w:val="21"/>
        </w:rPr>
        <w:t>。</w:t>
      </w:r>
      <w:r>
        <w:rPr>
          <w:rFonts w:hint="eastAsia" w:ascii="宋体" w:hAnsi="宋体"/>
          <w:szCs w:val="21"/>
        </w:rPr>
        <w:t>可多选，包括“1环境与生态监测检测”“2生态保护”“3环境治理”</w:t>
      </w:r>
      <w:r>
        <w:rPr>
          <w:rFonts w:ascii="宋体" w:hAnsi="宋体"/>
          <w:szCs w:val="21"/>
        </w:rPr>
        <w:t>。</w:t>
      </w:r>
      <w:r>
        <w:rPr>
          <w:rFonts w:hint="eastAsia" w:ascii="宋体" w:hAnsi="宋体"/>
          <w:szCs w:val="21"/>
        </w:rPr>
        <w:t>服务类别的具体注释详见附录（二）主营业务行业代码的说明。</w:t>
      </w:r>
    </w:p>
    <w:p>
      <w:pPr>
        <w:snapToGrid w:val="0"/>
        <w:spacing w:line="400" w:lineRule="exact"/>
        <w:ind w:firstLine="420" w:firstLineChars="200"/>
        <w:rPr>
          <w:rFonts w:ascii="宋体" w:hAnsi="宋体"/>
          <w:szCs w:val="21"/>
        </w:rPr>
      </w:pPr>
    </w:p>
    <w:p>
      <w:pPr>
        <w:snapToGrid w:val="0"/>
        <w:spacing w:line="400" w:lineRule="exact"/>
        <w:ind w:firstLine="3935" w:firstLineChars="1400"/>
        <w:rPr>
          <w:rFonts w:ascii="宋体" w:hAnsi="宋体"/>
          <w:b/>
          <w:sz w:val="28"/>
          <w:szCs w:val="28"/>
        </w:rPr>
      </w:pPr>
    </w:p>
    <w:p>
      <w:pPr>
        <w:snapToGrid w:val="0"/>
        <w:spacing w:line="400" w:lineRule="exact"/>
        <w:ind w:firstLine="3935" w:firstLineChars="1400"/>
        <w:rPr>
          <w:rFonts w:ascii="宋体" w:hAnsi="宋体"/>
          <w:b/>
          <w:sz w:val="28"/>
          <w:szCs w:val="28"/>
        </w:rPr>
      </w:pPr>
      <w:r>
        <w:rPr>
          <w:rFonts w:ascii="宋体" w:hAnsi="宋体"/>
          <w:b/>
          <w:sz w:val="28"/>
          <w:szCs w:val="28"/>
        </w:rPr>
        <w:t>企业财务状况</w:t>
      </w:r>
    </w:p>
    <w:p>
      <w:pPr>
        <w:pStyle w:val="7"/>
        <w:snapToGrid w:val="0"/>
        <w:spacing w:after="0" w:line="400" w:lineRule="exact"/>
        <w:ind w:firstLine="420" w:firstLineChars="200"/>
        <w:outlineLvl w:val="0"/>
        <w:rPr>
          <w:rFonts w:ascii="宋体" w:hAnsi="宋体"/>
          <w:szCs w:val="21"/>
        </w:rPr>
      </w:pPr>
      <w:r>
        <w:rPr>
          <w:rFonts w:hint="eastAsia" w:ascii="黑体" w:hAnsi="宋体" w:eastAsia="黑体"/>
          <w:szCs w:val="21"/>
        </w:rPr>
        <w:t xml:space="preserve">存货  </w:t>
      </w:r>
      <w:r>
        <w:rPr>
          <w:rFonts w:hint="eastAsia" w:ascii="宋体" w:hAnsi="宋体"/>
          <w:szCs w:val="21"/>
        </w:rPr>
        <w:t>指企业在日常活动中持有以备出售的产成品或商品、处在生产过程中的在产品、在生产过程或提供劳务过程中耗用的材料或物料等，通常包括原材料、在产品、半成品、产成品、商品以及周转材料等。根据会计“资产负债表”中“存货”项目的期末余额数填报。其中：“年初存货”根据会计“资产负债表”中“存货”项目的年初余额数填报。注意：“存货”具有实物形态，不属于无形资产，由于企业持有存货的最终目的是为了出售，所以房地产开发企业（单位）购置的土地、尚未销售的商品房等均计入“存货”。</w:t>
      </w:r>
    </w:p>
    <w:p>
      <w:pPr>
        <w:snapToGrid w:val="0"/>
        <w:spacing w:line="400" w:lineRule="exact"/>
        <w:ind w:firstLine="399" w:firstLineChars="190"/>
        <w:rPr>
          <w:rFonts w:ascii="宋体" w:hAnsi="宋体"/>
          <w:szCs w:val="21"/>
        </w:rPr>
      </w:pPr>
      <w:r>
        <w:rPr>
          <w:rFonts w:hint="eastAsia" w:ascii="黑体" w:hAnsi="宋体" w:eastAsia="黑体"/>
          <w:szCs w:val="21"/>
        </w:rPr>
        <w:t xml:space="preserve">固定资产原价  </w:t>
      </w:r>
      <w:r>
        <w:rPr>
          <w:rFonts w:ascii="宋体" w:hAnsi="宋体"/>
          <w:szCs w:val="21"/>
        </w:rPr>
        <w:t>指固定资产的成本，包括</w:t>
      </w:r>
      <w:r>
        <w:rPr>
          <w:rFonts w:hint="eastAsia" w:ascii="宋体" w:hAnsi="宋体"/>
          <w:szCs w:val="21"/>
        </w:rPr>
        <w:t>企业在购置、自行</w:t>
      </w:r>
      <w:r>
        <w:rPr>
          <w:rFonts w:ascii="宋体" w:hAnsi="宋体"/>
          <w:szCs w:val="21"/>
        </w:rPr>
        <w:t>建造、安装、改建、扩建、技术改造某项固定资产时所</w:t>
      </w:r>
      <w:r>
        <w:rPr>
          <w:rFonts w:hint="eastAsia" w:ascii="宋体" w:hAnsi="宋体"/>
          <w:szCs w:val="21"/>
        </w:rPr>
        <w:t>发生的全部</w:t>
      </w:r>
      <w:r>
        <w:rPr>
          <w:rFonts w:ascii="宋体" w:hAnsi="宋体"/>
          <w:szCs w:val="21"/>
        </w:rPr>
        <w:t>支出总额。根据会计“固定资产”</w:t>
      </w:r>
      <w:r>
        <w:rPr>
          <w:rFonts w:hint="eastAsia" w:ascii="宋体" w:hAnsi="宋体"/>
          <w:szCs w:val="21"/>
        </w:rPr>
        <w:t>科目</w:t>
      </w:r>
      <w:r>
        <w:rPr>
          <w:rFonts w:ascii="宋体" w:hAnsi="宋体"/>
          <w:szCs w:val="21"/>
        </w:rPr>
        <w:t>的期末</w:t>
      </w:r>
      <w:r>
        <w:rPr>
          <w:rFonts w:hint="eastAsia" w:ascii="宋体" w:hAnsi="宋体"/>
          <w:szCs w:val="21"/>
        </w:rPr>
        <w:t>借方余额</w:t>
      </w:r>
      <w:r>
        <w:rPr>
          <w:rFonts w:ascii="宋体" w:hAnsi="宋体"/>
          <w:szCs w:val="21"/>
        </w:rPr>
        <w:t>填</w:t>
      </w:r>
      <w:r>
        <w:rPr>
          <w:rFonts w:hint="eastAsia" w:ascii="宋体" w:hAnsi="宋体"/>
          <w:szCs w:val="21"/>
        </w:rPr>
        <w:t>报</w:t>
      </w:r>
      <w:r>
        <w:rPr>
          <w:rFonts w:ascii="宋体" w:hAnsi="宋体"/>
          <w:szCs w:val="21"/>
        </w:rPr>
        <w:t>。</w:t>
      </w:r>
    </w:p>
    <w:p>
      <w:pPr>
        <w:snapToGrid w:val="0"/>
        <w:spacing w:line="400" w:lineRule="exact"/>
        <w:ind w:firstLine="399" w:firstLineChars="190"/>
        <w:rPr>
          <w:rFonts w:ascii="宋体" w:hAnsi="宋体"/>
          <w:szCs w:val="21"/>
        </w:rPr>
      </w:pPr>
      <w:r>
        <w:rPr>
          <w:rFonts w:hint="eastAsia" w:ascii="黑体" w:hAnsi="宋体" w:eastAsia="黑体"/>
          <w:szCs w:val="21"/>
        </w:rPr>
        <w:t xml:space="preserve">累计折旧  </w:t>
      </w:r>
      <w:r>
        <w:rPr>
          <w:rFonts w:hint="eastAsia" w:ascii="宋体" w:hAnsi="宋体"/>
          <w:szCs w:val="21"/>
        </w:rPr>
        <w:t>指企业在报告期末提取的历年固定资产折旧累计数。根据会计“累计折旧”科目的期末贷方余额填报。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本年折旧  </w:t>
      </w:r>
      <w:r>
        <w:rPr>
          <w:rFonts w:ascii="宋体" w:hAnsi="宋体"/>
          <w:szCs w:val="21"/>
        </w:rPr>
        <w:t>指</w:t>
      </w:r>
      <w:r>
        <w:rPr>
          <w:rFonts w:hint="eastAsia" w:ascii="宋体" w:hAnsi="宋体"/>
          <w:szCs w:val="21"/>
        </w:rPr>
        <w:t>企业</w:t>
      </w:r>
      <w:r>
        <w:rPr>
          <w:rFonts w:ascii="宋体" w:hAnsi="宋体"/>
          <w:szCs w:val="21"/>
        </w:rPr>
        <w:t>在</w:t>
      </w:r>
      <w:r>
        <w:rPr>
          <w:rFonts w:hint="eastAsia" w:ascii="宋体" w:hAnsi="宋体"/>
          <w:szCs w:val="21"/>
        </w:rPr>
        <w:t>报告期</w:t>
      </w:r>
      <w:r>
        <w:rPr>
          <w:rFonts w:ascii="宋体" w:hAnsi="宋体"/>
          <w:szCs w:val="21"/>
        </w:rPr>
        <w:t>内提取的固定资产折旧合计数。</w:t>
      </w:r>
      <w:r>
        <w:rPr>
          <w:rFonts w:hint="eastAsia" w:ascii="宋体" w:hAnsi="宋体"/>
          <w:szCs w:val="21"/>
        </w:rPr>
        <w:t>可以</w:t>
      </w:r>
      <w:r>
        <w:rPr>
          <w:rFonts w:ascii="宋体" w:hAnsi="宋体"/>
          <w:szCs w:val="21"/>
        </w:rPr>
        <w:t>根据会计“财务状况变动表”中“固定资产折旧”项的数值填</w:t>
      </w:r>
      <w:r>
        <w:rPr>
          <w:rFonts w:hint="eastAsia" w:ascii="宋体" w:hAnsi="宋体"/>
          <w:szCs w:val="21"/>
        </w:rPr>
        <w:t>报</w:t>
      </w:r>
      <w:r>
        <w:rPr>
          <w:rFonts w:ascii="宋体" w:hAnsi="宋体"/>
          <w:szCs w:val="21"/>
        </w:rPr>
        <w:t>。若企业执行2001年《企业会计制度》，</w:t>
      </w:r>
      <w:r>
        <w:rPr>
          <w:rFonts w:hint="eastAsia" w:ascii="宋体" w:hAnsi="宋体"/>
          <w:szCs w:val="21"/>
        </w:rPr>
        <w:t>可以</w:t>
      </w:r>
      <w:r>
        <w:rPr>
          <w:rFonts w:ascii="宋体" w:hAnsi="宋体"/>
          <w:szCs w:val="21"/>
        </w:rPr>
        <w:t>根据会计核算中《资产减值准备、投资及固定资产情况表》内“当年计提的固定资产折旧总额”项本</w:t>
      </w:r>
      <w:r>
        <w:rPr>
          <w:rFonts w:hint="eastAsia" w:ascii="宋体" w:hAnsi="宋体"/>
          <w:szCs w:val="21"/>
        </w:rPr>
        <w:t>年</w:t>
      </w:r>
      <w:r>
        <w:rPr>
          <w:rFonts w:ascii="宋体" w:hAnsi="宋体"/>
          <w:szCs w:val="21"/>
        </w:rPr>
        <w:t>增加数填</w:t>
      </w:r>
      <w:r>
        <w:rPr>
          <w:rFonts w:hint="eastAsia" w:ascii="宋体" w:hAnsi="宋体"/>
          <w:szCs w:val="21"/>
        </w:rPr>
        <w:t>报</w:t>
      </w:r>
      <w:r>
        <w:rPr>
          <w:rFonts w:ascii="宋体" w:hAnsi="宋体"/>
          <w:szCs w:val="21"/>
        </w:rPr>
        <w:t>。</w:t>
      </w:r>
    </w:p>
    <w:p>
      <w:pPr>
        <w:snapToGrid w:val="0"/>
        <w:spacing w:line="400" w:lineRule="exact"/>
        <w:ind w:firstLine="399" w:firstLineChars="190"/>
        <w:rPr>
          <w:rFonts w:ascii="宋体" w:hAnsi="宋体"/>
          <w:szCs w:val="21"/>
        </w:rPr>
      </w:pPr>
      <w:r>
        <w:rPr>
          <w:rFonts w:hint="eastAsia" w:ascii="黑体" w:hAnsi="宋体" w:eastAsia="黑体"/>
          <w:szCs w:val="21"/>
        </w:rPr>
        <w:t xml:space="preserve">资产总计  </w:t>
      </w:r>
      <w:r>
        <w:rPr>
          <w:rFonts w:hint="eastAsia" w:ascii="宋体" w:hAnsi="宋体"/>
          <w:szCs w:val="21"/>
        </w:rPr>
        <w:t>指企业过去的交易或者事项形成的、由企业拥有或者控制的、预期会给企业带来经济利益的资源。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r>
        <w:rPr>
          <w:rFonts w:hint="eastAsia"/>
          <w:szCs w:val="21"/>
        </w:rPr>
        <w:t>包括企业拥有的土地、办公楼、厂房、机器、运输工具、存货等实物资产和现金、存款、应收账款和预付账款等金融资产。</w:t>
      </w:r>
    </w:p>
    <w:p>
      <w:pPr>
        <w:snapToGrid w:val="0"/>
        <w:spacing w:line="400" w:lineRule="exact"/>
        <w:ind w:firstLine="399" w:firstLineChars="190"/>
        <w:rPr>
          <w:rFonts w:ascii="宋体" w:hAnsi="宋体"/>
          <w:szCs w:val="21"/>
        </w:rPr>
      </w:pPr>
      <w:r>
        <w:rPr>
          <w:rFonts w:hint="eastAsia" w:ascii="黑体" w:hAnsi="宋体" w:eastAsia="黑体"/>
          <w:szCs w:val="21"/>
        </w:rPr>
        <w:t xml:space="preserve">负债合计  </w:t>
      </w:r>
      <w:r>
        <w:rPr>
          <w:rFonts w:hint="eastAsia" w:ascii="宋体" w:hAnsi="宋体"/>
          <w:szCs w:val="21"/>
        </w:rPr>
        <w:t>指企业过去的交易或者事项形成的，预期会导致经济利益流出企业的现时义务。负债一般按偿还期长短分为流动负债和非流动负债。根据会计资产负债表中“负债合计”项目的期末余额数填报。</w:t>
      </w:r>
      <w:r>
        <w:rPr>
          <w:rFonts w:hint="eastAsia"/>
          <w:szCs w:val="21"/>
        </w:rPr>
        <w:t>包括银行贷款、借款、应付账款、应付职工工资、应付职工福利费、应交税金等企业负有偿还责任的债务。</w:t>
      </w:r>
    </w:p>
    <w:p>
      <w:pPr>
        <w:snapToGrid w:val="0"/>
        <w:spacing w:line="400" w:lineRule="exact"/>
        <w:ind w:firstLine="399" w:firstLineChars="190"/>
        <w:rPr>
          <w:rFonts w:ascii="宋体" w:hAnsi="宋体"/>
          <w:szCs w:val="21"/>
        </w:rPr>
      </w:pPr>
      <w:r>
        <w:rPr>
          <w:rFonts w:hint="eastAsia" w:ascii="宋体" w:hAnsi="宋体"/>
          <w:szCs w:val="21"/>
        </w:rPr>
        <w:t>执行《企业会计准则》或《小企业会计准则》的企业：负债合计=流动负债合计+非流动负债合计；执行其他企业会计制度的企业负债包括流动负债和长期负债。</w:t>
      </w:r>
    </w:p>
    <w:p>
      <w:pPr>
        <w:snapToGrid w:val="0"/>
        <w:spacing w:line="400" w:lineRule="exact"/>
        <w:ind w:firstLine="399" w:firstLineChars="190"/>
        <w:rPr>
          <w:rFonts w:ascii="宋体" w:hAnsi="宋体"/>
          <w:szCs w:val="21"/>
        </w:rPr>
      </w:pPr>
      <w:r>
        <w:rPr>
          <w:rFonts w:hint="eastAsia" w:ascii="黑体" w:hAnsi="宋体" w:eastAsia="黑体"/>
          <w:szCs w:val="21"/>
        </w:rPr>
        <w:t xml:space="preserve">营业收入  </w:t>
      </w:r>
      <w:r>
        <w:rPr>
          <w:rFonts w:hint="eastAsia" w:ascii="宋体" w:hAnsi="宋体"/>
          <w:szCs w:val="21"/>
        </w:rPr>
        <w:t>指企业经营主要业务和其他业务所确认的收入总额。营业收入包括“主营业务收入”和“其他业务收入”。根据会计“利润表”中“营业收入”项目的本年累计数填报。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营业成本  </w:t>
      </w:r>
      <w:r>
        <w:rPr>
          <w:rFonts w:ascii="宋体" w:hAnsi="宋体"/>
          <w:szCs w:val="21"/>
        </w:rPr>
        <w:t>指企业经营主要业务和其他业务所发生的成本总额。包括企业（单位）在报告期内从事销售商品、提供劳务等日常活动发生的各种耗费。包括“主营业务成本”和“其他业务成本”。根据会计“利润表”中“营业成本”项目的本</w:t>
      </w:r>
      <w:r>
        <w:rPr>
          <w:rFonts w:hint="eastAsia" w:ascii="宋体" w:hAnsi="宋体"/>
          <w:szCs w:val="21"/>
        </w:rPr>
        <w:t>年累计</w:t>
      </w:r>
      <w:r>
        <w:rPr>
          <w:rFonts w:ascii="宋体" w:hAnsi="宋体"/>
          <w:szCs w:val="21"/>
        </w:rPr>
        <w:t>数填报。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税金及附加  </w:t>
      </w:r>
      <w:r>
        <w:rPr>
          <w:rFonts w:ascii="宋体" w:hAnsi="宋体"/>
          <w:szCs w:val="21"/>
        </w:rPr>
        <w:t>指企业因从事生产经营活动按税法规定缴纳的消费税、城市维护建设税、</w:t>
      </w:r>
      <w:r>
        <w:rPr>
          <w:rFonts w:hint="eastAsia" w:ascii="宋体" w:hAnsi="宋体"/>
          <w:szCs w:val="21"/>
        </w:rPr>
        <w:t>资源税、</w:t>
      </w:r>
      <w:r>
        <w:rPr>
          <w:rFonts w:ascii="宋体" w:hAnsi="宋体"/>
          <w:szCs w:val="21"/>
        </w:rPr>
        <w:t>教育</w:t>
      </w:r>
      <w:r>
        <w:rPr>
          <w:rFonts w:hint="eastAsia" w:ascii="宋体" w:hAnsi="宋体"/>
          <w:szCs w:val="21"/>
        </w:rPr>
        <w:t>费</w:t>
      </w:r>
      <w:r>
        <w:rPr>
          <w:rFonts w:ascii="宋体" w:hAnsi="宋体"/>
          <w:szCs w:val="21"/>
        </w:rPr>
        <w:t>附加</w:t>
      </w:r>
      <w:r>
        <w:rPr>
          <w:rFonts w:hint="eastAsia" w:ascii="宋体" w:hAnsi="宋体"/>
          <w:szCs w:val="21"/>
        </w:rPr>
        <w:t>及房产税、土地使用税、车船使用税、印花税</w:t>
      </w:r>
      <w:r>
        <w:rPr>
          <w:rFonts w:ascii="宋体" w:hAnsi="宋体"/>
          <w:szCs w:val="21"/>
        </w:rPr>
        <w:t>等</w:t>
      </w:r>
      <w:r>
        <w:rPr>
          <w:rFonts w:hint="eastAsia" w:ascii="宋体" w:hAnsi="宋体"/>
          <w:szCs w:val="21"/>
        </w:rPr>
        <w:t>相关税费</w:t>
      </w:r>
      <w:r>
        <w:rPr>
          <w:rFonts w:ascii="宋体" w:hAnsi="宋体"/>
          <w:szCs w:val="21"/>
        </w:rPr>
        <w:t>。根据会计“利润表”中“税金及附加”项目的本</w:t>
      </w:r>
      <w:r>
        <w:rPr>
          <w:rFonts w:hint="eastAsia" w:ascii="宋体" w:hAnsi="宋体"/>
          <w:szCs w:val="21"/>
        </w:rPr>
        <w:t>年累计</w:t>
      </w:r>
      <w:r>
        <w:rPr>
          <w:rFonts w:ascii="宋体" w:hAnsi="宋体"/>
          <w:szCs w:val="21"/>
        </w:rPr>
        <w:t>数填报。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销售费用  </w:t>
      </w:r>
      <w:r>
        <w:rPr>
          <w:rFonts w:ascii="宋体" w:hAnsi="宋体"/>
          <w:szCs w:val="21"/>
        </w:rPr>
        <w:t>指企业在销售商品</w:t>
      </w:r>
      <w:r>
        <w:rPr>
          <w:rFonts w:hint="eastAsia" w:ascii="宋体" w:hAnsi="宋体"/>
          <w:szCs w:val="21"/>
        </w:rPr>
        <w:t>和材料、提供劳务</w:t>
      </w:r>
      <w:r>
        <w:rPr>
          <w:rFonts w:ascii="宋体" w:hAnsi="宋体"/>
          <w:szCs w:val="21"/>
        </w:rPr>
        <w:t>的过程中发生的</w:t>
      </w:r>
      <w:r>
        <w:rPr>
          <w:rFonts w:hint="eastAsia" w:ascii="宋体" w:hAnsi="宋体"/>
          <w:szCs w:val="21"/>
        </w:rPr>
        <w:t>各种费用，包括保险费、</w:t>
      </w:r>
      <w:r>
        <w:rPr>
          <w:rFonts w:ascii="宋体" w:hAnsi="宋体"/>
          <w:szCs w:val="21"/>
        </w:rPr>
        <w:t>包装费、</w:t>
      </w:r>
      <w:r>
        <w:rPr>
          <w:rFonts w:hint="eastAsia" w:ascii="宋体" w:hAnsi="宋体"/>
          <w:szCs w:val="21"/>
        </w:rPr>
        <w:t>展览费和</w:t>
      </w:r>
      <w:r>
        <w:rPr>
          <w:rFonts w:ascii="宋体" w:hAnsi="宋体"/>
          <w:szCs w:val="21"/>
        </w:rPr>
        <w:t>广告费</w:t>
      </w:r>
      <w:r>
        <w:rPr>
          <w:rFonts w:hint="eastAsia" w:ascii="宋体" w:hAnsi="宋体"/>
          <w:szCs w:val="21"/>
        </w:rPr>
        <w:t>、商品维修费、预计产品质量保证损失、运输费、装卸费</w:t>
      </w:r>
      <w:r>
        <w:rPr>
          <w:rFonts w:ascii="宋体" w:hAnsi="宋体"/>
          <w:szCs w:val="21"/>
        </w:rPr>
        <w:t>等</w:t>
      </w:r>
      <w:r>
        <w:rPr>
          <w:rFonts w:hint="eastAsia" w:ascii="宋体" w:hAnsi="宋体"/>
          <w:szCs w:val="21"/>
        </w:rPr>
        <w:t>以及</w:t>
      </w:r>
      <w:r>
        <w:rPr>
          <w:rFonts w:ascii="宋体" w:hAnsi="宋体"/>
          <w:szCs w:val="21"/>
        </w:rPr>
        <w:t>为销售本企业商品而专设的销售机构</w:t>
      </w:r>
      <w:r>
        <w:rPr>
          <w:rFonts w:hint="eastAsia" w:ascii="宋体" w:hAnsi="宋体"/>
          <w:szCs w:val="21"/>
        </w:rPr>
        <w:t>（含销售网点、售后服务网点等）</w:t>
      </w:r>
      <w:r>
        <w:rPr>
          <w:rFonts w:ascii="宋体" w:hAnsi="宋体"/>
          <w:szCs w:val="21"/>
        </w:rPr>
        <w:t>的职工薪酬、业务费</w:t>
      </w:r>
      <w:r>
        <w:rPr>
          <w:rFonts w:hint="eastAsia" w:ascii="宋体" w:hAnsi="宋体"/>
          <w:szCs w:val="21"/>
        </w:rPr>
        <w:t>、折旧费</w:t>
      </w:r>
      <w:r>
        <w:rPr>
          <w:rFonts w:ascii="宋体" w:hAnsi="宋体"/>
          <w:szCs w:val="21"/>
        </w:rPr>
        <w:t>等经营费用。</w:t>
      </w:r>
      <w:r>
        <w:rPr>
          <w:rFonts w:hint="eastAsia" w:ascii="宋体" w:hAnsi="宋体"/>
          <w:spacing w:val="8"/>
          <w:szCs w:val="21"/>
        </w:rPr>
        <w:t>房地产企业销售费用指企业在从事主要经营业务过程中所发生的各项销售费用，包括转让、销售、结算和出租开发产品等。</w:t>
      </w:r>
      <w:r>
        <w:rPr>
          <w:rFonts w:hint="eastAsia" w:ascii="宋体" w:hAnsi="宋体"/>
          <w:szCs w:val="21"/>
        </w:rPr>
        <w:t>执行《企业会计准则》或《小企业会计准则》的企业，</w:t>
      </w:r>
      <w:r>
        <w:rPr>
          <w:rFonts w:ascii="宋体" w:hAnsi="宋体"/>
          <w:szCs w:val="21"/>
        </w:rPr>
        <w:t>根据会计“利润表”中“销售费用”项目的本</w:t>
      </w:r>
      <w:r>
        <w:rPr>
          <w:rFonts w:hint="eastAsia" w:ascii="宋体" w:hAnsi="宋体"/>
          <w:szCs w:val="21"/>
        </w:rPr>
        <w:t>年累计</w:t>
      </w:r>
      <w:r>
        <w:rPr>
          <w:rFonts w:ascii="宋体" w:hAnsi="宋体"/>
          <w:szCs w:val="21"/>
        </w:rPr>
        <w:t>数填报。</w:t>
      </w:r>
      <w:r>
        <w:rPr>
          <w:rFonts w:hint="eastAsia" w:ascii="宋体" w:hAnsi="宋体"/>
          <w:szCs w:val="21"/>
        </w:rPr>
        <w:t>执行其他企业会计制度的企业，根据会计</w:t>
      </w:r>
      <w:r>
        <w:rPr>
          <w:rFonts w:ascii="宋体" w:hAnsi="宋体"/>
          <w:szCs w:val="21"/>
        </w:rPr>
        <w:t>“利润表”中“</w:t>
      </w:r>
      <w:r>
        <w:rPr>
          <w:rFonts w:hint="eastAsia" w:ascii="宋体" w:hAnsi="宋体"/>
          <w:szCs w:val="21"/>
        </w:rPr>
        <w:t>营业费用（或经营费用）</w:t>
      </w:r>
      <w:r>
        <w:rPr>
          <w:rFonts w:ascii="宋体" w:hAnsi="宋体"/>
          <w:szCs w:val="21"/>
        </w:rPr>
        <w:t>”项目的本</w:t>
      </w:r>
      <w:r>
        <w:rPr>
          <w:rFonts w:hint="eastAsia" w:ascii="宋体" w:hAnsi="宋体"/>
          <w:szCs w:val="21"/>
        </w:rPr>
        <w:t>年累计数</w:t>
      </w:r>
      <w:r>
        <w:rPr>
          <w:rFonts w:ascii="宋体" w:hAnsi="宋体"/>
          <w:szCs w:val="21"/>
        </w:rPr>
        <w:t>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管理费用  </w:t>
      </w:r>
      <w:r>
        <w:rPr>
          <w:rFonts w:ascii="宋体" w:hAnsi="宋体"/>
          <w:szCs w:val="21"/>
        </w:rPr>
        <w:t>指企业为组织和管理企业生产经营所发生的费用，包括企业在筹建期间内发生的开办费、董事会和行政管理部门在企业经营管理中发生的，或者应当由企业统一负担的公司经费等。根据会计“利润表”中“管理费用”项目的本</w:t>
      </w:r>
      <w:r>
        <w:rPr>
          <w:rFonts w:hint="eastAsia" w:ascii="宋体" w:hAnsi="宋体"/>
          <w:szCs w:val="21"/>
        </w:rPr>
        <w:t>年累计</w:t>
      </w:r>
      <w:r>
        <w:rPr>
          <w:rFonts w:ascii="宋体" w:hAnsi="宋体"/>
          <w:szCs w:val="21"/>
        </w:rPr>
        <w:t>数填报。</w:t>
      </w:r>
      <w:r>
        <w:rPr>
          <w:rFonts w:hint="eastAsia" w:ascii="宋体" w:hAnsi="宋体"/>
          <w:szCs w:val="21"/>
        </w:rPr>
        <w:t>执行财政部《关于修订印发2018年度一般企业财务报表格式的通知》（财会〔2018〕15号）的</w:t>
      </w:r>
      <w:r>
        <w:rPr>
          <w:rFonts w:ascii="宋体" w:hAnsi="宋体"/>
          <w:szCs w:val="21"/>
        </w:rPr>
        <w:t>企业，</w:t>
      </w:r>
      <w:r>
        <w:rPr>
          <w:rFonts w:hint="eastAsia" w:ascii="宋体" w:hAnsi="宋体"/>
          <w:szCs w:val="21"/>
        </w:rPr>
        <w:t>应</w:t>
      </w:r>
      <w:r>
        <w:rPr>
          <w:rFonts w:ascii="宋体" w:hAnsi="宋体"/>
          <w:szCs w:val="21"/>
        </w:rPr>
        <w:t>把</w:t>
      </w:r>
      <w:r>
        <w:rPr>
          <w:rFonts w:hint="eastAsia" w:ascii="宋体" w:hAnsi="宋体"/>
          <w:szCs w:val="21"/>
        </w:rPr>
        <w:t>研发</w:t>
      </w:r>
      <w:r>
        <w:rPr>
          <w:rFonts w:ascii="宋体" w:hAnsi="宋体"/>
          <w:szCs w:val="21"/>
        </w:rPr>
        <w:t>费用</w:t>
      </w:r>
      <w:r>
        <w:rPr>
          <w:rFonts w:hint="eastAsia" w:ascii="宋体" w:hAnsi="宋体"/>
          <w:szCs w:val="21"/>
        </w:rPr>
        <w:t>项目的</w:t>
      </w:r>
      <w:r>
        <w:rPr>
          <w:rFonts w:ascii="宋体" w:hAnsi="宋体"/>
          <w:szCs w:val="21"/>
        </w:rPr>
        <w:t>本年累计数</w:t>
      </w:r>
      <w:r>
        <w:rPr>
          <w:rFonts w:hint="eastAsia" w:ascii="宋体" w:hAnsi="宋体"/>
          <w:szCs w:val="21"/>
        </w:rPr>
        <w:t>归并</w:t>
      </w:r>
      <w:r>
        <w:rPr>
          <w:rFonts w:ascii="宋体" w:hAnsi="宋体"/>
          <w:szCs w:val="21"/>
        </w:rPr>
        <w:t>到管理费用</w:t>
      </w:r>
      <w:r>
        <w:rPr>
          <w:rFonts w:hint="eastAsia" w:ascii="宋体" w:hAnsi="宋体"/>
          <w:szCs w:val="21"/>
        </w:rPr>
        <w:t>项目</w:t>
      </w:r>
      <w:r>
        <w:rPr>
          <w:rFonts w:ascii="宋体" w:hAnsi="宋体"/>
          <w:szCs w:val="21"/>
        </w:rPr>
        <w:t>中</w:t>
      </w:r>
      <w:r>
        <w:rPr>
          <w:rFonts w:hint="eastAsia" w:ascii="宋体" w:hAnsi="宋体"/>
          <w:szCs w:val="21"/>
        </w:rPr>
        <w:t>填报</w:t>
      </w:r>
      <w:r>
        <w:rPr>
          <w:rFonts w:ascii="宋体" w:hAnsi="宋体"/>
          <w:szCs w:val="21"/>
        </w:rPr>
        <w:t>。</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差旅费  </w:t>
      </w:r>
      <w:r>
        <w:rPr>
          <w:rFonts w:ascii="宋体" w:hAnsi="宋体"/>
          <w:szCs w:val="21"/>
        </w:rPr>
        <w:t>指企业行政管理部门的差旅费，包括市内公出的交通费和外地出差的差旅费。根据“管理费用明细账”中“管理费用—差旅费”的期末借方余额</w:t>
      </w:r>
      <w:r>
        <w:rPr>
          <w:rFonts w:hint="eastAsia" w:ascii="宋体" w:hAnsi="宋体"/>
          <w:szCs w:val="21"/>
        </w:rPr>
        <w:t>（结转前）分析填报</w:t>
      </w:r>
      <w:r>
        <w:rPr>
          <w:rFonts w:ascii="宋体" w:hAnsi="宋体"/>
          <w:szCs w:val="21"/>
        </w:rPr>
        <w:t>。</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财务费用  </w:t>
      </w:r>
      <w:r>
        <w:rPr>
          <w:rFonts w:ascii="宋体" w:hAnsi="宋体"/>
          <w:szCs w:val="21"/>
        </w:rPr>
        <w:t>指企业为筹集生产经营所需资金等而发生的</w:t>
      </w:r>
      <w:r>
        <w:rPr>
          <w:rFonts w:hint="eastAsia" w:ascii="宋体" w:hAnsi="宋体"/>
          <w:szCs w:val="21"/>
        </w:rPr>
        <w:t>筹资</w:t>
      </w:r>
      <w:r>
        <w:rPr>
          <w:rFonts w:ascii="宋体" w:hAnsi="宋体"/>
          <w:szCs w:val="21"/>
        </w:rPr>
        <w:t>费用，包括企业生产经营期间发生的利息支出（减利息收入）、汇兑损失（减汇兑收益）以及相关的手续费等。根据会计“利润表”中“财务费用”项目的本</w:t>
      </w:r>
      <w:r>
        <w:rPr>
          <w:rFonts w:hint="eastAsia" w:ascii="宋体" w:hAnsi="宋体"/>
          <w:szCs w:val="21"/>
        </w:rPr>
        <w:t>年累计</w:t>
      </w:r>
      <w:r>
        <w:rPr>
          <w:rFonts w:ascii="宋体" w:hAnsi="宋体"/>
          <w:szCs w:val="21"/>
        </w:rPr>
        <w:t>数填报。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利息净支出  </w:t>
      </w:r>
      <w:r>
        <w:rPr>
          <w:rFonts w:ascii="宋体" w:hAnsi="宋体"/>
          <w:szCs w:val="21"/>
        </w:rPr>
        <w:t>指企业短期借款利息、长期借款利息、应付票据利息、票据贴现利息、应付债券利息、长期应付引进国外设备款利息等利息支出减去银行存款等的利息收入后的净额。</w:t>
      </w:r>
    </w:p>
    <w:p>
      <w:pPr>
        <w:snapToGrid w:val="0"/>
        <w:spacing w:line="400" w:lineRule="exact"/>
        <w:ind w:firstLine="420" w:firstLineChars="200"/>
        <w:textAlignment w:val="center"/>
        <w:rPr>
          <w:rFonts w:ascii="宋体" w:hAnsi="宋体"/>
          <w:szCs w:val="21"/>
        </w:rPr>
      </w:pPr>
      <w:r>
        <w:rPr>
          <w:rFonts w:ascii="黑体" w:hAnsi="宋体" w:eastAsia="黑体"/>
          <w:szCs w:val="21"/>
        </w:rPr>
        <w:t>资产减值损失</w:t>
      </w:r>
      <w:r>
        <w:rPr>
          <w:rFonts w:hint="eastAsia" w:ascii="黑体" w:hAnsi="宋体" w:eastAsia="黑体"/>
          <w:szCs w:val="21"/>
        </w:rPr>
        <w:t xml:space="preserve">  </w:t>
      </w:r>
      <w:r>
        <w:rPr>
          <w:rFonts w:ascii="宋体" w:hAnsi="宋体"/>
          <w:szCs w:val="21"/>
        </w:rPr>
        <w:t>指企业</w:t>
      </w:r>
      <w:r>
        <w:rPr>
          <w:rFonts w:hint="eastAsia" w:ascii="宋体" w:hAnsi="宋体"/>
          <w:szCs w:val="21"/>
        </w:rPr>
        <w:t>计提各项资产减值准备所形成的损失。根据</w:t>
      </w:r>
      <w:r>
        <w:rPr>
          <w:rFonts w:ascii="宋体" w:hAnsi="宋体"/>
          <w:szCs w:val="21"/>
        </w:rPr>
        <w:t>会计“利润表”中“</w:t>
      </w:r>
      <w:r>
        <w:rPr>
          <w:rFonts w:hint="eastAsia" w:ascii="宋体" w:hAnsi="宋体"/>
          <w:szCs w:val="21"/>
        </w:rPr>
        <w:t>资产减值损失</w:t>
      </w:r>
      <w:r>
        <w:rPr>
          <w:rFonts w:ascii="宋体" w:hAnsi="宋体"/>
          <w:szCs w:val="21"/>
        </w:rPr>
        <w:t>”项目的本</w:t>
      </w:r>
      <w:r>
        <w:rPr>
          <w:rFonts w:hint="eastAsia" w:ascii="宋体" w:hAnsi="宋体"/>
          <w:szCs w:val="21"/>
        </w:rPr>
        <w:t>年累计</w:t>
      </w:r>
      <w:r>
        <w:rPr>
          <w:rFonts w:ascii="宋体" w:hAnsi="宋体"/>
          <w:szCs w:val="21"/>
        </w:rPr>
        <w:t>数填报。</w:t>
      </w:r>
      <w:r>
        <w:rPr>
          <w:rFonts w:hint="eastAsia" w:ascii="宋体" w:hAnsi="宋体"/>
          <w:szCs w:val="21"/>
        </w:rPr>
        <w:t>未执行《企业会计准则》的企业可填0</w:t>
      </w:r>
      <w:r>
        <w:rPr>
          <w:rFonts w:ascii="宋体" w:hAnsi="宋体"/>
          <w:szCs w:val="21"/>
        </w:rPr>
        <w:t>。</w:t>
      </w:r>
      <w:r>
        <w:rPr>
          <w:rFonts w:hint="eastAsia" w:ascii="宋体" w:hAnsi="宋体"/>
          <w:szCs w:val="21"/>
        </w:rPr>
        <w:t>执行财政部《关于修订印发2018年度一般企业财务报表格式的通知》（财会〔2018〕15号）的企业，应</w:t>
      </w:r>
      <w:r>
        <w:rPr>
          <w:rFonts w:ascii="宋体" w:hAnsi="宋体"/>
          <w:szCs w:val="21"/>
        </w:rPr>
        <w:t>把</w:t>
      </w:r>
      <w:r>
        <w:rPr>
          <w:rFonts w:hint="eastAsia" w:ascii="宋体" w:hAnsi="宋体"/>
          <w:szCs w:val="21"/>
        </w:rPr>
        <w:t>信用减值损失项目</w:t>
      </w:r>
      <w:r>
        <w:rPr>
          <w:rFonts w:ascii="宋体" w:hAnsi="宋体"/>
          <w:szCs w:val="21"/>
        </w:rPr>
        <w:t>的本年累计数归并到资产减值</w:t>
      </w:r>
      <w:r>
        <w:rPr>
          <w:rFonts w:hint="eastAsia" w:ascii="宋体" w:hAnsi="宋体"/>
          <w:szCs w:val="21"/>
        </w:rPr>
        <w:t>损失项目中填报</w:t>
      </w:r>
      <w:r>
        <w:rPr>
          <w:rFonts w:ascii="宋体" w:hAnsi="宋体"/>
          <w:szCs w:val="21"/>
        </w:rPr>
        <w:t>。</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公允价值变动收益  </w:t>
      </w:r>
      <w:r>
        <w:rPr>
          <w:rFonts w:ascii="宋体" w:hAnsi="宋体"/>
          <w:szCs w:val="21"/>
        </w:rPr>
        <w:t>指企业的交易性金融资产、交易性金融负债，以及采用公允价值模式计量的投资性房地产、衍生工具、套期保值业务等公允价值变动形成的应计入当期损益的利得或损失。根据</w:t>
      </w:r>
      <w:r>
        <w:rPr>
          <w:rFonts w:hint="eastAsia" w:ascii="宋体" w:hAnsi="宋体"/>
          <w:szCs w:val="21"/>
        </w:rPr>
        <w:t>会计</w:t>
      </w:r>
      <w:r>
        <w:rPr>
          <w:rFonts w:ascii="宋体" w:hAnsi="宋体"/>
          <w:szCs w:val="21"/>
        </w:rPr>
        <w:t>“利润表”中的“公允价值变动收益”项目的本</w:t>
      </w:r>
      <w:r>
        <w:rPr>
          <w:rFonts w:hint="eastAsia" w:ascii="宋体" w:hAnsi="宋体"/>
          <w:szCs w:val="21"/>
        </w:rPr>
        <w:t>年累计</w:t>
      </w:r>
      <w:r>
        <w:rPr>
          <w:rFonts w:ascii="宋体" w:hAnsi="宋体"/>
          <w:szCs w:val="21"/>
        </w:rPr>
        <w:t>数填报，或根据“公允价值变动损益”会计科目的余额填报。余额在贷方，则为净收益，余额在借方，则为净损</w:t>
      </w:r>
      <w:r>
        <w:rPr>
          <w:rFonts w:hint="eastAsia" w:ascii="宋体" w:hAnsi="宋体"/>
          <w:szCs w:val="21"/>
        </w:rPr>
        <w:t>失</w:t>
      </w:r>
      <w:r>
        <w:rPr>
          <w:rFonts w:ascii="宋体" w:hAnsi="宋体"/>
          <w:szCs w:val="21"/>
        </w:rPr>
        <w:t>，以“</w:t>
      </w:r>
      <w:r>
        <w:rPr>
          <w:rFonts w:hint="eastAsia" w:ascii="宋体" w:hAnsi="宋体"/>
          <w:szCs w:val="21"/>
        </w:rPr>
        <w:t>-</w:t>
      </w:r>
      <w:r>
        <w:rPr>
          <w:rFonts w:ascii="宋体" w:hAnsi="宋体"/>
          <w:szCs w:val="21"/>
        </w:rPr>
        <w:t>”号记。</w:t>
      </w:r>
      <w:r>
        <w:rPr>
          <w:rFonts w:hint="eastAsia" w:ascii="宋体" w:hAnsi="宋体"/>
          <w:szCs w:val="21"/>
        </w:rPr>
        <w:t>未执行《企业会计准则》的企业</w:t>
      </w:r>
      <w:r>
        <w:rPr>
          <w:rFonts w:ascii="宋体" w:hAnsi="宋体"/>
          <w:szCs w:val="21"/>
        </w:rPr>
        <w:t>填</w:t>
      </w:r>
      <w:r>
        <w:rPr>
          <w:rFonts w:hint="eastAsia" w:ascii="宋体" w:hAnsi="宋体"/>
          <w:szCs w:val="21"/>
        </w:rPr>
        <w:t>0</w:t>
      </w:r>
      <w:r>
        <w:rPr>
          <w:rFonts w:ascii="宋体" w:hAnsi="宋体"/>
          <w:szCs w:val="21"/>
        </w:rPr>
        <w:t>。</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投资收益  </w:t>
      </w:r>
      <w:r>
        <w:rPr>
          <w:rFonts w:ascii="宋体" w:hAnsi="宋体"/>
          <w:szCs w:val="21"/>
        </w:rPr>
        <w:t>指企业确认的投资收益或投资损失，反映企业以各种方式对外投资所取得的收益。根据会计“利润表”中“投资收益”项目的本</w:t>
      </w:r>
      <w:r>
        <w:rPr>
          <w:rFonts w:hint="eastAsia" w:ascii="宋体" w:hAnsi="宋体"/>
          <w:szCs w:val="21"/>
        </w:rPr>
        <w:t>年累计</w:t>
      </w:r>
      <w:r>
        <w:rPr>
          <w:rFonts w:ascii="宋体" w:hAnsi="宋体"/>
          <w:szCs w:val="21"/>
        </w:rPr>
        <w:t>数填报，如为投资损失以“</w:t>
      </w:r>
      <w:r>
        <w:rPr>
          <w:rFonts w:hint="eastAsia" w:ascii="宋体" w:hAnsi="宋体"/>
          <w:szCs w:val="21"/>
        </w:rPr>
        <w:t>-</w:t>
      </w:r>
      <w:r>
        <w:rPr>
          <w:rFonts w:ascii="宋体" w:hAnsi="宋体"/>
          <w:szCs w:val="21"/>
        </w:rPr>
        <w:t>”号记。</w:t>
      </w:r>
    </w:p>
    <w:p>
      <w:pPr>
        <w:snapToGrid w:val="0"/>
        <w:spacing w:line="400" w:lineRule="exact"/>
        <w:ind w:firstLine="420" w:firstLineChars="200"/>
        <w:rPr>
          <w:rFonts w:ascii="宋体" w:hAnsi="Times New Roman" w:cs="宋体"/>
          <w:szCs w:val="24"/>
        </w:rPr>
      </w:pPr>
      <w:r>
        <w:rPr>
          <w:rFonts w:hint="eastAsia" w:ascii="黑体" w:hAnsi="黑体" w:eastAsia="黑体" w:cs="宋体"/>
        </w:rPr>
        <w:t xml:space="preserve">其他收益  </w:t>
      </w:r>
      <w:r>
        <w:rPr>
          <w:rFonts w:hint="eastAsia" w:ascii="宋体" w:hAnsi="宋体"/>
          <w:szCs w:val="21"/>
        </w:rPr>
        <w:t>指</w:t>
      </w:r>
      <w:r>
        <w:rPr>
          <w:rFonts w:hint="eastAsia" w:ascii="宋体" w:hAnsi="宋体" w:cs="宋体"/>
        </w:rPr>
        <w:t>根据2017年6月12日起施行的</w:t>
      </w:r>
      <w:r>
        <w:rPr>
          <w:rFonts w:ascii="宋体" w:hAnsi="宋体" w:cs="宋体"/>
        </w:rPr>
        <w:t>《</w:t>
      </w:r>
      <w:r>
        <w:rPr>
          <w:rFonts w:hint="eastAsia" w:ascii="宋体" w:hAnsi="宋体" w:cs="宋体"/>
        </w:rPr>
        <w:t>企业会计准则第16号—政府补助</w:t>
      </w:r>
      <w:r>
        <w:rPr>
          <w:rFonts w:ascii="宋体" w:hAnsi="宋体" w:cs="宋体"/>
        </w:rPr>
        <w:t>》</w:t>
      </w:r>
      <w:r>
        <w:rPr>
          <w:rFonts w:hint="eastAsia" w:ascii="宋体" w:hAnsi="宋体" w:cs="宋体"/>
        </w:rPr>
        <w:t>，</w:t>
      </w:r>
      <w:r>
        <w:rPr>
          <w:rFonts w:ascii="宋体" w:hAnsi="宋体" w:cs="宋体"/>
        </w:rPr>
        <w:t>其他收益</w:t>
      </w:r>
      <w:r>
        <w:rPr>
          <w:rFonts w:hint="eastAsia" w:ascii="宋体" w:hAnsi="宋体" w:cs="宋体"/>
        </w:rPr>
        <w:t>反映与企业日常活动相关且</w:t>
      </w:r>
      <w:r>
        <w:rPr>
          <w:rFonts w:ascii="宋体" w:hAnsi="宋体" w:cs="宋体"/>
        </w:rPr>
        <w:t>计入该项目</w:t>
      </w:r>
      <w:r>
        <w:rPr>
          <w:rFonts w:hint="eastAsia" w:ascii="宋体" w:hAnsi="宋体" w:cs="宋体"/>
        </w:rPr>
        <w:t>的政府补助。</w:t>
      </w:r>
      <w:r>
        <w:rPr>
          <w:rFonts w:hint="eastAsia" w:ascii="宋体" w:cs="宋体"/>
        </w:rPr>
        <w:t>（1）执行《企业会计准则》或《小企业会计准则》的企业，</w:t>
      </w:r>
      <w:r>
        <w:rPr>
          <w:rFonts w:hint="eastAsia" w:ascii="宋体" w:hAnsi="宋体" w:cs="宋体"/>
        </w:rPr>
        <w:t>根据会计“利润表”中“其他收益”项目的本年</w:t>
      </w:r>
      <w:r>
        <w:rPr>
          <w:rFonts w:ascii="宋体" w:hAnsi="宋体" w:cs="宋体"/>
        </w:rPr>
        <w:t>累计数</w:t>
      </w:r>
      <w:r>
        <w:rPr>
          <w:rFonts w:hint="eastAsia" w:ascii="宋体" w:hAnsi="宋体" w:cs="宋体"/>
        </w:rPr>
        <w:t>填报；</w:t>
      </w:r>
      <w:r>
        <w:rPr>
          <w:rFonts w:hint="eastAsia" w:ascii="宋体" w:cs="宋体"/>
        </w:rPr>
        <w:t>或根据会计“其他收益”科目的本年各月贷方余额（结转前）之和填报。（2）执行其他企业会计制度的企业</w:t>
      </w:r>
      <w:r>
        <w:rPr>
          <w:rFonts w:ascii="宋体" w:cs="宋体"/>
        </w:rPr>
        <w:t>本指标</w:t>
      </w:r>
      <w:r>
        <w:rPr>
          <w:rFonts w:hint="eastAsia" w:ascii="宋体" w:cs="宋体"/>
        </w:rPr>
        <w:t>填0</w:t>
      </w:r>
      <w:r>
        <w:rPr>
          <w:rFonts w:ascii="宋体" w:cs="宋体"/>
        </w:rPr>
        <w:t>。</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营业利润  </w:t>
      </w:r>
      <w:r>
        <w:rPr>
          <w:rFonts w:hint="eastAsia" w:ascii="宋体" w:hAnsi="宋体"/>
          <w:szCs w:val="21"/>
        </w:rPr>
        <w:t>指企业从事生产经营活动所取得的利润。执行《企业会计准则》或《小企业会计准则》的企业，营业利润为营业收入减去营业成本、税金及附加、销售费用、管理费用、财务费用、资产减值损失，再加上公允价值变动收益、投资收益和其他收益后的金额。根据会计“利润表”中“营业利润”项目的本年累计数填报；执行其他企业会计制度的企业，营业利润为营业收入减去营业成本、税金及附加、销售费用、管理费用、财务费用，再加上投资收益后的金额，根据会计“损益表”中“营业利润”项目、“投资收益”项目的本年累计数之和填报。</w:t>
      </w:r>
    </w:p>
    <w:p>
      <w:pPr>
        <w:snapToGrid w:val="0"/>
        <w:spacing w:line="400" w:lineRule="exact"/>
        <w:ind w:firstLine="420" w:firstLineChars="200"/>
        <w:textAlignment w:val="center"/>
        <w:rPr>
          <w:rFonts w:ascii="宋体" w:hAnsi="宋体"/>
          <w:szCs w:val="21"/>
        </w:rPr>
      </w:pPr>
      <w:r>
        <w:rPr>
          <w:rFonts w:ascii="黑体" w:hAnsi="宋体" w:eastAsia="黑体"/>
          <w:szCs w:val="21"/>
        </w:rPr>
        <w:t>营业外收入</w:t>
      </w:r>
      <w:r>
        <w:rPr>
          <w:rFonts w:hint="eastAsia" w:ascii="黑体" w:hAnsi="宋体" w:eastAsia="黑体"/>
          <w:szCs w:val="21"/>
        </w:rPr>
        <w:t xml:space="preserve">  </w:t>
      </w:r>
      <w:r>
        <w:rPr>
          <w:rFonts w:ascii="宋体" w:hAnsi="宋体"/>
          <w:szCs w:val="21"/>
        </w:rPr>
        <w:t>指企业</w:t>
      </w:r>
      <w:r>
        <w:rPr>
          <w:rFonts w:hint="eastAsia" w:ascii="宋体" w:hAnsi="宋体"/>
          <w:szCs w:val="21"/>
        </w:rPr>
        <w:t>发生的与</w:t>
      </w:r>
      <w:r>
        <w:rPr>
          <w:rFonts w:ascii="宋体" w:hAnsi="宋体"/>
          <w:szCs w:val="21"/>
        </w:rPr>
        <w:t>经营</w:t>
      </w:r>
      <w:r>
        <w:rPr>
          <w:rFonts w:hint="eastAsia" w:ascii="宋体" w:hAnsi="宋体"/>
          <w:szCs w:val="21"/>
        </w:rPr>
        <w:t>业务无</w:t>
      </w:r>
      <w:r>
        <w:rPr>
          <w:rFonts w:ascii="宋体" w:hAnsi="宋体"/>
          <w:szCs w:val="21"/>
        </w:rPr>
        <w:t>直接关系的各</w:t>
      </w:r>
      <w:r>
        <w:rPr>
          <w:rFonts w:hint="eastAsia" w:ascii="宋体" w:hAnsi="宋体"/>
          <w:szCs w:val="21"/>
        </w:rPr>
        <w:t>项</w:t>
      </w:r>
      <w:r>
        <w:rPr>
          <w:rFonts w:ascii="宋体" w:hAnsi="宋体"/>
          <w:szCs w:val="21"/>
        </w:rPr>
        <w:t>收入</w:t>
      </w:r>
      <w:r>
        <w:rPr>
          <w:rFonts w:hint="eastAsia" w:ascii="宋体" w:hAnsi="宋体"/>
          <w:szCs w:val="21"/>
        </w:rPr>
        <w:t>，</w:t>
      </w:r>
      <w:r>
        <w:rPr>
          <w:rFonts w:hint="eastAsia" w:ascii="宋体" w:hAnsi="宋体" w:cs="宋体"/>
        </w:rPr>
        <w:t>主要包括债务重组利得、与企业日常活动无关的政府补助、</w:t>
      </w:r>
      <w:r>
        <w:rPr>
          <w:rFonts w:hint="eastAsia" w:ascii="宋体" w:hAnsi="宋体"/>
          <w:szCs w:val="21"/>
        </w:rPr>
        <w:t>盘盈利得、捐赠利得等。执行《企业会计准则》或《小企业会计准则》的企业，</w:t>
      </w:r>
      <w:r>
        <w:rPr>
          <w:rFonts w:ascii="宋体" w:hAnsi="宋体"/>
          <w:szCs w:val="21"/>
        </w:rPr>
        <w:t>根据会计“利润表”中“</w:t>
      </w:r>
      <w:r>
        <w:rPr>
          <w:rFonts w:hint="eastAsia" w:ascii="宋体" w:hAnsi="宋体"/>
          <w:szCs w:val="21"/>
        </w:rPr>
        <w:t>营业外收入</w:t>
      </w:r>
      <w:r>
        <w:rPr>
          <w:rFonts w:ascii="宋体" w:hAnsi="宋体"/>
          <w:szCs w:val="21"/>
        </w:rPr>
        <w:t>”项目的本</w:t>
      </w:r>
      <w:r>
        <w:rPr>
          <w:rFonts w:hint="eastAsia" w:ascii="宋体" w:hAnsi="宋体"/>
          <w:szCs w:val="21"/>
        </w:rPr>
        <w:t>年累计</w:t>
      </w:r>
      <w:r>
        <w:rPr>
          <w:rFonts w:ascii="宋体" w:hAnsi="宋体"/>
          <w:szCs w:val="21"/>
        </w:rPr>
        <w:t>数填报</w:t>
      </w:r>
      <w:r>
        <w:rPr>
          <w:rFonts w:hint="eastAsia" w:ascii="宋体" w:hAnsi="宋体"/>
          <w:szCs w:val="21"/>
        </w:rPr>
        <w:t>；执行其他企业会计制度的企业，根据会计“损益表”中</w:t>
      </w:r>
      <w:r>
        <w:rPr>
          <w:rFonts w:ascii="宋体" w:hAnsi="宋体"/>
          <w:szCs w:val="21"/>
        </w:rPr>
        <w:t>“</w:t>
      </w:r>
      <w:r>
        <w:rPr>
          <w:rFonts w:hint="eastAsia" w:ascii="宋体" w:hAnsi="宋体"/>
          <w:szCs w:val="21"/>
        </w:rPr>
        <w:t>营业外收入</w:t>
      </w:r>
      <w:r>
        <w:rPr>
          <w:rFonts w:ascii="宋体" w:hAnsi="宋体"/>
          <w:szCs w:val="21"/>
        </w:rPr>
        <w:t>”</w:t>
      </w:r>
      <w:r>
        <w:rPr>
          <w:rFonts w:hint="eastAsia" w:ascii="宋体" w:hAnsi="宋体"/>
          <w:szCs w:val="21"/>
        </w:rPr>
        <w:t>项目、“补贴收入”项目的本年累计数之和填报。</w:t>
      </w:r>
    </w:p>
    <w:p>
      <w:pPr>
        <w:snapToGrid w:val="0"/>
        <w:spacing w:line="400" w:lineRule="exact"/>
        <w:ind w:firstLine="420" w:firstLineChars="200"/>
        <w:textAlignment w:val="center"/>
        <w:rPr>
          <w:rFonts w:ascii="宋体" w:hAnsi="宋体" w:cs="Arial"/>
          <w:color w:val="333333"/>
          <w:szCs w:val="21"/>
          <w:shd w:val="clear" w:color="auto" w:fill="FFFFFF"/>
        </w:rPr>
      </w:pPr>
      <w:r>
        <w:rPr>
          <w:rFonts w:hint="eastAsia" w:ascii="黑体" w:hAnsi="宋体" w:eastAsia="黑体"/>
          <w:szCs w:val="21"/>
        </w:rPr>
        <w:t xml:space="preserve">政府补助  </w:t>
      </w:r>
      <w:r>
        <w:rPr>
          <w:rFonts w:ascii="宋体" w:hAnsi="宋体"/>
          <w:szCs w:val="21"/>
        </w:rPr>
        <w:t>指企业从</w:t>
      </w:r>
      <w:r>
        <w:fldChar w:fldCharType="begin"/>
      </w:r>
      <w:r>
        <w:instrText xml:space="preserve"> HYPERLINK "http://baike.so.com/doc/3102520-3270204.html" \t "_blank" </w:instrText>
      </w:r>
      <w:r>
        <w:fldChar w:fldCharType="separate"/>
      </w:r>
      <w:r>
        <w:rPr>
          <w:rFonts w:ascii="宋体" w:hAnsi="宋体"/>
          <w:szCs w:val="21"/>
        </w:rPr>
        <w:t>政府</w:t>
      </w:r>
      <w:r>
        <w:rPr>
          <w:rFonts w:ascii="宋体" w:hAnsi="宋体"/>
          <w:szCs w:val="21"/>
        </w:rPr>
        <w:fldChar w:fldCharType="end"/>
      </w:r>
      <w:r>
        <w:rPr>
          <w:rFonts w:ascii="宋体" w:hAnsi="宋体"/>
          <w:szCs w:val="21"/>
        </w:rPr>
        <w:t>无偿取得</w:t>
      </w:r>
      <w:r>
        <w:fldChar w:fldCharType="begin"/>
      </w:r>
      <w:r>
        <w:instrText xml:space="preserve"> HYPERLINK "http://baike.so.com/doc/2579777-2724200.html" \t "_blank" </w:instrText>
      </w:r>
      <w:r>
        <w:fldChar w:fldCharType="separate"/>
      </w:r>
      <w:r>
        <w:rPr>
          <w:rFonts w:ascii="宋体" w:hAnsi="宋体"/>
          <w:szCs w:val="21"/>
        </w:rPr>
        <w:t>货币</w:t>
      </w:r>
      <w:r>
        <w:rPr>
          <w:rFonts w:ascii="宋体" w:hAnsi="宋体"/>
          <w:szCs w:val="21"/>
        </w:rPr>
        <w:fldChar w:fldCharType="end"/>
      </w:r>
      <w:r>
        <w:rPr>
          <w:rFonts w:ascii="宋体" w:hAnsi="宋体"/>
          <w:szCs w:val="21"/>
        </w:rPr>
        <w:t>性资产或非货币性资产，但不包括政府作为所有者投入的</w:t>
      </w:r>
      <w:r>
        <w:fldChar w:fldCharType="begin"/>
      </w:r>
      <w:r>
        <w:instrText xml:space="preserve"> HYPERLINK "http://baike.so.com/doc/612398-648420.html" \t "_blank" </w:instrText>
      </w:r>
      <w:r>
        <w:fldChar w:fldCharType="separate"/>
      </w:r>
      <w:r>
        <w:rPr>
          <w:rFonts w:ascii="宋体" w:hAnsi="宋体"/>
          <w:szCs w:val="21"/>
        </w:rPr>
        <w:t>资本</w:t>
      </w:r>
      <w:r>
        <w:rPr>
          <w:rFonts w:ascii="宋体" w:hAnsi="宋体"/>
          <w:szCs w:val="21"/>
        </w:rPr>
        <w:fldChar w:fldCharType="end"/>
      </w:r>
      <w:r>
        <w:rPr>
          <w:rFonts w:ascii="宋体" w:hAnsi="宋体"/>
          <w:szCs w:val="21"/>
        </w:rPr>
        <w:t>。</w:t>
      </w:r>
      <w:r>
        <w:rPr>
          <w:rFonts w:hint="eastAsia" w:ascii="宋体" w:hAnsi="宋体"/>
          <w:szCs w:val="21"/>
        </w:rPr>
        <w:t>包括财政贴息、研究开发补贴、政策性补贴等。</w:t>
      </w:r>
      <w:r>
        <w:rPr>
          <w:rFonts w:ascii="宋体" w:hAnsi="宋体"/>
          <w:szCs w:val="21"/>
        </w:rPr>
        <w:t>根据会计“利润表”中“</w:t>
      </w:r>
      <w:r>
        <w:rPr>
          <w:rFonts w:hint="eastAsia" w:ascii="宋体" w:hAnsi="宋体"/>
          <w:szCs w:val="21"/>
        </w:rPr>
        <w:t>营业外收入</w:t>
      </w:r>
      <w:r>
        <w:rPr>
          <w:rFonts w:ascii="宋体" w:hAnsi="宋体"/>
          <w:szCs w:val="21"/>
        </w:rPr>
        <w:t>—</w:t>
      </w:r>
      <w:r>
        <w:rPr>
          <w:rFonts w:hint="eastAsia" w:ascii="宋体" w:hAnsi="宋体"/>
          <w:szCs w:val="21"/>
        </w:rPr>
        <w:t>政府补助</w:t>
      </w:r>
      <w:r>
        <w:rPr>
          <w:rFonts w:ascii="宋体" w:hAnsi="宋体"/>
          <w:szCs w:val="21"/>
        </w:rPr>
        <w:t>”的本期金额数填报</w:t>
      </w:r>
      <w:r>
        <w:rPr>
          <w:rFonts w:hint="eastAsia" w:ascii="宋体" w:hAnsi="宋体"/>
          <w:szCs w:val="21"/>
        </w:rPr>
        <w:t>。</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应付职工薪酬（本年贷方累计发生额）  </w:t>
      </w:r>
      <w:r>
        <w:rPr>
          <w:rFonts w:ascii="宋体" w:hAnsi="宋体"/>
          <w:szCs w:val="21"/>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w:t>
      </w:r>
      <w:r>
        <w:rPr>
          <w:rFonts w:hint="eastAsia" w:ascii="宋体" w:hAnsi="宋体"/>
          <w:szCs w:val="21"/>
        </w:rPr>
        <w:t>《企业会计准则》或《小企业会计准则》</w:t>
      </w:r>
      <w:r>
        <w:rPr>
          <w:rFonts w:ascii="宋体" w:hAnsi="宋体"/>
          <w:szCs w:val="21"/>
        </w:rPr>
        <w:t>的企业，根据会计科目“应付职工薪酬”的本年贷方累计发生额填报；执行</w:t>
      </w:r>
      <w:r>
        <w:rPr>
          <w:rFonts w:hint="eastAsia" w:ascii="宋体" w:hAnsi="宋体"/>
          <w:szCs w:val="21"/>
        </w:rPr>
        <w:t>其他企业会计制度</w:t>
      </w:r>
      <w:r>
        <w:rPr>
          <w:rFonts w:ascii="宋体" w:hAnsi="宋体"/>
          <w:szCs w:val="21"/>
        </w:rPr>
        <w:t>的企业，应将本年上述职工薪酬包括的科目归并填报。</w:t>
      </w:r>
      <w:bookmarkStart w:id="37" w:name="_Toc307411715"/>
      <w:bookmarkStart w:id="38" w:name="_Toc307414764"/>
      <w:bookmarkStart w:id="39" w:name="_Toc313803276"/>
      <w:bookmarkStart w:id="40" w:name="_Toc313890229"/>
      <w:bookmarkStart w:id="41" w:name="_Toc313890872"/>
    </w:p>
    <w:p>
      <w:pPr>
        <w:pStyle w:val="67"/>
        <w:shd w:val="clear" w:color="auto" w:fill="FFFFFF"/>
        <w:spacing w:before="0" w:beforeAutospacing="0" w:after="0" w:afterAutospacing="0" w:line="400" w:lineRule="exact"/>
        <w:ind w:firstLine="482"/>
        <w:rPr>
          <w:rFonts w:cs="Times New Roman"/>
          <w:kern w:val="2"/>
          <w:sz w:val="21"/>
          <w:szCs w:val="21"/>
        </w:rPr>
      </w:pPr>
      <w:r>
        <w:rPr>
          <w:rFonts w:hint="eastAsia" w:ascii="黑体" w:eastAsia="黑体" w:cs="Times New Roman"/>
          <w:kern w:val="2"/>
          <w:sz w:val="21"/>
          <w:szCs w:val="21"/>
        </w:rPr>
        <w:t xml:space="preserve">应交增值税  </w:t>
      </w:r>
      <w:r>
        <w:rPr>
          <w:rFonts w:hint="eastAsia" w:cs="Times New Roman"/>
          <w:kern w:val="2"/>
          <w:sz w:val="21"/>
          <w:szCs w:val="21"/>
        </w:rPr>
        <w:t>指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pPr>
        <w:pStyle w:val="67"/>
        <w:shd w:val="clear" w:color="auto" w:fill="FFFFFF"/>
        <w:spacing w:before="0" w:beforeAutospacing="0" w:after="0" w:afterAutospacing="0" w:line="400" w:lineRule="exact"/>
        <w:ind w:firstLine="482"/>
        <w:rPr>
          <w:rFonts w:cs="Times New Roman"/>
          <w:kern w:val="2"/>
          <w:sz w:val="21"/>
          <w:szCs w:val="21"/>
        </w:rPr>
      </w:pPr>
      <w:r>
        <w:rPr>
          <w:rFonts w:hint="eastAsia" w:cs="Times New Roman"/>
          <w:kern w:val="2"/>
          <w:sz w:val="21"/>
          <w:szCs w:val="21"/>
        </w:rPr>
        <w:t>计算方法一：</w:t>
      </w:r>
    </w:p>
    <w:p>
      <w:pPr>
        <w:pStyle w:val="67"/>
        <w:shd w:val="clear" w:color="auto" w:fill="FFFFFF"/>
        <w:spacing w:before="0" w:beforeAutospacing="0" w:after="0" w:afterAutospacing="0" w:line="400" w:lineRule="exact"/>
        <w:ind w:firstLine="482"/>
        <w:rPr>
          <w:rFonts w:cs="Times New Roman"/>
          <w:kern w:val="2"/>
          <w:sz w:val="21"/>
          <w:szCs w:val="21"/>
        </w:rPr>
      </w:pPr>
      <w:r>
        <w:rPr>
          <w:rFonts w:hint="eastAsia" w:cs="Times New Roman"/>
          <w:kern w:val="2"/>
          <w:sz w:val="21"/>
          <w:szCs w:val="21"/>
        </w:rPr>
        <w:t>根据本期会计科目（1）“销项税额”“进项税额转出”“出口退税”年初至期末贷方累计发生额（一般与期末贷方余额相等，因为年初贷方余额为零），（2）“进项税额”年初至期末借方累计发生额，即期末借方余额-年初借方余额，（3）“出口抵减内销产品应纳税额”“减免税款”年初至期末借方累计发生额（一般与期末借方余额相等，因为年初借方余额为零），取值后按照下述公式计算填报：</w:t>
      </w:r>
    </w:p>
    <w:p>
      <w:pPr>
        <w:pStyle w:val="67"/>
        <w:shd w:val="clear" w:color="auto" w:fill="FFFFFF"/>
        <w:spacing w:before="0" w:beforeAutospacing="0" w:after="0" w:afterAutospacing="0" w:line="400" w:lineRule="exact"/>
        <w:ind w:left="1636" w:leftChars="229" w:hanging="1155" w:hangingChars="550"/>
        <w:rPr>
          <w:rFonts w:cs="Times New Roman"/>
          <w:kern w:val="2"/>
          <w:sz w:val="21"/>
          <w:szCs w:val="21"/>
        </w:rPr>
      </w:pPr>
      <w:r>
        <w:rPr>
          <w:rFonts w:hint="eastAsia" w:cs="Times New Roman"/>
          <w:kern w:val="2"/>
          <w:sz w:val="21"/>
          <w:szCs w:val="21"/>
        </w:rPr>
        <w:t>应交增值税=销项税额-（进项税额-进项税额转出）-出口抵减内销产品应纳税额-减免税款+出口退税</w:t>
      </w:r>
    </w:p>
    <w:p>
      <w:pPr>
        <w:pStyle w:val="67"/>
        <w:shd w:val="clear" w:color="auto" w:fill="FFFFFF"/>
        <w:spacing w:before="0" w:beforeAutospacing="0" w:after="0" w:afterAutospacing="0" w:line="400" w:lineRule="exact"/>
        <w:ind w:firstLine="482"/>
        <w:rPr>
          <w:rFonts w:cs="Times New Roman"/>
          <w:kern w:val="2"/>
          <w:sz w:val="21"/>
          <w:szCs w:val="21"/>
        </w:rPr>
      </w:pPr>
      <w:r>
        <w:rPr>
          <w:rFonts w:hint="eastAsia" w:cs="Times New Roman"/>
          <w:kern w:val="2"/>
          <w:sz w:val="21"/>
          <w:szCs w:val="21"/>
        </w:rPr>
        <w:t>计算方法二：</w:t>
      </w:r>
    </w:p>
    <w:p>
      <w:pPr>
        <w:pStyle w:val="67"/>
        <w:shd w:val="clear" w:color="auto" w:fill="FFFFFF"/>
        <w:spacing w:before="0" w:beforeAutospacing="0" w:after="0" w:afterAutospacing="0" w:line="400" w:lineRule="exact"/>
        <w:ind w:firstLine="482"/>
        <w:rPr>
          <w:rFonts w:cs="Times New Roman"/>
          <w:kern w:val="2"/>
          <w:sz w:val="21"/>
          <w:szCs w:val="21"/>
        </w:rPr>
      </w:pPr>
      <w:r>
        <w:rPr>
          <w:rFonts w:hint="eastAsia" w:cs="Times New Roman"/>
          <w:kern w:val="2"/>
          <w:sz w:val="21"/>
          <w:szCs w:val="21"/>
        </w:rPr>
        <w:t>根据本期《增值税纳税申报表（一般纳税人适用）》（以“国家税务总局公告2013年32号”版式为例）“销项税额”（第11栏）、“进项税额”（第12栏）、“进项税额转出”（第14栏）、“免、抵、退应退税额”（第15栏）、“简易计税办法计算的应纳税额”（第21栏）、“按简易计税办法计算的纳税检查应补缴税额”（第22栏）、“应纳税额减征额”（第23栏）栏目“一般货物、劳务和应税服务”列中“本年累计”列，按照下述公式计算填报：</w:t>
      </w:r>
    </w:p>
    <w:p>
      <w:pPr>
        <w:pStyle w:val="67"/>
        <w:shd w:val="clear" w:color="auto" w:fill="FFFFFF"/>
        <w:spacing w:before="0" w:beforeAutospacing="0" w:after="0" w:afterAutospacing="0" w:line="400" w:lineRule="exact"/>
        <w:ind w:left="1636" w:leftChars="229" w:hanging="1155" w:hangingChars="550"/>
        <w:rPr>
          <w:rFonts w:cs="Times New Roman"/>
          <w:kern w:val="2"/>
          <w:sz w:val="21"/>
          <w:szCs w:val="21"/>
        </w:rPr>
      </w:pPr>
      <w:r>
        <w:rPr>
          <w:rFonts w:hint="eastAsia" w:cs="Times New Roman"/>
          <w:kern w:val="2"/>
          <w:sz w:val="21"/>
          <w:szCs w:val="21"/>
        </w:rPr>
        <w:t>应交增值税=销项税额-（进项税额-进项税额转出-免、抵、退应退税额）+简易计税办法计算的应纳税额+按简易计税办法计算的纳税检查应补缴税额-应纳税额减征额</w:t>
      </w:r>
    </w:p>
    <w:p>
      <w:pPr>
        <w:pStyle w:val="67"/>
        <w:shd w:val="clear" w:color="auto" w:fill="FFFFFF"/>
        <w:spacing w:before="0" w:beforeAutospacing="0" w:after="0" w:afterAutospacing="0" w:line="400" w:lineRule="exact"/>
        <w:ind w:firstLine="482"/>
        <w:rPr>
          <w:rFonts w:cs="Times New Roman"/>
          <w:kern w:val="2"/>
          <w:sz w:val="21"/>
          <w:szCs w:val="21"/>
        </w:rPr>
      </w:pPr>
      <w:r>
        <w:rPr>
          <w:rFonts w:hint="eastAsia" w:cs="Times New Roman"/>
          <w:kern w:val="2"/>
          <w:sz w:val="21"/>
          <w:szCs w:val="21"/>
        </w:rPr>
        <w:t>计算方法说明及填报要求：</w:t>
      </w:r>
    </w:p>
    <w:p>
      <w:pPr>
        <w:pStyle w:val="67"/>
        <w:shd w:val="clear" w:color="auto" w:fill="FFFFFF"/>
        <w:spacing w:before="0" w:beforeAutospacing="0" w:after="0" w:afterAutospacing="0" w:line="400" w:lineRule="exact"/>
        <w:ind w:firstLine="315" w:firstLineChars="150"/>
        <w:rPr>
          <w:rFonts w:cs="Times New Roman"/>
          <w:kern w:val="2"/>
          <w:sz w:val="21"/>
          <w:szCs w:val="21"/>
        </w:rPr>
      </w:pPr>
      <w:r>
        <w:rPr>
          <w:rFonts w:hint="eastAsia" w:cs="Times New Roman"/>
          <w:kern w:val="2"/>
          <w:sz w:val="21"/>
          <w:szCs w:val="21"/>
        </w:rPr>
        <w:t>（1）计算公式均体现权责发生制，本期发生的进项税额全部参与计算，相当于不设置留抵，同时也不抵扣会计账簿或增值税纳税申报表中上年年末留抵的进项税额，公式计算结果可以为负数。</w:t>
      </w:r>
    </w:p>
    <w:p>
      <w:pPr>
        <w:pStyle w:val="67"/>
        <w:shd w:val="clear" w:color="auto" w:fill="FFFFFF"/>
        <w:spacing w:before="0" w:beforeAutospacing="0" w:after="0" w:afterAutospacing="0" w:line="400" w:lineRule="exact"/>
        <w:ind w:firstLine="315" w:firstLineChars="150"/>
        <w:rPr>
          <w:rFonts w:cs="Times New Roman"/>
          <w:kern w:val="2"/>
          <w:sz w:val="21"/>
          <w:szCs w:val="21"/>
        </w:rPr>
      </w:pPr>
      <w:r>
        <w:rPr>
          <w:rFonts w:hint="eastAsia" w:cs="Times New Roman"/>
          <w:kern w:val="2"/>
          <w:sz w:val="21"/>
          <w:szCs w:val="21"/>
        </w:rPr>
        <w:t>（2）按照公式计算本指标后，不应再加增值税减免税额，因为这部分价值不再形成企业缴纳义务。</w:t>
      </w:r>
    </w:p>
    <w:p>
      <w:pPr>
        <w:pStyle w:val="67"/>
        <w:shd w:val="clear" w:color="auto" w:fill="FFFFFF"/>
        <w:spacing w:before="0" w:beforeAutospacing="0" w:after="0" w:afterAutospacing="0" w:line="400" w:lineRule="exact"/>
        <w:ind w:firstLine="420" w:firstLineChars="150"/>
        <w:rPr>
          <w:sz w:val="28"/>
          <w:szCs w:val="28"/>
        </w:rPr>
      </w:pPr>
    </w:p>
    <w:p>
      <w:pPr>
        <w:adjustRightInd w:val="0"/>
        <w:snapToGrid w:val="0"/>
        <w:spacing w:line="400" w:lineRule="exact"/>
        <w:ind w:firstLine="3654" w:firstLineChars="1300"/>
        <w:rPr>
          <w:rFonts w:ascii="宋体" w:hAnsi="宋体"/>
          <w:b/>
          <w:sz w:val="28"/>
          <w:szCs w:val="28"/>
        </w:rPr>
      </w:pPr>
      <w:r>
        <w:rPr>
          <w:rFonts w:ascii="宋体" w:hAnsi="宋体"/>
          <w:b/>
          <w:sz w:val="28"/>
          <w:szCs w:val="28"/>
        </w:rPr>
        <w:t>行政单位财务状况</w:t>
      </w:r>
    </w:p>
    <w:p>
      <w:pPr>
        <w:pStyle w:val="7"/>
        <w:snapToGrid w:val="0"/>
        <w:spacing w:after="0" w:line="400" w:lineRule="exact"/>
        <w:ind w:firstLine="420" w:firstLineChars="200"/>
        <w:outlineLvl w:val="0"/>
        <w:rPr>
          <w:rFonts w:ascii="宋体" w:hAnsi="宋体"/>
          <w:szCs w:val="21"/>
        </w:rPr>
      </w:pPr>
      <w:r>
        <w:rPr>
          <w:rFonts w:hint="eastAsia" w:ascii="黑体" w:hAnsi="宋体" w:eastAsia="黑体"/>
          <w:szCs w:val="21"/>
        </w:rPr>
        <w:t xml:space="preserve">存货  </w:t>
      </w:r>
      <w:r>
        <w:rPr>
          <w:rFonts w:hint="eastAsia" w:ascii="宋体" w:hAnsi="宋体"/>
          <w:szCs w:val="21"/>
        </w:rPr>
        <w:t>指行政单位在开展业务活动及其他活动中为耗用而储存的各种物资，包括材料、燃料、包装物和低值易耗品及未达到固定资产标准的家具、用具、装具等的实际成本。</w:t>
      </w:r>
    </w:p>
    <w:p>
      <w:pPr>
        <w:snapToGrid w:val="0"/>
        <w:spacing w:line="400" w:lineRule="exact"/>
        <w:ind w:firstLine="399" w:firstLineChars="190"/>
        <w:rPr>
          <w:rFonts w:ascii="宋体" w:hAnsi="宋体"/>
          <w:szCs w:val="21"/>
        </w:rPr>
      </w:pPr>
      <w:r>
        <w:rPr>
          <w:rFonts w:hint="eastAsia" w:ascii="黑体" w:hAnsi="宋体" w:eastAsia="黑体"/>
          <w:szCs w:val="21"/>
        </w:rPr>
        <w:t xml:space="preserve">固定资产原价  </w:t>
      </w:r>
      <w:r>
        <w:rPr>
          <w:rFonts w:ascii="宋体" w:hAnsi="宋体"/>
          <w:szCs w:val="21"/>
        </w:rPr>
        <w:t>指使用年限在一年以上，单位价值在规定标准以上，并在使用过程中基本保持原来物质形态的资产。包括房屋和建筑物、专用设备、一般设备、文物和陈列品、图书、其他固定资产等。根据</w:t>
      </w:r>
      <w:r>
        <w:rPr>
          <w:rFonts w:hint="eastAsia" w:ascii="宋体" w:hAnsi="宋体"/>
          <w:szCs w:val="21"/>
        </w:rPr>
        <w:t>部门决算</w:t>
      </w:r>
      <w:r>
        <w:rPr>
          <w:rFonts w:ascii="宋体" w:hAnsi="宋体"/>
          <w:szCs w:val="21"/>
        </w:rPr>
        <w:t>“资产负债表”中固定资产</w:t>
      </w:r>
      <w:r>
        <w:rPr>
          <w:rFonts w:hint="eastAsia" w:ascii="宋体" w:hAnsi="宋体"/>
          <w:szCs w:val="21"/>
        </w:rPr>
        <w:t>有关</w:t>
      </w:r>
      <w:r>
        <w:rPr>
          <w:rFonts w:ascii="宋体" w:hAnsi="宋体"/>
          <w:szCs w:val="21"/>
        </w:rPr>
        <w:t>项目的</w:t>
      </w:r>
      <w:r>
        <w:rPr>
          <w:rFonts w:hint="eastAsia" w:ascii="宋体" w:hAnsi="宋体"/>
          <w:szCs w:val="21"/>
        </w:rPr>
        <w:t>年</w:t>
      </w:r>
      <w:r>
        <w:rPr>
          <w:rFonts w:ascii="宋体" w:hAnsi="宋体"/>
          <w:szCs w:val="21"/>
        </w:rPr>
        <w:t>末数填报。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资产总计  </w:t>
      </w:r>
      <w:r>
        <w:rPr>
          <w:rFonts w:hint="eastAsia" w:ascii="宋体" w:hAnsi="宋体"/>
          <w:szCs w:val="21"/>
        </w:rPr>
        <w:t>指单位占有或者使用的，能以货币计量的经济资源。占有是指单位对经济资源拥有法律上的占有权。由单位直接支配，供社会公众使用的政府储备物资、公共基础设施等，也属于单位核算的资产。单位的资产包括流动资产、固定资产、在建工程、无形资产等。</w:t>
      </w:r>
      <w:r>
        <w:rPr>
          <w:rFonts w:hint="eastAsia"/>
          <w:szCs w:val="21"/>
        </w:rPr>
        <w:t>根据</w:t>
      </w:r>
      <w:r>
        <w:rPr>
          <w:szCs w:val="21"/>
        </w:rPr>
        <w:t>部门决算“</w:t>
      </w:r>
      <w:r>
        <w:rPr>
          <w:rFonts w:hint="eastAsia"/>
          <w:szCs w:val="21"/>
        </w:rPr>
        <w:t>资产</w:t>
      </w:r>
      <w:r>
        <w:rPr>
          <w:szCs w:val="21"/>
        </w:rPr>
        <w:t>负债表”</w:t>
      </w:r>
      <w:r>
        <w:rPr>
          <w:rFonts w:hint="eastAsia"/>
          <w:szCs w:val="21"/>
        </w:rPr>
        <w:t>中</w:t>
      </w:r>
      <w:r>
        <w:rPr>
          <w:szCs w:val="21"/>
        </w:rPr>
        <w:t>资产总计</w:t>
      </w:r>
      <w:r>
        <w:rPr>
          <w:rFonts w:hint="eastAsia"/>
          <w:szCs w:val="21"/>
        </w:rPr>
        <w:t>有</w:t>
      </w:r>
      <w:r>
        <w:rPr>
          <w:szCs w:val="21"/>
        </w:rPr>
        <w:t>关项目的</w:t>
      </w:r>
      <w:r>
        <w:rPr>
          <w:rFonts w:hint="eastAsia"/>
          <w:szCs w:val="21"/>
        </w:rPr>
        <w:t>年末</w:t>
      </w:r>
      <w:r>
        <w:rPr>
          <w:szCs w:val="21"/>
        </w:rPr>
        <w:t>数填报。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负债合计  </w:t>
      </w:r>
      <w:r>
        <w:rPr>
          <w:rFonts w:hint="eastAsia" w:ascii="宋体" w:hAnsi="宋体"/>
          <w:szCs w:val="21"/>
        </w:rPr>
        <w:t>指单位所承担的能以货币计量，需要以资产等偿还的债务。单位的负债按照流动性，分为流动负债和非流动负债。</w:t>
      </w:r>
      <w:r>
        <w:rPr>
          <w:rFonts w:hint="eastAsia"/>
          <w:szCs w:val="21"/>
        </w:rPr>
        <w:t>根据</w:t>
      </w:r>
      <w:r>
        <w:rPr>
          <w:szCs w:val="21"/>
        </w:rPr>
        <w:t>部门决算“</w:t>
      </w:r>
      <w:r>
        <w:rPr>
          <w:rFonts w:hint="eastAsia"/>
          <w:szCs w:val="21"/>
        </w:rPr>
        <w:t>资产</w:t>
      </w:r>
      <w:r>
        <w:rPr>
          <w:szCs w:val="21"/>
        </w:rPr>
        <w:t>负债表”</w:t>
      </w:r>
      <w:r>
        <w:rPr>
          <w:rFonts w:hint="eastAsia"/>
          <w:szCs w:val="21"/>
        </w:rPr>
        <w:t>中负债</w:t>
      </w:r>
      <w:r>
        <w:rPr>
          <w:szCs w:val="21"/>
        </w:rPr>
        <w:t>合计</w:t>
      </w:r>
      <w:r>
        <w:rPr>
          <w:rFonts w:hint="eastAsia"/>
          <w:szCs w:val="21"/>
        </w:rPr>
        <w:t>有</w:t>
      </w:r>
      <w:r>
        <w:rPr>
          <w:szCs w:val="21"/>
        </w:rPr>
        <w:t>关项目的</w:t>
      </w:r>
      <w:r>
        <w:rPr>
          <w:rFonts w:hint="eastAsia"/>
          <w:szCs w:val="21"/>
        </w:rPr>
        <w:t>年末</w:t>
      </w:r>
      <w:r>
        <w:rPr>
          <w:szCs w:val="21"/>
        </w:rPr>
        <w:t>数填报。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本年收入合计  </w:t>
      </w:r>
      <w:r>
        <w:rPr>
          <w:rFonts w:ascii="宋体" w:hAnsi="宋体"/>
          <w:szCs w:val="21"/>
        </w:rPr>
        <w:t>指</w:t>
      </w:r>
      <w:r>
        <w:rPr>
          <w:rFonts w:hint="eastAsia" w:ascii="宋体" w:hAnsi="宋体"/>
          <w:szCs w:val="21"/>
        </w:rPr>
        <w:t>行政</w:t>
      </w:r>
      <w:r>
        <w:rPr>
          <w:rFonts w:ascii="宋体" w:hAnsi="宋体"/>
          <w:szCs w:val="21"/>
        </w:rPr>
        <w:t>单位本年度取得的全部收入，包括财政拨款、上级补助收入、附属单位缴款和其他收入。根据部门决算“收入支出决算总表”中对应项目填报。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本年支出合计  </w:t>
      </w:r>
      <w:r>
        <w:rPr>
          <w:rFonts w:ascii="宋体" w:hAnsi="宋体"/>
          <w:szCs w:val="21"/>
        </w:rPr>
        <w:t>指</w:t>
      </w:r>
      <w:r>
        <w:rPr>
          <w:rFonts w:hint="eastAsia" w:ascii="宋体" w:hAnsi="宋体"/>
          <w:szCs w:val="21"/>
        </w:rPr>
        <w:t>行政</w:t>
      </w:r>
      <w:r>
        <w:rPr>
          <w:rFonts w:ascii="宋体" w:hAnsi="宋体"/>
          <w:szCs w:val="21"/>
        </w:rPr>
        <w:t>单位本年度全部支出。根据部门决算“收入支出决算总表”中对应项目填报。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工资福利支出  </w:t>
      </w:r>
      <w:r>
        <w:rPr>
          <w:rFonts w:ascii="宋体" w:hAnsi="宋体"/>
          <w:szCs w:val="21"/>
        </w:rPr>
        <w:t>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商品和服务支出  </w:t>
      </w:r>
      <w:r>
        <w:rPr>
          <w:rFonts w:ascii="宋体" w:hAnsi="宋体"/>
          <w:szCs w:val="21"/>
        </w:rPr>
        <w:t>指单位购买商品和劳务的支出</w:t>
      </w:r>
      <w:r>
        <w:rPr>
          <w:rFonts w:hint="eastAsia" w:ascii="宋体" w:hAnsi="宋体"/>
          <w:szCs w:val="21"/>
        </w:rPr>
        <w:t>（不包括用于购置固定资产的支出、战略性和应急储备支出）</w:t>
      </w:r>
      <w:r>
        <w:rPr>
          <w:rFonts w:ascii="宋体" w:hAnsi="宋体"/>
          <w:szCs w:val="21"/>
        </w:rPr>
        <w:t>。具体包括办公费、印刷费、</w:t>
      </w:r>
      <w:r>
        <w:rPr>
          <w:rFonts w:hint="eastAsia" w:ascii="宋体" w:hAnsi="宋体"/>
          <w:szCs w:val="21"/>
        </w:rPr>
        <w:t>咨询费、手续费、</w:t>
      </w:r>
      <w:r>
        <w:rPr>
          <w:rFonts w:ascii="宋体" w:hAnsi="宋体"/>
          <w:szCs w:val="21"/>
        </w:rPr>
        <w:t>水费、电费、邮电费、取暖费、物业管理费、差旅费、</w:t>
      </w:r>
      <w:r>
        <w:rPr>
          <w:rFonts w:hint="eastAsia" w:ascii="宋体" w:hAnsi="宋体"/>
          <w:szCs w:val="21"/>
        </w:rPr>
        <w:t>因公出国（境）费用、</w:t>
      </w:r>
      <w:r>
        <w:rPr>
          <w:rFonts w:ascii="宋体" w:hAnsi="宋体"/>
          <w:szCs w:val="21"/>
        </w:rPr>
        <w:t>维修（护）费、租赁费、会议费、培训费、公务接待费、专用材料费</w:t>
      </w:r>
      <w:r>
        <w:rPr>
          <w:rFonts w:hint="eastAsia" w:ascii="宋体" w:hAnsi="宋体"/>
          <w:szCs w:val="21"/>
        </w:rPr>
        <w:t>、装备购置费、专用燃料费、</w:t>
      </w:r>
      <w:r>
        <w:rPr>
          <w:rFonts w:ascii="宋体" w:hAnsi="宋体"/>
          <w:szCs w:val="21"/>
        </w:rPr>
        <w:t>劳务费、</w:t>
      </w:r>
      <w:r>
        <w:rPr>
          <w:rFonts w:hint="eastAsia" w:ascii="宋体" w:hAnsi="宋体"/>
          <w:szCs w:val="21"/>
        </w:rPr>
        <w:t>委托业务费、工会经费、</w:t>
      </w:r>
      <w:r>
        <w:rPr>
          <w:rFonts w:ascii="宋体" w:hAnsi="宋体"/>
          <w:szCs w:val="21"/>
        </w:rPr>
        <w:t>福利费、</w:t>
      </w:r>
      <w:r>
        <w:rPr>
          <w:rFonts w:hint="eastAsia" w:ascii="宋体" w:hAnsi="宋体"/>
          <w:szCs w:val="21"/>
        </w:rPr>
        <w:t>公务用车运行维护费、其他交通费用</w:t>
      </w:r>
      <w:r>
        <w:rPr>
          <w:rStyle w:val="22"/>
          <w:rFonts w:ascii="宋体" w:hAnsi="宋体"/>
          <w:szCs w:val="21"/>
        </w:rPr>
        <w:footnoteReference w:id="0"/>
      </w:r>
      <w:r>
        <w:rPr>
          <w:rFonts w:ascii="宋体" w:hAnsi="宋体"/>
          <w:szCs w:val="21"/>
        </w:rPr>
        <w:t>及上述科目未包括的商品和服务支出。根据部门决算“支出决算明细表”中对应项目填报。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取暖费  </w:t>
      </w:r>
      <w:r>
        <w:rPr>
          <w:rFonts w:ascii="宋体" w:hAnsi="宋体"/>
          <w:szCs w:val="21"/>
        </w:rPr>
        <w:t>指单位取暖用燃料费、热力费、炉具购置费、锅炉临时工的工资、节煤奖以及由单位支付的在职职工和离退休人员宿舍取暖费等。根据部门决算“支出决算明细表”中的“商品和服务支出”的对应项目填报。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差旅费  </w:t>
      </w:r>
      <w:r>
        <w:rPr>
          <w:rFonts w:ascii="宋体" w:hAnsi="宋体"/>
          <w:szCs w:val="21"/>
        </w:rPr>
        <w:t>指单位工作人员出差的住宿费、旅费、伙食补助费、杂费，干部及大中专学生调遣费，调干家属旅费补助等。根据部门决算“支出决算明细表”中的“商品和服务支出”的对应项目填报。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因公出国（境）费用  </w:t>
      </w:r>
      <w:r>
        <w:rPr>
          <w:rFonts w:ascii="宋体" w:hAnsi="宋体"/>
          <w:szCs w:val="21"/>
        </w:rPr>
        <w:t>指单位工作人员公务出国（境）的住宿费、旅费、伙食补助费、杂费、培训费等支出。根据部门决算“支出决算明细表”中的“商品和服务支出”的对应项目填报。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劳务费  </w:t>
      </w:r>
      <w:r>
        <w:rPr>
          <w:rFonts w:ascii="宋体" w:hAnsi="宋体"/>
          <w:szCs w:val="21"/>
        </w:rPr>
        <w:t>指支付给单位和个人的劳务费用，如临时聘用人员、钟点工工资，稿费、翻译费，评审费等。根据部门决算“支出决算明细表”中的“商品和服务支出”的对应项目填报。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工会经费  </w:t>
      </w:r>
      <w:r>
        <w:rPr>
          <w:rFonts w:ascii="宋体" w:hAnsi="宋体"/>
          <w:szCs w:val="21"/>
        </w:rPr>
        <w:t>指单位按规定提取的工会经费。根据部门决算“支出决算明细表”中的“商品和服务支出”的对应项目填报。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福利费  </w:t>
      </w:r>
      <w:r>
        <w:rPr>
          <w:rFonts w:ascii="宋体" w:hAnsi="宋体"/>
          <w:szCs w:val="21"/>
        </w:rPr>
        <w:t>指单位按规定提取的福利费。根据部门决算“支出决算明细表”中的“商品和服务支出”的对应项目填报。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对个人和家庭的补助  </w:t>
      </w:r>
      <w:r>
        <w:rPr>
          <w:rFonts w:ascii="宋体" w:hAnsi="宋体"/>
          <w:szCs w:val="21"/>
        </w:rPr>
        <w:t>指</w:t>
      </w:r>
      <w:r>
        <w:rPr>
          <w:rFonts w:hint="eastAsia" w:ascii="宋体" w:hAnsi="宋体"/>
          <w:szCs w:val="21"/>
        </w:rPr>
        <w:t>政府</w:t>
      </w:r>
      <w:r>
        <w:rPr>
          <w:rFonts w:ascii="宋体" w:hAnsi="宋体"/>
          <w:szCs w:val="21"/>
        </w:rPr>
        <w:t>用于对个人和家庭的补助支出。包括离休费、退休费、退职（役）费、抚恤金、生活补助、</w:t>
      </w:r>
      <w:r>
        <w:rPr>
          <w:rFonts w:hint="eastAsia" w:ascii="宋体" w:hAnsi="宋体"/>
          <w:szCs w:val="21"/>
        </w:rPr>
        <w:t>救济费、</w:t>
      </w:r>
      <w:r>
        <w:rPr>
          <w:rFonts w:ascii="宋体" w:hAnsi="宋体"/>
          <w:szCs w:val="21"/>
        </w:rPr>
        <w:t>医疗费、助学金、</w:t>
      </w:r>
      <w:r>
        <w:rPr>
          <w:rFonts w:hint="eastAsia" w:ascii="宋体" w:hAnsi="宋体"/>
          <w:szCs w:val="21"/>
        </w:rPr>
        <w:t>奖励金、生产补贴、</w:t>
      </w:r>
      <w:r>
        <w:rPr>
          <w:rFonts w:ascii="宋体" w:hAnsi="宋体"/>
          <w:szCs w:val="21"/>
        </w:rPr>
        <w:t>住房公积金、提租补贴、购房补贴和其他未包括在上述科目的对个人和家庭的补助等。根据部门决算“支出决算明细表”中对应项目填报。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抚恤金  </w:t>
      </w:r>
      <w:r>
        <w:rPr>
          <w:rFonts w:ascii="宋体" w:hAnsi="宋体"/>
          <w:szCs w:val="21"/>
        </w:rPr>
        <w:t>指按规定开支的烈士遗属、牺牲病故人员遗属的一次性和定期抚恤金，伤残人员的抚恤金，离退休人员等其他人员的各项抚恤金。根据部门决算“支出决算明细表”中的“对个人和家庭的补助”的对应项目填报。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生活补助  </w:t>
      </w:r>
      <w:r>
        <w:rPr>
          <w:rFonts w:ascii="宋体" w:hAnsi="宋体"/>
          <w:szCs w:val="21"/>
        </w:rPr>
        <w:t>指按规定开支的优抚对象定期定量生活补助费，退役军人生活补助费，</w:t>
      </w:r>
      <w:r>
        <w:rPr>
          <w:rFonts w:hint="eastAsia" w:ascii="宋体" w:hAnsi="宋体"/>
          <w:szCs w:val="21"/>
        </w:rPr>
        <w:t>行政单位</w:t>
      </w:r>
      <w:r>
        <w:rPr>
          <w:rFonts w:ascii="宋体" w:hAnsi="宋体"/>
          <w:szCs w:val="21"/>
        </w:rPr>
        <w:t>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救济费  </w:t>
      </w:r>
      <w:r>
        <w:rPr>
          <w:rFonts w:ascii="宋体" w:hAnsi="宋体"/>
          <w:szCs w:val="21"/>
        </w:rPr>
        <w:t>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助学金  </w:t>
      </w:r>
      <w:r>
        <w:rPr>
          <w:rFonts w:ascii="宋体" w:hAnsi="宋体"/>
          <w:szCs w:val="21"/>
        </w:rPr>
        <w:t>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奖励金  </w:t>
      </w:r>
      <w:r>
        <w:rPr>
          <w:rFonts w:ascii="宋体" w:hAnsi="宋体"/>
          <w:szCs w:val="21"/>
        </w:rPr>
        <w:t>指</w:t>
      </w:r>
      <w:r>
        <w:rPr>
          <w:rFonts w:hint="eastAsia" w:ascii="宋体" w:hAnsi="宋体"/>
          <w:szCs w:val="21"/>
        </w:rPr>
        <w:t>政府各部门的</w:t>
      </w:r>
      <w:r>
        <w:rPr>
          <w:rFonts w:ascii="宋体" w:hAnsi="宋体"/>
          <w:szCs w:val="21"/>
        </w:rPr>
        <w:t>奖励支出，</w:t>
      </w:r>
      <w:r>
        <w:rPr>
          <w:rFonts w:hint="eastAsia" w:ascii="宋体" w:hAnsi="宋体"/>
          <w:szCs w:val="21"/>
        </w:rPr>
        <w:t>如</w:t>
      </w:r>
      <w:r>
        <w:rPr>
          <w:rFonts w:ascii="宋体" w:hAnsi="宋体"/>
          <w:szCs w:val="21"/>
        </w:rPr>
        <w:t>对</w:t>
      </w:r>
      <w:r>
        <w:rPr>
          <w:rFonts w:hint="eastAsia" w:ascii="宋体" w:hAnsi="宋体"/>
          <w:szCs w:val="21"/>
        </w:rPr>
        <w:t>个体私营经济的奖励、</w:t>
      </w:r>
      <w:r>
        <w:rPr>
          <w:rFonts w:ascii="宋体" w:hAnsi="宋体"/>
          <w:szCs w:val="21"/>
        </w:rPr>
        <w:t>计划生育目标责任奖励、独生子女父母奖励等。根据部门决算“支出决算明细表”中的“对个人和家庭的补助”的对应项目填报。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生产补贴  </w:t>
      </w:r>
      <w:r>
        <w:rPr>
          <w:rFonts w:ascii="宋体" w:hAnsi="宋体"/>
          <w:szCs w:val="21"/>
        </w:rPr>
        <w:t>指各种对个人发放的生产补贴支出</w:t>
      </w:r>
      <w:r>
        <w:rPr>
          <w:rFonts w:hint="eastAsia" w:ascii="宋体" w:hAnsi="宋体"/>
          <w:szCs w:val="21"/>
        </w:rPr>
        <w:t>。如国家对农民发放的农机具购置补贴、良种补贴、粮食直补以及发放给残疾人的</w:t>
      </w:r>
      <w:r>
        <w:rPr>
          <w:rFonts w:ascii="宋体" w:hAnsi="宋体"/>
          <w:szCs w:val="21"/>
        </w:rPr>
        <w:t>各种生产</w:t>
      </w:r>
      <w:r>
        <w:rPr>
          <w:rFonts w:hint="eastAsia" w:ascii="宋体" w:hAnsi="宋体"/>
          <w:szCs w:val="21"/>
        </w:rPr>
        <w:t>经营</w:t>
      </w:r>
      <w:r>
        <w:rPr>
          <w:rFonts w:ascii="宋体" w:hAnsi="宋体"/>
          <w:szCs w:val="21"/>
        </w:rPr>
        <w:t>补贴。根据部门决算“支出决算明细表”中的“对个人和家庭的补助”的对应项目填报。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p>
    <w:bookmarkEnd w:id="37"/>
    <w:bookmarkEnd w:id="38"/>
    <w:bookmarkEnd w:id="39"/>
    <w:bookmarkEnd w:id="40"/>
    <w:bookmarkEnd w:id="41"/>
    <w:p>
      <w:pPr>
        <w:adjustRightInd w:val="0"/>
        <w:snapToGrid w:val="0"/>
        <w:spacing w:line="400" w:lineRule="exact"/>
        <w:ind w:firstLine="3514" w:firstLineChars="1250"/>
        <w:rPr>
          <w:rFonts w:ascii="宋体" w:hAnsi="宋体"/>
          <w:b/>
          <w:sz w:val="28"/>
          <w:szCs w:val="28"/>
        </w:rPr>
      </w:pPr>
      <w:r>
        <w:rPr>
          <w:rFonts w:ascii="宋体" w:hAnsi="宋体"/>
          <w:b/>
          <w:sz w:val="28"/>
          <w:szCs w:val="28"/>
        </w:rPr>
        <w:t>事业单位财务状况</w:t>
      </w:r>
    </w:p>
    <w:p>
      <w:pPr>
        <w:pStyle w:val="7"/>
        <w:snapToGrid w:val="0"/>
        <w:spacing w:after="0" w:line="400" w:lineRule="exact"/>
        <w:ind w:firstLine="420" w:firstLineChars="200"/>
        <w:outlineLvl w:val="0"/>
        <w:rPr>
          <w:rFonts w:ascii="宋体" w:hAnsi="宋体"/>
          <w:szCs w:val="21"/>
        </w:rPr>
      </w:pPr>
      <w:r>
        <w:rPr>
          <w:rFonts w:hint="eastAsia" w:ascii="黑体" w:hAnsi="宋体" w:eastAsia="黑体"/>
          <w:szCs w:val="21"/>
        </w:rPr>
        <w:t xml:space="preserve">存货  </w:t>
      </w:r>
      <w:r>
        <w:rPr>
          <w:rFonts w:hint="eastAsia" w:ascii="宋体" w:hAnsi="宋体"/>
          <w:szCs w:val="21"/>
        </w:rPr>
        <w:t>指事业单位在开展业务活动及其他活动中为耗用而储存的资产，包括材料、燃料、包装物和低值易耗品等。</w:t>
      </w:r>
    </w:p>
    <w:p>
      <w:pPr>
        <w:snapToGrid w:val="0"/>
        <w:spacing w:line="400" w:lineRule="exact"/>
        <w:ind w:firstLine="399" w:firstLineChars="190"/>
        <w:rPr>
          <w:rFonts w:ascii="宋体" w:hAnsi="宋体"/>
          <w:szCs w:val="21"/>
        </w:rPr>
      </w:pPr>
      <w:r>
        <w:rPr>
          <w:rFonts w:hint="eastAsia" w:ascii="黑体" w:hAnsi="宋体" w:eastAsia="黑体"/>
          <w:szCs w:val="21"/>
        </w:rPr>
        <w:t xml:space="preserve">固定资产原价  </w:t>
      </w:r>
      <w:r>
        <w:rPr>
          <w:rFonts w:ascii="宋体" w:hAnsi="宋体"/>
          <w:szCs w:val="21"/>
        </w:rPr>
        <w:t>指使用年限在一年以上，单位价值在规定标准以上，并在使用过程中基本保持原来物质形态的资产。包括房屋和建筑物、专用设备、一般设备、文物和陈列品、图书、其他固定资产等。根据</w:t>
      </w:r>
      <w:r>
        <w:rPr>
          <w:rFonts w:hint="eastAsia" w:ascii="宋体" w:hAnsi="宋体"/>
          <w:szCs w:val="21"/>
        </w:rPr>
        <w:t>部门决算</w:t>
      </w:r>
      <w:r>
        <w:rPr>
          <w:rFonts w:ascii="宋体" w:hAnsi="宋体"/>
          <w:szCs w:val="21"/>
        </w:rPr>
        <w:t>“资产负债表”中固定资产</w:t>
      </w:r>
      <w:r>
        <w:rPr>
          <w:rFonts w:hint="eastAsia" w:ascii="宋体" w:hAnsi="宋体"/>
          <w:szCs w:val="21"/>
        </w:rPr>
        <w:t>有关</w:t>
      </w:r>
      <w:r>
        <w:rPr>
          <w:rFonts w:ascii="宋体" w:hAnsi="宋体"/>
          <w:szCs w:val="21"/>
        </w:rPr>
        <w:t>项目的</w:t>
      </w:r>
      <w:r>
        <w:rPr>
          <w:rFonts w:hint="eastAsia" w:ascii="宋体" w:hAnsi="宋体"/>
          <w:szCs w:val="21"/>
        </w:rPr>
        <w:t>年</w:t>
      </w:r>
      <w:r>
        <w:rPr>
          <w:rFonts w:ascii="宋体" w:hAnsi="宋体"/>
          <w:szCs w:val="21"/>
        </w:rPr>
        <w:t>末数填报。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资产总计  </w:t>
      </w:r>
      <w:r>
        <w:rPr>
          <w:rFonts w:hint="eastAsia" w:ascii="宋体" w:hAnsi="宋体"/>
          <w:szCs w:val="21"/>
        </w:rPr>
        <w:t>指单位占有或者使用的，能以货币计量的经济资源。</w:t>
      </w:r>
      <w:r>
        <w:rPr>
          <w:rFonts w:hint="eastAsia"/>
          <w:szCs w:val="21"/>
        </w:rPr>
        <w:t>占有是指单位对经济资源拥有法律上的占有权。由单位直接支配，供社会公众使用的政府储备物资、公共基础设施等，也属于单位核算的资产。单位的资产包括流动资产、固定资产、在建工程、无形资产等。根据</w:t>
      </w:r>
      <w:r>
        <w:rPr>
          <w:szCs w:val="21"/>
        </w:rPr>
        <w:t>部门决算“</w:t>
      </w:r>
      <w:r>
        <w:rPr>
          <w:rFonts w:hint="eastAsia"/>
          <w:szCs w:val="21"/>
        </w:rPr>
        <w:t>资产</w:t>
      </w:r>
      <w:r>
        <w:rPr>
          <w:szCs w:val="21"/>
        </w:rPr>
        <w:t>负债表”</w:t>
      </w:r>
      <w:r>
        <w:rPr>
          <w:rFonts w:hint="eastAsia"/>
          <w:szCs w:val="21"/>
        </w:rPr>
        <w:t>中</w:t>
      </w:r>
      <w:r>
        <w:rPr>
          <w:szCs w:val="21"/>
        </w:rPr>
        <w:t>资产总计</w:t>
      </w:r>
      <w:r>
        <w:rPr>
          <w:rFonts w:hint="eastAsia"/>
          <w:szCs w:val="21"/>
        </w:rPr>
        <w:t>有</w:t>
      </w:r>
      <w:r>
        <w:rPr>
          <w:szCs w:val="21"/>
        </w:rPr>
        <w:t>关项目的</w:t>
      </w:r>
      <w:r>
        <w:rPr>
          <w:rFonts w:hint="eastAsia"/>
          <w:szCs w:val="21"/>
        </w:rPr>
        <w:t>年末</w:t>
      </w:r>
      <w:r>
        <w:rPr>
          <w:szCs w:val="21"/>
        </w:rPr>
        <w:t>数填报。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负债合计  </w:t>
      </w:r>
      <w:r>
        <w:rPr>
          <w:rFonts w:hint="eastAsia" w:ascii="宋体" w:hAnsi="宋体"/>
          <w:szCs w:val="21"/>
        </w:rPr>
        <w:t>指单位所承担的能以货币计量，需要以资产等偿还的债务。单位的负债按照流动性，分为流动负债和非流动负债。</w:t>
      </w:r>
      <w:r>
        <w:rPr>
          <w:rFonts w:hint="eastAsia"/>
          <w:szCs w:val="21"/>
        </w:rPr>
        <w:t>根据</w:t>
      </w:r>
      <w:r>
        <w:rPr>
          <w:szCs w:val="21"/>
        </w:rPr>
        <w:t>部门决算“</w:t>
      </w:r>
      <w:r>
        <w:rPr>
          <w:rFonts w:hint="eastAsia"/>
          <w:szCs w:val="21"/>
        </w:rPr>
        <w:t>资产</w:t>
      </w:r>
      <w:r>
        <w:rPr>
          <w:szCs w:val="21"/>
        </w:rPr>
        <w:t>负债表”</w:t>
      </w:r>
      <w:r>
        <w:rPr>
          <w:rFonts w:hint="eastAsia"/>
          <w:szCs w:val="21"/>
        </w:rPr>
        <w:t>中负债</w:t>
      </w:r>
      <w:r>
        <w:rPr>
          <w:szCs w:val="21"/>
        </w:rPr>
        <w:t>合计</w:t>
      </w:r>
      <w:r>
        <w:rPr>
          <w:rFonts w:hint="eastAsia"/>
          <w:szCs w:val="21"/>
        </w:rPr>
        <w:t>有</w:t>
      </w:r>
      <w:r>
        <w:rPr>
          <w:szCs w:val="21"/>
        </w:rPr>
        <w:t>关项目的</w:t>
      </w:r>
      <w:r>
        <w:rPr>
          <w:rFonts w:hint="eastAsia"/>
          <w:szCs w:val="21"/>
        </w:rPr>
        <w:t>年末</w:t>
      </w:r>
      <w:r>
        <w:rPr>
          <w:szCs w:val="21"/>
        </w:rPr>
        <w:t>数填报。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本年收入合计  </w:t>
      </w:r>
      <w:r>
        <w:rPr>
          <w:rFonts w:ascii="宋体" w:hAnsi="宋体"/>
          <w:szCs w:val="21"/>
        </w:rPr>
        <w:t>指</w:t>
      </w:r>
      <w:r>
        <w:rPr>
          <w:rFonts w:hint="eastAsia" w:ascii="宋体" w:hAnsi="宋体"/>
          <w:szCs w:val="21"/>
        </w:rPr>
        <w:t>事业</w:t>
      </w:r>
      <w:r>
        <w:rPr>
          <w:rFonts w:ascii="宋体" w:hAnsi="宋体"/>
          <w:szCs w:val="21"/>
        </w:rPr>
        <w:t>单位本年度取得的全部收入，包括财政拨款、上级补助收入、事业收入、经营收入、附属单位缴款和其他收入。根据部门决算“收入支出决算总表”中对应项目填报。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事业收入  </w:t>
      </w:r>
      <w:r>
        <w:rPr>
          <w:rFonts w:ascii="宋体" w:hAnsi="宋体"/>
          <w:szCs w:val="21"/>
        </w:rPr>
        <w:t>指</w:t>
      </w:r>
      <w:r>
        <w:rPr>
          <w:rFonts w:hint="eastAsia" w:ascii="宋体" w:hAnsi="宋体"/>
          <w:szCs w:val="21"/>
        </w:rPr>
        <w:t>事业</w:t>
      </w:r>
      <w:r>
        <w:rPr>
          <w:rFonts w:ascii="宋体" w:hAnsi="宋体"/>
          <w:szCs w:val="21"/>
        </w:rPr>
        <w:t>单位开展专业业务活动及辅助活动取得的收入。根据部门决算“收入支出决算总表”中对应项目填报。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经营收入  </w:t>
      </w:r>
      <w:r>
        <w:rPr>
          <w:rFonts w:ascii="宋体" w:hAnsi="宋体"/>
          <w:szCs w:val="21"/>
        </w:rPr>
        <w:t>指</w:t>
      </w:r>
      <w:r>
        <w:rPr>
          <w:rFonts w:hint="eastAsia" w:ascii="宋体" w:hAnsi="宋体"/>
          <w:szCs w:val="21"/>
        </w:rPr>
        <w:t>事业</w:t>
      </w:r>
      <w:r>
        <w:rPr>
          <w:rFonts w:ascii="宋体" w:hAnsi="宋体"/>
          <w:szCs w:val="21"/>
        </w:rPr>
        <w:t>单位在专业业务活动及辅助活动之外开展非独立核算经营活动取得的收入。根据部门决算“收入支出决算总表”中对应项目填报。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本年支出合计  </w:t>
      </w:r>
      <w:r>
        <w:rPr>
          <w:rFonts w:ascii="宋体" w:hAnsi="宋体"/>
          <w:szCs w:val="21"/>
        </w:rPr>
        <w:t>指</w:t>
      </w:r>
      <w:r>
        <w:rPr>
          <w:rFonts w:hint="eastAsia" w:ascii="宋体" w:hAnsi="宋体"/>
          <w:szCs w:val="21"/>
        </w:rPr>
        <w:t>事业</w:t>
      </w:r>
      <w:r>
        <w:rPr>
          <w:rFonts w:ascii="宋体" w:hAnsi="宋体"/>
          <w:szCs w:val="21"/>
        </w:rPr>
        <w:t>单位本年度全部支出。根据部门决算“收入支出决算总表”中对应项目填报。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工资福利支出  </w:t>
      </w:r>
      <w:r>
        <w:rPr>
          <w:rFonts w:ascii="宋体" w:hAnsi="宋体"/>
          <w:szCs w:val="21"/>
        </w:rPr>
        <w:t>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商品和服务支出  </w:t>
      </w:r>
      <w:r>
        <w:rPr>
          <w:rFonts w:ascii="宋体" w:hAnsi="宋体"/>
          <w:szCs w:val="21"/>
        </w:rPr>
        <w:t>指单位购买商品和劳务的支出</w:t>
      </w:r>
      <w:r>
        <w:rPr>
          <w:rFonts w:hint="eastAsia" w:ascii="宋体" w:hAnsi="宋体"/>
          <w:szCs w:val="21"/>
        </w:rPr>
        <w:t>（不包括用于购置固定资产的支出、战略性和应急储备支出）</w:t>
      </w:r>
      <w:r>
        <w:rPr>
          <w:rFonts w:ascii="宋体" w:hAnsi="宋体"/>
          <w:szCs w:val="21"/>
        </w:rPr>
        <w:t>。具体包括办公费、印刷费、</w:t>
      </w:r>
      <w:r>
        <w:rPr>
          <w:rFonts w:hint="eastAsia" w:ascii="宋体" w:hAnsi="宋体"/>
          <w:szCs w:val="21"/>
        </w:rPr>
        <w:t>咨询费、手续费、</w:t>
      </w:r>
      <w:r>
        <w:rPr>
          <w:rFonts w:ascii="宋体" w:hAnsi="宋体"/>
          <w:szCs w:val="21"/>
        </w:rPr>
        <w:t>水费、电费、邮电费、取暖费、物业管理费、差旅费、</w:t>
      </w:r>
      <w:r>
        <w:rPr>
          <w:rFonts w:hint="eastAsia" w:ascii="宋体" w:hAnsi="宋体"/>
          <w:szCs w:val="21"/>
        </w:rPr>
        <w:t>因公出国（境）费用、</w:t>
      </w:r>
      <w:r>
        <w:rPr>
          <w:rFonts w:ascii="宋体" w:hAnsi="宋体"/>
          <w:szCs w:val="21"/>
        </w:rPr>
        <w:t>维修（护）费、租赁费、会议费、培训费、公务接待费、专用材料费</w:t>
      </w:r>
      <w:r>
        <w:rPr>
          <w:rFonts w:hint="eastAsia" w:ascii="宋体" w:hAnsi="宋体"/>
          <w:szCs w:val="21"/>
        </w:rPr>
        <w:t>、装备购置费、专用燃料费、</w:t>
      </w:r>
      <w:r>
        <w:rPr>
          <w:rFonts w:ascii="宋体" w:hAnsi="宋体"/>
          <w:szCs w:val="21"/>
        </w:rPr>
        <w:t>劳务费、</w:t>
      </w:r>
      <w:r>
        <w:rPr>
          <w:rFonts w:hint="eastAsia" w:ascii="宋体" w:hAnsi="宋体"/>
          <w:szCs w:val="21"/>
        </w:rPr>
        <w:t>委托业务费、工会经费、</w:t>
      </w:r>
      <w:r>
        <w:rPr>
          <w:rFonts w:ascii="宋体" w:hAnsi="宋体"/>
          <w:szCs w:val="21"/>
        </w:rPr>
        <w:t>福利费、</w:t>
      </w:r>
      <w:r>
        <w:rPr>
          <w:rFonts w:hint="eastAsia" w:ascii="宋体" w:hAnsi="宋体"/>
          <w:szCs w:val="21"/>
        </w:rPr>
        <w:t>公务用车运行维护费、其他交通费用</w:t>
      </w:r>
      <w:r>
        <w:rPr>
          <w:rStyle w:val="22"/>
          <w:rFonts w:ascii="宋体" w:hAnsi="宋体"/>
          <w:szCs w:val="21"/>
        </w:rPr>
        <w:footnoteReference w:id="1"/>
      </w:r>
      <w:r>
        <w:rPr>
          <w:rFonts w:ascii="宋体" w:hAnsi="宋体"/>
          <w:szCs w:val="21"/>
        </w:rPr>
        <w:t>及上述科目未包括的商品和服务支出。根据部门决算“支出决算明细表”中对应项目填报。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取暖费  </w:t>
      </w:r>
      <w:r>
        <w:rPr>
          <w:rFonts w:ascii="宋体" w:hAnsi="宋体"/>
          <w:szCs w:val="21"/>
        </w:rPr>
        <w:t>指单位取暖用燃料费、热力费、炉具购置费、锅炉临时工的工资、节煤奖以及由单位支付的在职职工和离退休人员宿舍取暖费等。根据部门决算“支出决算明细表”中的“商品和服务支出”的对应项目填报。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差旅费  </w:t>
      </w:r>
      <w:r>
        <w:rPr>
          <w:rFonts w:ascii="宋体" w:hAnsi="宋体"/>
          <w:szCs w:val="21"/>
        </w:rPr>
        <w:t>指单位工作人员出差的住宿费、旅费、伙食补助费、杂费，干部及大中专学生调遣费，调干家属旅费补助等。根据部门决算“支出决算明细表”中的“商品和服务支出”的对应项目填报。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因公出国（境）费用  </w:t>
      </w:r>
      <w:r>
        <w:rPr>
          <w:rFonts w:ascii="宋体" w:hAnsi="宋体"/>
          <w:szCs w:val="21"/>
        </w:rPr>
        <w:t>指单位工作人员公务出国（境）的住宿费、旅费、伙食补助费、杂费、培训费等支出。根据部门决算“支出决算明细表”中的“商品和服务支出”的对应项目填报。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劳务费  </w:t>
      </w:r>
      <w:r>
        <w:rPr>
          <w:rFonts w:ascii="宋体" w:hAnsi="宋体"/>
          <w:szCs w:val="21"/>
        </w:rPr>
        <w:t>指支付给单位和个人的劳务费用，如临时聘用人员、钟点工工资，稿费、翻译费，评审费等。根据部门决算“支出决算明细表”中的“商品和服务支出”的对应项目填报。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工会经费  </w:t>
      </w:r>
      <w:r>
        <w:rPr>
          <w:rFonts w:ascii="宋体" w:hAnsi="宋体"/>
          <w:szCs w:val="21"/>
        </w:rPr>
        <w:t>指单位按规定提取的工会经费。根据部门决算“支出决算明细表”中的“商品和服务支出”的对应项目填报。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福利费  </w:t>
      </w:r>
      <w:r>
        <w:rPr>
          <w:rFonts w:ascii="宋体" w:hAnsi="宋体"/>
          <w:szCs w:val="21"/>
        </w:rPr>
        <w:t>指单位按规定提取的福利费。根据部门决算“支出决算明细表”中的“商品和服务支出”的对应项目填报。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对个人和家庭的补助  </w:t>
      </w:r>
      <w:r>
        <w:rPr>
          <w:rFonts w:ascii="宋体" w:hAnsi="宋体"/>
          <w:szCs w:val="21"/>
        </w:rPr>
        <w:t>指</w:t>
      </w:r>
      <w:r>
        <w:rPr>
          <w:rFonts w:hint="eastAsia" w:ascii="宋体" w:hAnsi="宋体"/>
          <w:szCs w:val="21"/>
        </w:rPr>
        <w:t>政府</w:t>
      </w:r>
      <w:r>
        <w:rPr>
          <w:rFonts w:ascii="宋体" w:hAnsi="宋体"/>
          <w:szCs w:val="21"/>
        </w:rPr>
        <w:t>用于对个人和家庭的补助支出。包括离休费、退休费、退职（役）费、抚恤金、生活补助、</w:t>
      </w:r>
      <w:r>
        <w:rPr>
          <w:rFonts w:hint="eastAsia" w:ascii="宋体" w:hAnsi="宋体"/>
          <w:szCs w:val="21"/>
        </w:rPr>
        <w:t>救济费、</w:t>
      </w:r>
      <w:r>
        <w:rPr>
          <w:rFonts w:ascii="宋体" w:hAnsi="宋体"/>
          <w:szCs w:val="21"/>
        </w:rPr>
        <w:t>医疗费、助学金、</w:t>
      </w:r>
      <w:r>
        <w:rPr>
          <w:rFonts w:hint="eastAsia" w:ascii="宋体" w:hAnsi="宋体"/>
          <w:szCs w:val="21"/>
        </w:rPr>
        <w:t>奖励金、生产补贴、</w:t>
      </w:r>
      <w:r>
        <w:rPr>
          <w:rFonts w:ascii="宋体" w:hAnsi="宋体"/>
          <w:szCs w:val="21"/>
        </w:rPr>
        <w:t>住房公积金、提租补贴、购房补贴和其他未包括在上述科目的对个人和家庭的补助等。根据部门决算“支出决算明细表”中对应项目填报。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抚恤金  </w:t>
      </w:r>
      <w:r>
        <w:rPr>
          <w:rFonts w:ascii="宋体" w:hAnsi="宋体"/>
          <w:szCs w:val="21"/>
        </w:rPr>
        <w:t>指按规定开支的烈士遗属、牺牲病故人员遗属的一次性和定期抚恤金，伤残人员的抚恤金，离退休人员等其他人员的各项抚恤金。根据部门决算“支出决算明细表”中的“对个人和家庭的补助”的对应项目填报。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生活补助  </w:t>
      </w:r>
      <w:r>
        <w:rPr>
          <w:rFonts w:ascii="宋体" w:hAnsi="宋体"/>
          <w:szCs w:val="21"/>
        </w:rPr>
        <w:t>指按规定开支的优抚对象定期定量生活补助费，退役军人生活补助费，</w:t>
      </w:r>
      <w:r>
        <w:rPr>
          <w:rFonts w:hint="eastAsia" w:ascii="宋体" w:hAnsi="宋体"/>
          <w:szCs w:val="21"/>
        </w:rPr>
        <w:t>事业单位</w:t>
      </w:r>
      <w:r>
        <w:rPr>
          <w:rFonts w:ascii="宋体" w:hAnsi="宋体"/>
          <w:szCs w:val="21"/>
        </w:rPr>
        <w:t>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救济费  </w:t>
      </w:r>
      <w:r>
        <w:rPr>
          <w:rFonts w:ascii="宋体" w:hAnsi="宋体"/>
          <w:szCs w:val="21"/>
        </w:rPr>
        <w:t>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助学金  </w:t>
      </w:r>
      <w:r>
        <w:rPr>
          <w:rFonts w:ascii="宋体" w:hAnsi="宋体"/>
          <w:szCs w:val="21"/>
        </w:rPr>
        <w:t>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奖励金  </w:t>
      </w:r>
      <w:r>
        <w:rPr>
          <w:rFonts w:ascii="宋体" w:hAnsi="宋体"/>
          <w:szCs w:val="21"/>
        </w:rPr>
        <w:t>指</w:t>
      </w:r>
      <w:r>
        <w:rPr>
          <w:rFonts w:hint="eastAsia" w:ascii="宋体" w:hAnsi="宋体"/>
          <w:szCs w:val="21"/>
        </w:rPr>
        <w:t>政府各部门的</w:t>
      </w:r>
      <w:r>
        <w:rPr>
          <w:rFonts w:ascii="宋体" w:hAnsi="宋体"/>
          <w:szCs w:val="21"/>
        </w:rPr>
        <w:t>奖励支出，</w:t>
      </w:r>
      <w:r>
        <w:rPr>
          <w:rFonts w:hint="eastAsia" w:ascii="宋体" w:hAnsi="宋体"/>
          <w:szCs w:val="21"/>
        </w:rPr>
        <w:t>如</w:t>
      </w:r>
      <w:r>
        <w:rPr>
          <w:rFonts w:ascii="宋体" w:hAnsi="宋体"/>
          <w:szCs w:val="21"/>
        </w:rPr>
        <w:t>对</w:t>
      </w:r>
      <w:r>
        <w:rPr>
          <w:rFonts w:hint="eastAsia" w:ascii="宋体" w:hAnsi="宋体"/>
          <w:szCs w:val="21"/>
        </w:rPr>
        <w:t>个体私营经济的奖励、</w:t>
      </w:r>
      <w:r>
        <w:rPr>
          <w:rFonts w:ascii="宋体" w:hAnsi="宋体"/>
          <w:szCs w:val="21"/>
        </w:rPr>
        <w:t>计划生育目标责任奖励、独生子女父母奖励等。根据部门决算“支出决算明细表”中的“对个人和家庭的补助”的对应项目填报。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生产补贴  </w:t>
      </w:r>
      <w:r>
        <w:rPr>
          <w:rFonts w:ascii="宋体" w:hAnsi="宋体"/>
          <w:szCs w:val="21"/>
        </w:rPr>
        <w:t>指各种对个人发放的生产补贴支出</w:t>
      </w:r>
      <w:r>
        <w:rPr>
          <w:rFonts w:hint="eastAsia" w:ascii="宋体" w:hAnsi="宋体"/>
          <w:szCs w:val="21"/>
        </w:rPr>
        <w:t>。如国家对农民发放的农机具购置补贴、良种补贴、粮食直补以及发放给残疾人的</w:t>
      </w:r>
      <w:r>
        <w:rPr>
          <w:rFonts w:ascii="宋体" w:hAnsi="宋体"/>
          <w:szCs w:val="21"/>
        </w:rPr>
        <w:t>各种生产</w:t>
      </w:r>
      <w:r>
        <w:rPr>
          <w:rFonts w:hint="eastAsia" w:ascii="宋体" w:hAnsi="宋体"/>
          <w:szCs w:val="21"/>
        </w:rPr>
        <w:t>经营</w:t>
      </w:r>
      <w:r>
        <w:rPr>
          <w:rFonts w:ascii="宋体" w:hAnsi="宋体"/>
          <w:szCs w:val="21"/>
        </w:rPr>
        <w:t>补贴。根据部门决算“支出决算明细表”中的“对个人和家庭的补助”的对应项目填报。</w:t>
      </w:r>
    </w:p>
    <w:p>
      <w:pPr>
        <w:snapToGrid w:val="0"/>
        <w:spacing w:line="400" w:lineRule="exact"/>
        <w:ind w:firstLine="420" w:firstLineChars="200"/>
        <w:textAlignment w:val="center"/>
        <w:rPr>
          <w:rFonts w:ascii="宋体" w:hAnsi="宋体"/>
          <w:szCs w:val="21"/>
        </w:rPr>
      </w:pPr>
      <w:r>
        <w:rPr>
          <w:rFonts w:hint="eastAsia" w:ascii="黑体" w:hAnsi="宋体" w:eastAsia="黑体"/>
          <w:szCs w:val="21"/>
        </w:rPr>
        <w:t xml:space="preserve">经营支出  </w:t>
      </w:r>
      <w:r>
        <w:rPr>
          <w:rFonts w:ascii="宋体" w:hAnsi="宋体"/>
          <w:szCs w:val="21"/>
        </w:rPr>
        <w:t>指</w:t>
      </w:r>
      <w:r>
        <w:rPr>
          <w:rFonts w:hint="eastAsia" w:ascii="宋体" w:hAnsi="宋体"/>
          <w:szCs w:val="21"/>
        </w:rPr>
        <w:t>事业</w:t>
      </w:r>
      <w:r>
        <w:rPr>
          <w:rFonts w:ascii="宋体" w:hAnsi="宋体"/>
          <w:szCs w:val="21"/>
        </w:rPr>
        <w:t>单位在专业业务活动及辅助活动之外开展非独立核算经营活动发生的</w:t>
      </w:r>
      <w:r>
        <w:rPr>
          <w:rFonts w:hint="eastAsia" w:ascii="宋体" w:hAnsi="宋体"/>
          <w:szCs w:val="21"/>
        </w:rPr>
        <w:t>各项</w:t>
      </w:r>
      <w:r>
        <w:rPr>
          <w:rFonts w:ascii="宋体" w:hAnsi="宋体"/>
          <w:szCs w:val="21"/>
        </w:rPr>
        <w:t>支出。根据部门决算“收入支出决算总表”中对应项目填报。</w:t>
      </w:r>
    </w:p>
    <w:p>
      <w:pPr>
        <w:snapToGrid w:val="0"/>
        <w:spacing w:line="400" w:lineRule="exact"/>
        <w:ind w:firstLine="399" w:firstLineChars="190"/>
        <w:rPr>
          <w:rFonts w:ascii="宋体" w:hAnsi="宋体"/>
          <w:szCs w:val="21"/>
        </w:rPr>
      </w:pPr>
      <w:r>
        <w:rPr>
          <w:rFonts w:hint="eastAsia" w:ascii="黑体" w:hAnsi="宋体" w:eastAsia="黑体"/>
          <w:szCs w:val="21"/>
        </w:rPr>
        <w:t xml:space="preserve">销售税金  </w:t>
      </w:r>
      <w:r>
        <w:rPr>
          <w:rFonts w:ascii="宋体" w:hAnsi="宋体"/>
          <w:szCs w:val="21"/>
        </w:rPr>
        <w:t>指</w:t>
      </w:r>
      <w:r>
        <w:rPr>
          <w:rFonts w:hint="eastAsia" w:ascii="宋体" w:hAnsi="宋体"/>
          <w:szCs w:val="21"/>
        </w:rPr>
        <w:t>事业</w:t>
      </w:r>
      <w:r>
        <w:rPr>
          <w:rFonts w:ascii="宋体" w:hAnsi="宋体"/>
          <w:szCs w:val="21"/>
        </w:rPr>
        <w:t>单位提供劳务或销售产品应负担的税金及附加，包括营业税、城市维护建设税、资源税和教育费附加。根据实际情况计算填报。</w:t>
      </w:r>
    </w:p>
    <w:p>
      <w:pPr>
        <w:pStyle w:val="16"/>
        <w:pageBreakBefore/>
        <w:rPr>
          <w:rFonts w:ascii="黑体" w:hAnsi="黑体" w:eastAsia="黑体"/>
          <w:b w:val="0"/>
        </w:rPr>
      </w:pPr>
      <w:r>
        <w:rPr>
          <w:rFonts w:ascii="黑体" w:hAnsi="黑体" w:eastAsia="黑体"/>
          <w:b w:val="0"/>
        </w:rPr>
        <w:t>五、附录</w:t>
      </w:r>
    </w:p>
    <w:p>
      <w:pPr>
        <w:snapToGrid w:val="0"/>
        <w:spacing w:after="312" w:afterLines="100" w:line="400" w:lineRule="exact"/>
        <w:jc w:val="center"/>
        <w:rPr>
          <w:rFonts w:ascii="宋体" w:hAnsi="宋体"/>
          <w:kern w:val="0"/>
          <w:sz w:val="32"/>
          <w:szCs w:val="32"/>
        </w:rPr>
      </w:pPr>
      <w:r>
        <w:rPr>
          <w:rFonts w:ascii="宋体" w:hAnsi="宋体"/>
          <w:kern w:val="0"/>
          <w:sz w:val="32"/>
          <w:szCs w:val="32"/>
        </w:rPr>
        <w:t>（一）企业登记注册类型与代码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270" w:firstLineChars="150"/>
        <w:jc w:val="left"/>
        <w:rPr>
          <w:rFonts w:ascii="宋体" w:hAnsi="宋体"/>
          <w:b/>
          <w:bCs/>
          <w:kern w:val="0"/>
          <w:sz w:val="18"/>
          <w:szCs w:val="18"/>
        </w:rPr>
      </w:pPr>
      <w:r>
        <w:rPr>
          <w:rFonts w:hint="eastAsia" w:ascii="微软雅黑" w:hAnsi="微软雅黑" w:eastAsia="微软雅黑" w:cs="宋体"/>
          <w:color w:val="333333"/>
          <w:kern w:val="0"/>
          <w:sz w:val="18"/>
          <w:szCs w:val="18"/>
        </w:rPr>
        <w:t>——</w:t>
      </w:r>
      <w:r>
        <w:rPr>
          <w:rFonts w:ascii="宋体" w:hAnsi="宋体"/>
          <w:bCs/>
          <w:kern w:val="0"/>
          <w:sz w:val="18"/>
          <w:szCs w:val="18"/>
        </w:rPr>
        <w:t>来源</w:t>
      </w:r>
      <w:r>
        <w:rPr>
          <w:rFonts w:hint="eastAsia" w:ascii="宋体" w:hAnsi="宋体"/>
          <w:bCs/>
          <w:kern w:val="0"/>
          <w:sz w:val="18"/>
          <w:szCs w:val="18"/>
        </w:rPr>
        <w:t>于</w:t>
      </w:r>
      <w:r>
        <w:rPr>
          <w:rFonts w:ascii="宋体" w:hAnsi="宋体"/>
          <w:bCs/>
          <w:kern w:val="0"/>
          <w:sz w:val="18"/>
          <w:szCs w:val="18"/>
        </w:rPr>
        <w:t>国家统计局《关于划分企业登记注册类型的规定》（国统字</w:t>
      </w:r>
      <w:r>
        <w:rPr>
          <w:rFonts w:hint="eastAsia" w:ascii="宋体" w:hAnsi="宋体"/>
          <w:bCs/>
          <w:kern w:val="0"/>
          <w:sz w:val="18"/>
          <w:szCs w:val="18"/>
        </w:rPr>
        <w:t>〔</w:t>
      </w:r>
      <w:r>
        <w:rPr>
          <w:rFonts w:ascii="宋体" w:hAnsi="宋体"/>
          <w:bCs/>
          <w:kern w:val="0"/>
          <w:sz w:val="18"/>
          <w:szCs w:val="18"/>
        </w:rPr>
        <w:t>2011</w:t>
      </w:r>
      <w:r>
        <w:rPr>
          <w:rFonts w:hint="eastAsia" w:ascii="宋体" w:hAnsi="宋体"/>
          <w:bCs/>
          <w:kern w:val="0"/>
          <w:sz w:val="18"/>
          <w:szCs w:val="18"/>
        </w:rPr>
        <w:t>〕</w:t>
      </w:r>
      <w:r>
        <w:rPr>
          <w:rFonts w:ascii="宋体" w:hAnsi="宋体"/>
          <w:bCs/>
          <w:kern w:val="0"/>
          <w:sz w:val="18"/>
          <w:szCs w:val="18"/>
        </w:rPr>
        <w:t>86号）</w:t>
      </w:r>
    </w:p>
    <w:tbl>
      <w:tblPr>
        <w:tblStyle w:val="17"/>
        <w:tblW w:w="5000"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930"/>
        <w:gridCol w:w="3600"/>
        <w:gridCol w:w="1030"/>
        <w:gridCol w:w="390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pct"/>
          </w:tcPr>
          <w:p>
            <w:pPr>
              <w:snapToGrid w:val="0"/>
              <w:spacing w:line="280" w:lineRule="exact"/>
              <w:jc w:val="center"/>
              <w:rPr>
                <w:rFonts w:ascii="宋体" w:hAnsi="宋体"/>
                <w:bCs/>
                <w:sz w:val="18"/>
                <w:szCs w:val="18"/>
              </w:rPr>
            </w:pPr>
            <w:r>
              <w:rPr>
                <w:rFonts w:ascii="宋体" w:hAnsi="宋体"/>
                <w:bCs/>
                <w:sz w:val="18"/>
                <w:szCs w:val="18"/>
              </w:rPr>
              <w:t>代码</w:t>
            </w:r>
          </w:p>
        </w:tc>
        <w:tc>
          <w:tcPr>
            <w:tcW w:w="1901" w:type="pct"/>
          </w:tcPr>
          <w:p>
            <w:pPr>
              <w:snapToGrid w:val="0"/>
              <w:spacing w:line="280" w:lineRule="exact"/>
              <w:jc w:val="center"/>
              <w:rPr>
                <w:rFonts w:ascii="宋体" w:hAnsi="宋体"/>
                <w:bCs/>
                <w:sz w:val="18"/>
                <w:szCs w:val="18"/>
              </w:rPr>
            </w:pPr>
            <w:r>
              <w:rPr>
                <w:rFonts w:ascii="宋体" w:hAnsi="宋体"/>
                <w:bCs/>
                <w:sz w:val="18"/>
                <w:szCs w:val="18"/>
              </w:rPr>
              <w:t>企业登记注册类型</w:t>
            </w:r>
          </w:p>
        </w:tc>
        <w:tc>
          <w:tcPr>
            <w:tcW w:w="544" w:type="pct"/>
          </w:tcPr>
          <w:p>
            <w:pPr>
              <w:snapToGrid w:val="0"/>
              <w:spacing w:line="280" w:lineRule="exact"/>
              <w:jc w:val="center"/>
              <w:rPr>
                <w:rFonts w:ascii="宋体" w:hAnsi="宋体"/>
                <w:bCs/>
                <w:sz w:val="18"/>
                <w:szCs w:val="18"/>
              </w:rPr>
            </w:pPr>
            <w:r>
              <w:rPr>
                <w:rFonts w:ascii="宋体" w:hAnsi="宋体"/>
                <w:bCs/>
                <w:sz w:val="18"/>
                <w:szCs w:val="18"/>
              </w:rPr>
              <w:t>代码</w:t>
            </w:r>
          </w:p>
        </w:tc>
        <w:tc>
          <w:tcPr>
            <w:tcW w:w="2064" w:type="pct"/>
          </w:tcPr>
          <w:p>
            <w:pPr>
              <w:snapToGrid w:val="0"/>
              <w:spacing w:line="280" w:lineRule="exact"/>
              <w:jc w:val="center"/>
              <w:rPr>
                <w:rFonts w:ascii="宋体" w:hAnsi="宋体"/>
                <w:bCs/>
                <w:sz w:val="18"/>
                <w:szCs w:val="18"/>
              </w:rPr>
            </w:pPr>
            <w:r>
              <w:rPr>
                <w:rFonts w:ascii="宋体" w:hAnsi="宋体"/>
                <w:bCs/>
                <w:sz w:val="18"/>
                <w:szCs w:val="18"/>
              </w:rPr>
              <w:t>企业登记注册类型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pct"/>
            <w:vAlign w:val="center"/>
          </w:tcPr>
          <w:p>
            <w:pPr>
              <w:widowControl/>
              <w:adjustRightInd w:val="0"/>
              <w:snapToGrid w:val="0"/>
              <w:spacing w:line="280" w:lineRule="exact"/>
              <w:jc w:val="center"/>
              <w:rPr>
                <w:rFonts w:ascii="宋体" w:hAnsi="宋体"/>
                <w:b/>
                <w:kern w:val="0"/>
                <w:sz w:val="18"/>
                <w:szCs w:val="18"/>
              </w:rPr>
            </w:pPr>
            <w:r>
              <w:rPr>
                <w:rFonts w:ascii="宋体" w:hAnsi="宋体"/>
                <w:b/>
                <w:kern w:val="0"/>
                <w:sz w:val="18"/>
                <w:szCs w:val="18"/>
              </w:rPr>
              <w:t>100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110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120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130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140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141</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142</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143</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149</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150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151</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159</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160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170</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171</w:t>
            </w:r>
          </w:p>
          <w:p>
            <w:pPr>
              <w:widowControl/>
              <w:adjustRightInd w:val="0"/>
              <w:snapToGrid w:val="0"/>
              <w:spacing w:line="280" w:lineRule="exact"/>
              <w:jc w:val="center"/>
              <w:rPr>
                <w:rFonts w:ascii="宋体" w:hAnsi="宋体"/>
                <w:kern w:val="0"/>
                <w:sz w:val="18"/>
                <w:szCs w:val="18"/>
              </w:rPr>
            </w:pPr>
            <w:r>
              <w:rPr>
                <w:rFonts w:ascii="宋体" w:hAnsi="宋体"/>
                <w:kern w:val="0"/>
                <w:sz w:val="18"/>
                <w:szCs w:val="18"/>
              </w:rPr>
              <w:t>172</w:t>
            </w:r>
          </w:p>
        </w:tc>
        <w:tc>
          <w:tcPr>
            <w:tcW w:w="1901" w:type="pct"/>
          </w:tcPr>
          <w:p>
            <w:pPr>
              <w:widowControl/>
              <w:snapToGrid w:val="0"/>
              <w:spacing w:line="280" w:lineRule="exact"/>
              <w:jc w:val="left"/>
              <w:rPr>
                <w:rFonts w:ascii="宋体" w:hAnsi="宋体"/>
                <w:b/>
                <w:kern w:val="0"/>
                <w:sz w:val="18"/>
                <w:szCs w:val="18"/>
              </w:rPr>
            </w:pPr>
            <w:r>
              <w:rPr>
                <w:rFonts w:ascii="宋体" w:hAnsi="宋体"/>
                <w:b/>
                <w:kern w:val="0"/>
                <w:sz w:val="18"/>
                <w:szCs w:val="18"/>
              </w:rPr>
              <w:t>内资企业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国有企业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集体企业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股份合作企业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联营企业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国有联营企业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集体联营企业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国有与集体联营企业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其他联营企业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有限责任公司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国有独资公司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其他有限责任公司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股份有限公司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私营企业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私营独资企业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私营合伙企业</w:t>
            </w:r>
          </w:p>
        </w:tc>
        <w:tc>
          <w:tcPr>
            <w:tcW w:w="544" w:type="pct"/>
            <w:vAlign w:val="center"/>
          </w:tcPr>
          <w:p>
            <w:pPr>
              <w:widowControl/>
              <w:snapToGrid w:val="0"/>
              <w:spacing w:line="280" w:lineRule="exact"/>
              <w:jc w:val="center"/>
              <w:rPr>
                <w:rFonts w:ascii="宋体" w:hAnsi="宋体"/>
                <w:kern w:val="0"/>
                <w:sz w:val="18"/>
                <w:szCs w:val="18"/>
              </w:rPr>
            </w:pPr>
            <w:r>
              <w:rPr>
                <w:rFonts w:ascii="宋体" w:hAnsi="宋体"/>
                <w:kern w:val="0"/>
                <w:sz w:val="18"/>
                <w:szCs w:val="18"/>
              </w:rPr>
              <w:t>173</w:t>
            </w:r>
          </w:p>
          <w:p>
            <w:pPr>
              <w:widowControl/>
              <w:snapToGrid w:val="0"/>
              <w:spacing w:line="280" w:lineRule="exact"/>
              <w:jc w:val="center"/>
              <w:rPr>
                <w:rFonts w:ascii="宋体" w:hAnsi="宋体"/>
                <w:kern w:val="0"/>
                <w:sz w:val="18"/>
                <w:szCs w:val="18"/>
              </w:rPr>
            </w:pPr>
            <w:r>
              <w:rPr>
                <w:rFonts w:ascii="宋体" w:hAnsi="宋体"/>
                <w:kern w:val="0"/>
                <w:sz w:val="18"/>
                <w:szCs w:val="18"/>
              </w:rPr>
              <w:t>174</w:t>
            </w:r>
          </w:p>
          <w:p>
            <w:pPr>
              <w:widowControl/>
              <w:snapToGrid w:val="0"/>
              <w:spacing w:line="280" w:lineRule="exact"/>
              <w:jc w:val="center"/>
              <w:rPr>
                <w:rFonts w:ascii="宋体" w:hAnsi="宋体"/>
                <w:kern w:val="0"/>
                <w:sz w:val="18"/>
                <w:szCs w:val="18"/>
              </w:rPr>
            </w:pPr>
            <w:r>
              <w:rPr>
                <w:rFonts w:ascii="宋体" w:hAnsi="宋体"/>
                <w:kern w:val="0"/>
                <w:sz w:val="18"/>
                <w:szCs w:val="18"/>
              </w:rPr>
              <w:t>190</w:t>
            </w:r>
          </w:p>
          <w:p>
            <w:pPr>
              <w:widowControl/>
              <w:snapToGrid w:val="0"/>
              <w:spacing w:line="280" w:lineRule="exact"/>
              <w:jc w:val="center"/>
              <w:rPr>
                <w:rFonts w:ascii="宋体" w:hAnsi="宋体"/>
                <w:b/>
                <w:kern w:val="0"/>
                <w:sz w:val="18"/>
                <w:szCs w:val="18"/>
              </w:rPr>
            </w:pPr>
            <w:r>
              <w:rPr>
                <w:rFonts w:ascii="宋体" w:hAnsi="宋体"/>
                <w:b/>
                <w:kern w:val="0"/>
                <w:sz w:val="18"/>
                <w:szCs w:val="18"/>
              </w:rPr>
              <w:t>200</w:t>
            </w:r>
          </w:p>
          <w:p>
            <w:pPr>
              <w:widowControl/>
              <w:snapToGrid w:val="0"/>
              <w:spacing w:line="280" w:lineRule="exact"/>
              <w:jc w:val="center"/>
              <w:rPr>
                <w:rFonts w:ascii="宋体" w:hAnsi="宋体"/>
                <w:kern w:val="0"/>
                <w:sz w:val="18"/>
                <w:szCs w:val="18"/>
              </w:rPr>
            </w:pPr>
            <w:r>
              <w:rPr>
                <w:rFonts w:ascii="宋体" w:hAnsi="宋体"/>
                <w:kern w:val="0"/>
                <w:sz w:val="18"/>
                <w:szCs w:val="18"/>
              </w:rPr>
              <w:t>210</w:t>
            </w:r>
          </w:p>
          <w:p>
            <w:pPr>
              <w:widowControl/>
              <w:snapToGrid w:val="0"/>
              <w:spacing w:line="280" w:lineRule="exact"/>
              <w:jc w:val="center"/>
              <w:rPr>
                <w:rFonts w:ascii="宋体" w:hAnsi="宋体"/>
                <w:kern w:val="0"/>
                <w:sz w:val="18"/>
                <w:szCs w:val="18"/>
              </w:rPr>
            </w:pPr>
            <w:r>
              <w:rPr>
                <w:rFonts w:ascii="宋体" w:hAnsi="宋体"/>
                <w:kern w:val="0"/>
                <w:sz w:val="18"/>
                <w:szCs w:val="18"/>
              </w:rPr>
              <w:t>220</w:t>
            </w:r>
          </w:p>
          <w:p>
            <w:pPr>
              <w:widowControl/>
              <w:snapToGrid w:val="0"/>
              <w:spacing w:line="280" w:lineRule="exact"/>
              <w:jc w:val="center"/>
              <w:rPr>
                <w:rFonts w:ascii="宋体" w:hAnsi="宋体"/>
                <w:kern w:val="0"/>
                <w:sz w:val="18"/>
                <w:szCs w:val="18"/>
              </w:rPr>
            </w:pPr>
            <w:r>
              <w:rPr>
                <w:rFonts w:ascii="宋体" w:hAnsi="宋体"/>
                <w:kern w:val="0"/>
                <w:sz w:val="18"/>
                <w:szCs w:val="18"/>
              </w:rPr>
              <w:t>230</w:t>
            </w:r>
          </w:p>
          <w:p>
            <w:pPr>
              <w:widowControl/>
              <w:snapToGrid w:val="0"/>
              <w:spacing w:line="280" w:lineRule="exact"/>
              <w:jc w:val="center"/>
              <w:rPr>
                <w:rFonts w:ascii="宋体" w:hAnsi="宋体"/>
                <w:kern w:val="0"/>
                <w:sz w:val="18"/>
                <w:szCs w:val="18"/>
              </w:rPr>
            </w:pPr>
            <w:r>
              <w:rPr>
                <w:rFonts w:ascii="宋体" w:hAnsi="宋体"/>
                <w:kern w:val="0"/>
                <w:sz w:val="18"/>
                <w:szCs w:val="18"/>
              </w:rPr>
              <w:t>240</w:t>
            </w:r>
          </w:p>
          <w:p>
            <w:pPr>
              <w:widowControl/>
              <w:snapToGrid w:val="0"/>
              <w:spacing w:line="280" w:lineRule="exact"/>
              <w:jc w:val="center"/>
              <w:rPr>
                <w:rFonts w:ascii="宋体" w:hAnsi="宋体"/>
                <w:kern w:val="0"/>
                <w:sz w:val="18"/>
                <w:szCs w:val="18"/>
              </w:rPr>
            </w:pPr>
            <w:r>
              <w:rPr>
                <w:rFonts w:ascii="宋体" w:hAnsi="宋体"/>
                <w:kern w:val="0"/>
                <w:sz w:val="18"/>
                <w:szCs w:val="18"/>
              </w:rPr>
              <w:t>290</w:t>
            </w:r>
          </w:p>
          <w:p>
            <w:pPr>
              <w:widowControl/>
              <w:snapToGrid w:val="0"/>
              <w:spacing w:line="280" w:lineRule="exact"/>
              <w:jc w:val="center"/>
              <w:rPr>
                <w:rFonts w:ascii="宋体" w:hAnsi="宋体"/>
                <w:b/>
                <w:kern w:val="0"/>
                <w:sz w:val="18"/>
                <w:szCs w:val="18"/>
              </w:rPr>
            </w:pPr>
            <w:r>
              <w:rPr>
                <w:rFonts w:ascii="宋体" w:hAnsi="宋体"/>
                <w:b/>
                <w:kern w:val="0"/>
                <w:sz w:val="18"/>
                <w:szCs w:val="18"/>
              </w:rPr>
              <w:t>300</w:t>
            </w:r>
          </w:p>
          <w:p>
            <w:pPr>
              <w:widowControl/>
              <w:snapToGrid w:val="0"/>
              <w:spacing w:line="280" w:lineRule="exact"/>
              <w:jc w:val="center"/>
              <w:rPr>
                <w:rFonts w:ascii="宋体" w:hAnsi="宋体"/>
                <w:kern w:val="0"/>
                <w:sz w:val="18"/>
                <w:szCs w:val="18"/>
              </w:rPr>
            </w:pPr>
            <w:r>
              <w:rPr>
                <w:rFonts w:ascii="宋体" w:hAnsi="宋体"/>
                <w:kern w:val="0"/>
                <w:sz w:val="18"/>
                <w:szCs w:val="18"/>
              </w:rPr>
              <w:t>310</w:t>
            </w:r>
          </w:p>
          <w:p>
            <w:pPr>
              <w:widowControl/>
              <w:snapToGrid w:val="0"/>
              <w:spacing w:line="280" w:lineRule="exact"/>
              <w:jc w:val="center"/>
              <w:rPr>
                <w:rFonts w:ascii="宋体" w:hAnsi="宋体"/>
                <w:kern w:val="0"/>
                <w:sz w:val="18"/>
                <w:szCs w:val="18"/>
              </w:rPr>
            </w:pPr>
            <w:r>
              <w:rPr>
                <w:rFonts w:ascii="宋体" w:hAnsi="宋体"/>
                <w:kern w:val="0"/>
                <w:sz w:val="18"/>
                <w:szCs w:val="18"/>
              </w:rPr>
              <w:t>320</w:t>
            </w:r>
          </w:p>
          <w:p>
            <w:pPr>
              <w:widowControl/>
              <w:snapToGrid w:val="0"/>
              <w:spacing w:line="280" w:lineRule="exact"/>
              <w:jc w:val="center"/>
              <w:rPr>
                <w:rFonts w:ascii="宋体" w:hAnsi="宋体"/>
                <w:kern w:val="0"/>
                <w:sz w:val="18"/>
                <w:szCs w:val="18"/>
              </w:rPr>
            </w:pPr>
            <w:r>
              <w:rPr>
                <w:rFonts w:ascii="宋体" w:hAnsi="宋体"/>
                <w:kern w:val="0"/>
                <w:sz w:val="18"/>
                <w:szCs w:val="18"/>
              </w:rPr>
              <w:t>330</w:t>
            </w:r>
          </w:p>
          <w:p>
            <w:pPr>
              <w:widowControl/>
              <w:snapToGrid w:val="0"/>
              <w:spacing w:line="280" w:lineRule="exact"/>
              <w:jc w:val="center"/>
              <w:rPr>
                <w:rFonts w:ascii="宋体" w:hAnsi="宋体"/>
                <w:kern w:val="0"/>
                <w:sz w:val="18"/>
                <w:szCs w:val="18"/>
              </w:rPr>
            </w:pPr>
            <w:r>
              <w:rPr>
                <w:rFonts w:ascii="宋体" w:hAnsi="宋体"/>
                <w:kern w:val="0"/>
                <w:sz w:val="18"/>
                <w:szCs w:val="18"/>
              </w:rPr>
              <w:t>340</w:t>
            </w:r>
          </w:p>
          <w:p>
            <w:pPr>
              <w:widowControl/>
              <w:snapToGrid w:val="0"/>
              <w:spacing w:line="280" w:lineRule="exact"/>
              <w:jc w:val="center"/>
              <w:rPr>
                <w:rFonts w:ascii="宋体" w:hAnsi="宋体"/>
                <w:kern w:val="0"/>
                <w:sz w:val="18"/>
                <w:szCs w:val="18"/>
              </w:rPr>
            </w:pPr>
            <w:r>
              <w:rPr>
                <w:rFonts w:ascii="宋体" w:hAnsi="宋体"/>
                <w:kern w:val="0"/>
                <w:sz w:val="18"/>
                <w:szCs w:val="18"/>
              </w:rPr>
              <w:t>390</w:t>
            </w:r>
          </w:p>
          <w:p>
            <w:pPr>
              <w:widowControl/>
              <w:snapToGrid w:val="0"/>
              <w:spacing w:line="280" w:lineRule="exact"/>
              <w:jc w:val="center"/>
              <w:rPr>
                <w:rFonts w:ascii="宋体" w:hAnsi="宋体"/>
                <w:kern w:val="0"/>
                <w:sz w:val="18"/>
                <w:szCs w:val="18"/>
              </w:rPr>
            </w:pPr>
          </w:p>
        </w:tc>
        <w:tc>
          <w:tcPr>
            <w:tcW w:w="2064" w:type="pct"/>
          </w:tcPr>
          <w:p>
            <w:pPr>
              <w:widowControl/>
              <w:snapToGrid w:val="0"/>
              <w:spacing w:line="280" w:lineRule="exact"/>
              <w:ind w:firstLine="360" w:firstLineChars="200"/>
              <w:jc w:val="left"/>
              <w:rPr>
                <w:rFonts w:ascii="宋体" w:hAnsi="宋体"/>
                <w:kern w:val="0"/>
                <w:sz w:val="18"/>
                <w:szCs w:val="18"/>
              </w:rPr>
            </w:pPr>
            <w:r>
              <w:rPr>
                <w:rFonts w:ascii="宋体" w:hAnsi="宋体"/>
                <w:kern w:val="0"/>
                <w:sz w:val="18"/>
                <w:szCs w:val="18"/>
              </w:rPr>
              <w:t>私营有限责任公司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私营股份有限公司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其他企业</w:t>
            </w:r>
          </w:p>
          <w:p>
            <w:pPr>
              <w:widowControl/>
              <w:snapToGrid w:val="0"/>
              <w:spacing w:line="280" w:lineRule="exact"/>
              <w:jc w:val="left"/>
              <w:rPr>
                <w:rFonts w:ascii="宋体" w:hAnsi="宋体"/>
                <w:b/>
                <w:kern w:val="0"/>
                <w:sz w:val="18"/>
                <w:szCs w:val="18"/>
              </w:rPr>
            </w:pPr>
            <w:r>
              <w:rPr>
                <w:rFonts w:ascii="宋体" w:hAnsi="宋体"/>
                <w:b/>
                <w:kern w:val="0"/>
                <w:sz w:val="18"/>
                <w:szCs w:val="18"/>
              </w:rPr>
              <w:t>港、澳、台商投资企业</w:t>
            </w:r>
          </w:p>
          <w:p>
            <w:pPr>
              <w:widowControl/>
              <w:snapToGrid w:val="0"/>
              <w:spacing w:line="280" w:lineRule="exact"/>
              <w:ind w:firstLine="180" w:firstLineChars="100"/>
              <w:jc w:val="left"/>
              <w:rPr>
                <w:rFonts w:ascii="宋体" w:hAnsi="宋体"/>
                <w:kern w:val="0"/>
                <w:sz w:val="18"/>
                <w:szCs w:val="18"/>
              </w:rPr>
            </w:pPr>
            <w:r>
              <w:rPr>
                <w:rFonts w:ascii="宋体" w:hAnsi="宋体"/>
                <w:kern w:val="0"/>
                <w:sz w:val="18"/>
                <w:szCs w:val="18"/>
              </w:rPr>
              <w:t>合资经营企业（港或澳、台资）</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合作经营企业（港或澳、台资）</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港澳台商独资企业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港澳台商投资股份有限公司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其他港澳台商投资企业</w:t>
            </w:r>
          </w:p>
          <w:p>
            <w:pPr>
              <w:widowControl/>
              <w:snapToGrid w:val="0"/>
              <w:spacing w:line="280" w:lineRule="exact"/>
              <w:jc w:val="left"/>
              <w:rPr>
                <w:rFonts w:ascii="宋体" w:hAnsi="宋体"/>
                <w:b/>
                <w:kern w:val="0"/>
                <w:sz w:val="18"/>
                <w:szCs w:val="18"/>
              </w:rPr>
            </w:pPr>
            <w:r>
              <w:rPr>
                <w:rFonts w:ascii="宋体" w:hAnsi="宋体"/>
                <w:b/>
                <w:kern w:val="0"/>
                <w:sz w:val="18"/>
                <w:szCs w:val="18"/>
              </w:rPr>
              <w:t>外商投资企业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中外合资经营企业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中外合作经营企业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外资企业</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外商投资股份有限公司</w:t>
            </w:r>
          </w:p>
          <w:p>
            <w:pPr>
              <w:widowControl/>
              <w:snapToGrid w:val="0"/>
              <w:spacing w:line="280" w:lineRule="exact"/>
              <w:jc w:val="left"/>
              <w:rPr>
                <w:rFonts w:ascii="宋体" w:hAnsi="宋体"/>
                <w:kern w:val="0"/>
                <w:sz w:val="18"/>
                <w:szCs w:val="18"/>
              </w:rPr>
            </w:pPr>
            <w:r>
              <w:rPr>
                <w:rFonts w:ascii="宋体" w:hAnsi="宋体"/>
                <w:kern w:val="0"/>
                <w:sz w:val="18"/>
                <w:szCs w:val="18"/>
              </w:rPr>
              <w:t xml:space="preserve">  其他外商投资企业</w:t>
            </w:r>
          </w:p>
          <w:p>
            <w:pPr>
              <w:widowControl/>
              <w:snapToGrid w:val="0"/>
              <w:spacing w:line="280" w:lineRule="exact"/>
              <w:jc w:val="left"/>
              <w:rPr>
                <w:rFonts w:ascii="宋体" w:hAnsi="宋体"/>
                <w:kern w:val="0"/>
                <w:sz w:val="18"/>
                <w:szCs w:val="18"/>
              </w:rPr>
            </w:pPr>
          </w:p>
        </w:tc>
      </w:tr>
    </w:tbl>
    <w:p>
      <w:pPr>
        <w:rPr>
          <w:rFonts w:ascii="宋体" w:hAnsi="宋体"/>
        </w:rPr>
      </w:pPr>
    </w:p>
    <w:p>
      <w:pPr>
        <w:pStyle w:val="16"/>
        <w:snapToGrid w:val="0"/>
        <w:spacing w:before="0" w:after="312" w:afterLines="100" w:line="400" w:lineRule="exact"/>
        <w:rPr>
          <w:rFonts w:ascii="宋体" w:hAnsi="宋体"/>
          <w:b w:val="0"/>
          <w:kern w:val="0"/>
          <w:highlight w:val="yellow"/>
        </w:rPr>
      </w:pPr>
      <w:r>
        <w:br w:type="page"/>
      </w:r>
      <w:r>
        <w:rPr>
          <w:rFonts w:hint="eastAsia" w:ascii="宋体" w:hAnsi="宋体"/>
          <w:b w:val="0"/>
          <w:kern w:val="0"/>
        </w:rPr>
        <w:t>（二）主营业务行业代码</w:t>
      </w:r>
    </w:p>
    <w:p>
      <w:pPr>
        <w:pStyle w:val="16"/>
        <w:spacing w:line="240" w:lineRule="exact"/>
        <w:ind w:firstLine="360" w:firstLineChars="200"/>
        <w:jc w:val="left"/>
        <w:rPr>
          <w:rFonts w:ascii="宋体" w:hAnsi="宋体"/>
          <w:b w:val="0"/>
          <w:bCs w:val="0"/>
          <w:kern w:val="0"/>
          <w:sz w:val="18"/>
          <w:szCs w:val="18"/>
        </w:rPr>
      </w:pPr>
      <w:r>
        <w:rPr>
          <w:rFonts w:hint="eastAsia" w:ascii="微软雅黑" w:hAnsi="微软雅黑" w:eastAsia="微软雅黑" w:cs="宋体"/>
          <w:b w:val="0"/>
          <w:color w:val="333333"/>
          <w:kern w:val="0"/>
          <w:sz w:val="18"/>
          <w:szCs w:val="18"/>
        </w:rPr>
        <w:t>——</w:t>
      </w:r>
      <w:r>
        <w:rPr>
          <w:rFonts w:hint="eastAsia" w:ascii="宋体" w:hAnsi="宋体"/>
          <w:b w:val="0"/>
          <w:bCs w:val="0"/>
          <w:kern w:val="0"/>
          <w:sz w:val="18"/>
          <w:szCs w:val="18"/>
        </w:rPr>
        <w:t>依据国家统计局印发的</w:t>
      </w:r>
      <w:r>
        <w:rPr>
          <w:rFonts w:ascii="宋体" w:hAnsi="宋体"/>
          <w:b w:val="0"/>
          <w:bCs w:val="0"/>
          <w:kern w:val="0"/>
          <w:sz w:val="18"/>
          <w:szCs w:val="18"/>
        </w:rPr>
        <w:t>《</w:t>
      </w:r>
      <w:r>
        <w:rPr>
          <w:rFonts w:hint="eastAsia" w:ascii="宋体" w:hAnsi="宋体"/>
          <w:b w:val="0"/>
          <w:bCs w:val="0"/>
          <w:kern w:val="0"/>
          <w:sz w:val="18"/>
          <w:szCs w:val="18"/>
        </w:rPr>
        <w:t>部门服务业财务统计报表制度（试行）</w:t>
      </w:r>
      <w:r>
        <w:rPr>
          <w:rFonts w:ascii="宋体" w:hAnsi="宋体"/>
          <w:b w:val="0"/>
          <w:bCs w:val="0"/>
          <w:kern w:val="0"/>
          <w:sz w:val="18"/>
          <w:szCs w:val="18"/>
        </w:rPr>
        <w:t>》（</w:t>
      </w:r>
      <w:r>
        <w:rPr>
          <w:rFonts w:hint="eastAsia" w:ascii="宋体" w:hAnsi="宋体"/>
          <w:b w:val="0"/>
          <w:bCs w:val="0"/>
          <w:kern w:val="0"/>
          <w:sz w:val="18"/>
          <w:szCs w:val="18"/>
        </w:rPr>
        <w:t>2018年统计年报和2019年定期统计报表</w:t>
      </w:r>
      <w:r>
        <w:rPr>
          <w:rFonts w:ascii="宋体" w:hAnsi="宋体"/>
          <w:b w:val="0"/>
          <w:bCs w:val="0"/>
          <w:kern w:val="0"/>
          <w:sz w:val="18"/>
          <w:szCs w:val="18"/>
        </w:rPr>
        <w:t>）</w:t>
      </w:r>
      <w:r>
        <w:rPr>
          <w:rFonts w:hint="eastAsia" w:ascii="宋体" w:hAnsi="宋体"/>
          <w:b w:val="0"/>
          <w:bCs w:val="0"/>
          <w:kern w:val="0"/>
          <w:sz w:val="18"/>
          <w:szCs w:val="18"/>
        </w:rPr>
        <w:t>中生态环境部的分工内容及《国民经济行业分类》（GB/T4754-2017）、《2017年国民经济行业分类注释（网络版）》编制。</w:t>
      </w:r>
    </w:p>
    <w:tbl>
      <w:tblPr>
        <w:tblStyle w:val="17"/>
        <w:tblW w:w="5000" w:type="pct"/>
        <w:jc w:val="center"/>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1111"/>
        <w:gridCol w:w="3006"/>
        <w:gridCol w:w="5511"/>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57" w:hRule="atLeast"/>
          <w:tblHeader/>
          <w:jc w:val="center"/>
        </w:trPr>
        <w:tc>
          <w:tcPr>
            <w:tcW w:w="577" w:type="pct"/>
            <w:vAlign w:val="center"/>
          </w:tcPr>
          <w:p>
            <w:pPr>
              <w:snapToGrid w:val="0"/>
              <w:rPr>
                <w:rFonts w:ascii="宋体" w:hAnsi="宋体"/>
                <w:color w:val="000000"/>
                <w:sz w:val="18"/>
                <w:szCs w:val="18"/>
              </w:rPr>
            </w:pPr>
            <w:r>
              <w:rPr>
                <w:rFonts w:hint="eastAsia" w:ascii="宋体" w:hAnsi="宋体"/>
                <w:color w:val="000000"/>
                <w:sz w:val="18"/>
                <w:szCs w:val="18"/>
              </w:rPr>
              <w:t>行业代码</w:t>
            </w:r>
          </w:p>
        </w:tc>
        <w:tc>
          <w:tcPr>
            <w:tcW w:w="1561" w:type="pct"/>
            <w:vAlign w:val="center"/>
          </w:tcPr>
          <w:p>
            <w:pPr>
              <w:snapToGrid w:val="0"/>
              <w:jc w:val="center"/>
              <w:rPr>
                <w:rFonts w:ascii="宋体" w:hAnsi="宋体"/>
                <w:color w:val="000000"/>
                <w:sz w:val="18"/>
                <w:szCs w:val="18"/>
              </w:rPr>
            </w:pPr>
            <w:r>
              <w:rPr>
                <w:rFonts w:hint="eastAsia" w:ascii="宋体" w:hAnsi="宋体"/>
                <w:color w:val="000000"/>
                <w:sz w:val="18"/>
                <w:szCs w:val="18"/>
              </w:rPr>
              <w:t>行业名称</w:t>
            </w:r>
          </w:p>
        </w:tc>
        <w:tc>
          <w:tcPr>
            <w:tcW w:w="2862" w:type="pct"/>
            <w:vAlign w:val="center"/>
          </w:tcPr>
          <w:p>
            <w:pPr>
              <w:snapToGrid w:val="0"/>
              <w:jc w:val="center"/>
              <w:rPr>
                <w:rFonts w:ascii="宋体" w:hAnsi="宋体"/>
                <w:color w:val="000000"/>
                <w:sz w:val="18"/>
                <w:szCs w:val="18"/>
              </w:rPr>
            </w:pPr>
            <w:r>
              <w:rPr>
                <w:rFonts w:hint="eastAsia" w:ascii="宋体" w:hAnsi="宋体"/>
                <w:color w:val="000000"/>
                <w:sz w:val="18"/>
                <w:szCs w:val="18"/>
              </w:rPr>
              <w:t>说明</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rPr>
                <w:rFonts w:ascii="宋体" w:hAnsi="宋体"/>
                <w:b/>
                <w:sz w:val="18"/>
                <w:szCs w:val="18"/>
              </w:rPr>
            </w:pPr>
            <w:r>
              <w:rPr>
                <w:rFonts w:hint="eastAsia" w:ascii="宋体" w:hAnsi="宋体"/>
                <w:b/>
                <w:sz w:val="18"/>
                <w:szCs w:val="18"/>
              </w:rPr>
              <w:t>74</w:t>
            </w:r>
          </w:p>
        </w:tc>
        <w:tc>
          <w:tcPr>
            <w:tcW w:w="1561" w:type="pct"/>
            <w:vAlign w:val="center"/>
          </w:tcPr>
          <w:p>
            <w:pPr>
              <w:snapToGrid w:val="0"/>
              <w:ind w:left="-2" w:leftChars="-2" w:hanging="2" w:hangingChars="1"/>
              <w:rPr>
                <w:rFonts w:ascii="宋体" w:hAnsi="宋体"/>
                <w:b/>
                <w:sz w:val="18"/>
                <w:szCs w:val="18"/>
              </w:rPr>
            </w:pPr>
            <w:r>
              <w:rPr>
                <w:rFonts w:hint="eastAsia" w:ascii="宋体" w:hAnsi="宋体"/>
                <w:b/>
                <w:sz w:val="18"/>
                <w:szCs w:val="18"/>
              </w:rPr>
              <w:t>专业技术服务业</w:t>
            </w:r>
          </w:p>
        </w:tc>
        <w:tc>
          <w:tcPr>
            <w:tcW w:w="2862" w:type="pct"/>
            <w:vAlign w:val="center"/>
          </w:tcPr>
          <w:p>
            <w:pPr>
              <w:snapToGrid w:val="0"/>
              <w:rPr>
                <w:rFonts w:ascii="宋体" w:hAnsi="宋体"/>
                <w:b/>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rPr>
                <w:rFonts w:ascii="宋体" w:hAnsi="宋体"/>
                <w:color w:val="000000"/>
                <w:sz w:val="18"/>
                <w:szCs w:val="18"/>
              </w:rPr>
            </w:pPr>
            <w:r>
              <w:rPr>
                <w:rFonts w:hint="eastAsia" w:ascii="宋体" w:hAnsi="宋体"/>
                <w:b/>
                <w:sz w:val="18"/>
                <w:szCs w:val="18"/>
              </w:rPr>
              <w:t>746</w:t>
            </w:r>
          </w:p>
        </w:tc>
        <w:tc>
          <w:tcPr>
            <w:tcW w:w="1561" w:type="pct"/>
            <w:vAlign w:val="center"/>
          </w:tcPr>
          <w:p>
            <w:pPr>
              <w:snapToGrid w:val="0"/>
              <w:rPr>
                <w:rFonts w:ascii="宋体" w:hAnsi="宋体"/>
                <w:sz w:val="18"/>
                <w:szCs w:val="18"/>
              </w:rPr>
            </w:pPr>
            <w:r>
              <w:rPr>
                <w:rFonts w:hint="eastAsia" w:ascii="宋体" w:hAnsi="宋体"/>
                <w:b/>
                <w:sz w:val="18"/>
                <w:szCs w:val="18"/>
              </w:rPr>
              <w:t>环境与生态监测检测服务</w:t>
            </w:r>
          </w:p>
        </w:tc>
        <w:tc>
          <w:tcPr>
            <w:tcW w:w="2862" w:type="pct"/>
            <w:vAlign w:val="center"/>
          </w:tcPr>
          <w:p>
            <w:pPr>
              <w:snapToGrid w:val="0"/>
              <w:rPr>
                <w:rFonts w:ascii="宋体" w:hAnsi="宋体"/>
                <w:b/>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sz w:val="18"/>
                <w:szCs w:val="18"/>
              </w:rPr>
              <w:t>7461</w:t>
            </w:r>
          </w:p>
        </w:tc>
        <w:tc>
          <w:tcPr>
            <w:tcW w:w="1561" w:type="pct"/>
            <w:vAlign w:val="center"/>
          </w:tcPr>
          <w:p>
            <w:pPr>
              <w:tabs>
                <w:tab w:val="left" w:pos="252"/>
              </w:tabs>
              <w:snapToGrid w:val="0"/>
              <w:ind w:firstLine="180" w:firstLineChars="100"/>
              <w:rPr>
                <w:rFonts w:ascii="宋体" w:hAnsi="宋体"/>
                <w:color w:val="000000"/>
                <w:sz w:val="18"/>
                <w:szCs w:val="18"/>
              </w:rPr>
            </w:pPr>
            <w:r>
              <w:rPr>
                <w:rFonts w:hint="eastAsia" w:ascii="宋体" w:hAnsi="宋体"/>
                <w:sz w:val="18"/>
                <w:szCs w:val="18"/>
              </w:rPr>
              <w:t>环境保护监测</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指对环境各要素，对生产与生活等各类污染源排放的液体、气体、固体、辐射等污染物或污染因子指标进行的测试、监测和评估活动。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◇包括下列环境保护监测活动：</w:t>
            </w:r>
          </w:p>
          <w:p>
            <w:pPr>
              <w:snapToGrid w:val="0"/>
              <w:spacing w:line="280" w:lineRule="exact"/>
              <w:ind w:firstLine="360" w:firstLineChars="200"/>
              <w:rPr>
                <w:rFonts w:ascii="宋体" w:hAnsi="宋体"/>
                <w:sz w:val="18"/>
                <w:szCs w:val="18"/>
              </w:rPr>
            </w:pPr>
            <w:r>
              <w:rPr>
                <w:rFonts w:hint="eastAsia" w:ascii="宋体" w:hAnsi="宋体"/>
                <w:sz w:val="18"/>
                <w:szCs w:val="18"/>
              </w:rPr>
              <w:t>— 企业环境监测；</w:t>
            </w:r>
          </w:p>
          <w:p>
            <w:pPr>
              <w:snapToGrid w:val="0"/>
              <w:spacing w:line="280" w:lineRule="exact"/>
              <w:ind w:firstLine="360" w:firstLineChars="200"/>
              <w:rPr>
                <w:rFonts w:ascii="宋体" w:hAnsi="宋体"/>
                <w:sz w:val="18"/>
                <w:szCs w:val="18"/>
              </w:rPr>
            </w:pPr>
            <w:r>
              <w:rPr>
                <w:rFonts w:hint="eastAsia" w:ascii="宋体" w:hAnsi="宋体"/>
                <w:sz w:val="18"/>
                <w:szCs w:val="18"/>
              </w:rPr>
              <w:t>— 环境质量监测等第三方环境监测服务；</w:t>
            </w:r>
          </w:p>
          <w:p>
            <w:pPr>
              <w:snapToGrid w:val="0"/>
              <w:spacing w:line="280" w:lineRule="exact"/>
              <w:ind w:firstLine="360" w:firstLineChars="200"/>
              <w:rPr>
                <w:rFonts w:ascii="宋体" w:hAnsi="宋体"/>
                <w:sz w:val="18"/>
                <w:szCs w:val="18"/>
              </w:rPr>
            </w:pPr>
            <w:r>
              <w:rPr>
                <w:rFonts w:hint="eastAsia" w:ascii="宋体" w:hAnsi="宋体"/>
                <w:sz w:val="18"/>
                <w:szCs w:val="18"/>
              </w:rPr>
              <w:t>— 环境监测数据平台开发和信息提供服务；</w:t>
            </w:r>
          </w:p>
          <w:p>
            <w:pPr>
              <w:snapToGrid w:val="0"/>
              <w:spacing w:line="280" w:lineRule="exact"/>
              <w:ind w:firstLine="360" w:firstLineChars="200"/>
              <w:rPr>
                <w:rFonts w:ascii="宋体" w:hAnsi="宋体"/>
                <w:sz w:val="18"/>
                <w:szCs w:val="18"/>
              </w:rPr>
            </w:pPr>
            <w:r>
              <w:rPr>
                <w:rFonts w:hint="eastAsia" w:ascii="宋体" w:hAnsi="宋体"/>
                <w:sz w:val="18"/>
                <w:szCs w:val="18"/>
              </w:rPr>
              <w:t>— 其他环境监测服务：放射性污染监测服务、光污染监测服务、其他未列明环境监测服务。</w:t>
            </w:r>
          </w:p>
          <w:p>
            <w:pPr>
              <w:snapToGrid w:val="0"/>
              <w:spacing w:line="280" w:lineRule="exact"/>
              <w:ind w:firstLine="361" w:firstLineChars="200"/>
              <w:rPr>
                <w:rFonts w:ascii="宋体" w:hAnsi="宋体"/>
                <w:b/>
                <w:sz w:val="18"/>
                <w:szCs w:val="18"/>
              </w:rPr>
            </w:pPr>
            <w:r>
              <w:rPr>
                <w:rFonts w:hint="eastAsia" w:ascii="宋体" w:hAnsi="宋体"/>
                <w:b/>
                <w:sz w:val="18"/>
                <w:szCs w:val="18"/>
              </w:rPr>
              <w:t>空气污染监测服务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城市空气质量监测服务：汽车尾气监测服务、燃煤废气检测服务、室内装修气体检测服务、建筑工地扬尘监测服务、其他城市空气质量监测服务；</w:t>
            </w:r>
          </w:p>
          <w:p>
            <w:pPr>
              <w:snapToGrid w:val="0"/>
              <w:spacing w:line="280" w:lineRule="exact"/>
              <w:ind w:firstLine="360" w:firstLineChars="200"/>
              <w:rPr>
                <w:rFonts w:ascii="宋体" w:hAnsi="宋体"/>
                <w:sz w:val="18"/>
                <w:szCs w:val="18"/>
              </w:rPr>
            </w:pPr>
            <w:r>
              <w:rPr>
                <w:rFonts w:hint="eastAsia" w:ascii="宋体" w:hAnsi="宋体"/>
                <w:sz w:val="18"/>
                <w:szCs w:val="18"/>
              </w:rPr>
              <w:t>— 支撑大气环境污染监测工程化；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支撑大气污染控制工程化；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支撑先进工业烟气净工程化；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支撑挥发性有机污染物污染控制工程化；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支撑机动车污染排放控制工程化；</w:t>
            </w:r>
          </w:p>
          <w:p>
            <w:pPr>
              <w:snapToGrid w:val="0"/>
              <w:spacing w:line="280" w:lineRule="exact"/>
              <w:ind w:firstLine="360" w:firstLineChars="200"/>
              <w:rPr>
                <w:rFonts w:ascii="宋体" w:hAnsi="宋体"/>
                <w:sz w:val="18"/>
                <w:szCs w:val="18"/>
              </w:rPr>
            </w:pPr>
            <w:r>
              <w:rPr>
                <w:rFonts w:hint="eastAsia" w:ascii="宋体" w:hAnsi="宋体"/>
                <w:sz w:val="18"/>
                <w:szCs w:val="18"/>
              </w:rPr>
              <w:t>— 工矿企业气体监测服务：煤矿有害气体监测服务、非金属矿有害气体监测服务、制造企业有害气体监测服务、其他工矿企业气体监测服务；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其他空气污染监测服务；</w:t>
            </w:r>
          </w:p>
          <w:p>
            <w:pPr>
              <w:snapToGrid w:val="0"/>
              <w:spacing w:line="280" w:lineRule="exact"/>
              <w:ind w:firstLine="361" w:firstLineChars="200"/>
              <w:rPr>
                <w:rFonts w:ascii="宋体" w:hAnsi="宋体"/>
                <w:b/>
                <w:sz w:val="18"/>
                <w:szCs w:val="18"/>
              </w:rPr>
            </w:pPr>
            <w:r>
              <w:rPr>
                <w:rFonts w:hint="eastAsia" w:ascii="宋体" w:hAnsi="宋体"/>
                <w:b/>
                <w:sz w:val="18"/>
                <w:szCs w:val="18"/>
              </w:rPr>
              <w:t>水污染监测服务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内陆水系污染监测服务：内陆水系人为水污染监测服务、内陆水系自然水质下降监测服务、其他内陆水系污染监测服务；</w:t>
            </w:r>
          </w:p>
          <w:p>
            <w:pPr>
              <w:snapToGrid w:val="0"/>
              <w:spacing w:line="280" w:lineRule="exact"/>
              <w:ind w:firstLine="360" w:firstLineChars="200"/>
              <w:rPr>
                <w:rFonts w:ascii="宋体" w:hAnsi="宋体"/>
                <w:sz w:val="18"/>
                <w:szCs w:val="18"/>
              </w:rPr>
            </w:pPr>
            <w:r>
              <w:rPr>
                <w:rFonts w:hint="eastAsia" w:ascii="宋体" w:hAnsi="宋体"/>
                <w:sz w:val="18"/>
                <w:szCs w:val="18"/>
              </w:rPr>
              <w:t>— 海水污染监测服务：海洋废弃物倾倒检验服务、污水排海检测服务、油轮漏油监测服务、海洋微生物监测服务、其他海水污染监测服务；</w:t>
            </w:r>
          </w:p>
          <w:p>
            <w:pPr>
              <w:snapToGrid w:val="0"/>
              <w:spacing w:line="280" w:lineRule="exact"/>
              <w:ind w:firstLine="360" w:firstLineChars="200"/>
              <w:rPr>
                <w:rFonts w:ascii="宋体" w:hAnsi="宋体"/>
                <w:sz w:val="18"/>
                <w:szCs w:val="18"/>
              </w:rPr>
            </w:pPr>
            <w:r>
              <w:rPr>
                <w:rFonts w:hint="eastAsia" w:ascii="宋体" w:hAnsi="宋体"/>
                <w:sz w:val="18"/>
                <w:szCs w:val="18"/>
              </w:rPr>
              <w:t>— 支撑先进水环境污染监测工程化；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支撑土壤（地下水）环境监测评估工程化；</w:t>
            </w:r>
          </w:p>
          <w:p>
            <w:pPr>
              <w:snapToGrid w:val="0"/>
              <w:spacing w:line="280" w:lineRule="exact"/>
              <w:ind w:firstLine="360" w:firstLineChars="200"/>
              <w:rPr>
                <w:rFonts w:ascii="宋体" w:hAnsi="宋体"/>
                <w:sz w:val="18"/>
                <w:szCs w:val="18"/>
              </w:rPr>
            </w:pPr>
            <w:r>
              <w:rPr>
                <w:rFonts w:hint="eastAsia" w:ascii="宋体" w:hAnsi="宋体"/>
                <w:sz w:val="18"/>
                <w:szCs w:val="18"/>
              </w:rPr>
              <w:t>— 工矿企业废水监测服务：采矿企业废水监测服务、制造企业废水监测服务、其他工矿企业废水监测服务；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其他水污染监测服务：生活废水监测服务、医疗废水监测服务、其他未列明水污染监测服务；</w:t>
            </w:r>
          </w:p>
          <w:p>
            <w:pPr>
              <w:snapToGrid w:val="0"/>
              <w:spacing w:line="280" w:lineRule="exact"/>
              <w:ind w:firstLine="361" w:firstLineChars="200"/>
              <w:rPr>
                <w:rFonts w:ascii="宋体" w:hAnsi="宋体"/>
                <w:b/>
                <w:sz w:val="18"/>
                <w:szCs w:val="18"/>
              </w:rPr>
            </w:pPr>
            <w:r>
              <w:rPr>
                <w:rFonts w:hint="eastAsia" w:ascii="宋体" w:hAnsi="宋体"/>
                <w:b/>
                <w:sz w:val="18"/>
                <w:szCs w:val="18"/>
              </w:rPr>
              <w:t>废料监测服务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城市废料监测服务：生活垃圾监测服务、餐厅泔水监测服务、医疗废料监测服务、其他城市废料监测服务；</w:t>
            </w:r>
          </w:p>
          <w:p>
            <w:pPr>
              <w:snapToGrid w:val="0"/>
              <w:spacing w:line="280" w:lineRule="exact"/>
              <w:ind w:firstLine="360" w:firstLineChars="200"/>
              <w:rPr>
                <w:rFonts w:ascii="宋体" w:hAnsi="宋体"/>
                <w:sz w:val="18"/>
                <w:szCs w:val="18"/>
              </w:rPr>
            </w:pPr>
            <w:r>
              <w:rPr>
                <w:rFonts w:hint="eastAsia" w:ascii="宋体" w:hAnsi="宋体"/>
                <w:sz w:val="18"/>
                <w:szCs w:val="18"/>
              </w:rPr>
              <w:t>— 生产废料监测服务：工业废渣监测服务，报废、遗弃物品监测服务，其他生产废料监测服务；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其他废料监测服务；</w:t>
            </w:r>
          </w:p>
          <w:p>
            <w:pPr>
              <w:snapToGrid w:val="0"/>
              <w:spacing w:line="280" w:lineRule="exact"/>
              <w:ind w:firstLine="361" w:firstLineChars="200"/>
              <w:rPr>
                <w:rFonts w:ascii="宋体" w:hAnsi="宋体"/>
                <w:b/>
                <w:sz w:val="18"/>
                <w:szCs w:val="18"/>
              </w:rPr>
            </w:pPr>
            <w:r>
              <w:rPr>
                <w:rFonts w:hint="eastAsia" w:ascii="宋体" w:hAnsi="宋体"/>
                <w:b/>
                <w:sz w:val="18"/>
                <w:szCs w:val="18"/>
              </w:rPr>
              <w:t>噪声污染监测服务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城市噪声监测服务：建筑噪声监测服务、交通噪声监测服务、其他城市噪声监测服务；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工矿企业噪声监测服务；</w:t>
            </w:r>
          </w:p>
          <w:p>
            <w:pPr>
              <w:snapToGrid w:val="0"/>
              <w:spacing w:line="280" w:lineRule="exact"/>
              <w:ind w:firstLine="360" w:firstLineChars="200"/>
              <w:rPr>
                <w:rFonts w:ascii="宋体" w:hAnsi="宋体"/>
                <w:sz w:val="18"/>
                <w:szCs w:val="18"/>
              </w:rPr>
            </w:pPr>
            <w:r>
              <w:rPr>
                <w:rFonts w:hint="eastAsia" w:ascii="宋体" w:hAnsi="宋体"/>
                <w:sz w:val="18"/>
                <w:szCs w:val="18"/>
              </w:rPr>
              <w:t>— 低频噪声源头诊治装备；</w:t>
            </w:r>
          </w:p>
          <w:p>
            <w:pPr>
              <w:snapToGrid w:val="0"/>
              <w:spacing w:line="280" w:lineRule="exact"/>
              <w:ind w:firstLine="360" w:firstLineChars="200"/>
              <w:rPr>
                <w:rFonts w:ascii="宋体" w:hAnsi="宋体"/>
                <w:sz w:val="18"/>
                <w:szCs w:val="18"/>
              </w:rPr>
            </w:pPr>
            <w:r>
              <w:rPr>
                <w:rFonts w:hint="eastAsia" w:ascii="宋体" w:hAnsi="宋体"/>
                <w:sz w:val="18"/>
                <w:szCs w:val="18"/>
              </w:rPr>
              <w:t>— 其他噪声污染监测服务。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高空大气监测，列入7410（气象服务）；</w:t>
            </w:r>
          </w:p>
          <w:p>
            <w:pPr>
              <w:snapToGrid w:val="0"/>
              <w:spacing w:line="280" w:lineRule="exact"/>
              <w:ind w:firstLine="360" w:firstLineChars="200"/>
              <w:rPr>
                <w:rFonts w:ascii="宋体" w:hAnsi="宋体"/>
                <w:sz w:val="18"/>
                <w:szCs w:val="18"/>
              </w:rPr>
            </w:pPr>
            <w:r>
              <w:rPr>
                <w:rFonts w:hint="eastAsia" w:ascii="宋体" w:hAnsi="宋体"/>
                <w:sz w:val="18"/>
                <w:szCs w:val="18"/>
              </w:rPr>
              <w:t>— 环境的监察、检查及执法活动，列入9226（行政监督检查机构）。</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sz w:val="18"/>
                <w:szCs w:val="18"/>
              </w:rPr>
              <w:t>7462</w:t>
            </w:r>
          </w:p>
        </w:tc>
        <w:tc>
          <w:tcPr>
            <w:tcW w:w="1561" w:type="pct"/>
            <w:vAlign w:val="center"/>
          </w:tcPr>
          <w:p>
            <w:pPr>
              <w:snapToGrid w:val="0"/>
              <w:ind w:firstLine="180" w:firstLineChars="100"/>
              <w:rPr>
                <w:rFonts w:ascii="宋体" w:hAnsi="宋体"/>
                <w:sz w:val="18"/>
                <w:szCs w:val="18"/>
              </w:rPr>
            </w:pPr>
            <w:r>
              <w:rPr>
                <w:rFonts w:hint="eastAsia" w:ascii="宋体" w:hAnsi="宋体"/>
                <w:sz w:val="18"/>
                <w:szCs w:val="18"/>
              </w:rPr>
              <w:t>生态资源监测</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 xml:space="preserve">指对海洋资源、森林资源、湿地资源、荒漠化、珍稀濒危野生动植物资源及外来物种的调查与监测活动，以及对生态工程的监测活动。    </w:t>
            </w:r>
          </w:p>
          <w:p>
            <w:pPr>
              <w:snapToGrid w:val="0"/>
              <w:spacing w:line="280" w:lineRule="exact"/>
              <w:ind w:firstLine="360" w:firstLineChars="200"/>
              <w:rPr>
                <w:rFonts w:ascii="宋体" w:hAnsi="宋体"/>
                <w:sz w:val="18"/>
                <w:szCs w:val="18"/>
              </w:rPr>
            </w:pPr>
            <w:r>
              <w:rPr>
                <w:rFonts w:hint="eastAsia" w:ascii="宋体" w:hAnsi="宋体"/>
                <w:sz w:val="18"/>
                <w:szCs w:val="18"/>
              </w:rPr>
              <w:t>◇包括下列生态资源监测活动：</w:t>
            </w:r>
          </w:p>
          <w:p>
            <w:pPr>
              <w:snapToGrid w:val="0"/>
              <w:spacing w:line="280" w:lineRule="exact"/>
              <w:ind w:firstLine="360" w:firstLineChars="200"/>
              <w:rPr>
                <w:rFonts w:ascii="宋体" w:hAnsi="宋体"/>
                <w:sz w:val="18"/>
                <w:szCs w:val="18"/>
              </w:rPr>
            </w:pPr>
            <w:r>
              <w:rPr>
                <w:rFonts w:hint="eastAsia" w:ascii="宋体" w:hAnsi="宋体"/>
                <w:sz w:val="18"/>
                <w:szCs w:val="18"/>
              </w:rPr>
              <w:t>— 土壤质量监测服务；</w:t>
            </w:r>
          </w:p>
          <w:p>
            <w:pPr>
              <w:snapToGrid w:val="0"/>
              <w:spacing w:line="280" w:lineRule="exact"/>
              <w:ind w:firstLine="360" w:firstLineChars="200"/>
              <w:rPr>
                <w:rFonts w:ascii="宋体" w:hAnsi="宋体"/>
                <w:sz w:val="18"/>
                <w:szCs w:val="18"/>
              </w:rPr>
            </w:pPr>
            <w:r>
              <w:rPr>
                <w:rFonts w:hint="eastAsia" w:ascii="宋体" w:hAnsi="宋体"/>
                <w:sz w:val="18"/>
                <w:szCs w:val="18"/>
              </w:rPr>
              <w:t>— 沙漠化监测服务；</w:t>
            </w:r>
          </w:p>
          <w:p>
            <w:pPr>
              <w:snapToGrid w:val="0"/>
              <w:spacing w:line="280" w:lineRule="exact"/>
              <w:ind w:firstLine="360" w:firstLineChars="200"/>
              <w:rPr>
                <w:rFonts w:ascii="宋体" w:hAnsi="宋体"/>
                <w:sz w:val="18"/>
                <w:szCs w:val="18"/>
              </w:rPr>
            </w:pPr>
            <w:r>
              <w:rPr>
                <w:rFonts w:hint="eastAsia" w:ascii="宋体" w:hAnsi="宋体"/>
                <w:sz w:val="18"/>
                <w:szCs w:val="18"/>
              </w:rPr>
              <w:t>— 森林生态监测服务；</w:t>
            </w:r>
          </w:p>
          <w:p>
            <w:pPr>
              <w:snapToGrid w:val="0"/>
              <w:spacing w:line="280" w:lineRule="exact"/>
              <w:ind w:firstLine="360" w:firstLineChars="200"/>
              <w:rPr>
                <w:rFonts w:ascii="宋体" w:hAnsi="宋体"/>
                <w:sz w:val="18"/>
                <w:szCs w:val="18"/>
              </w:rPr>
            </w:pPr>
            <w:r>
              <w:rPr>
                <w:rFonts w:hint="eastAsia" w:ascii="宋体" w:hAnsi="宋体"/>
                <w:sz w:val="18"/>
                <w:szCs w:val="18"/>
              </w:rPr>
              <w:t>— 湿地生态监测服务；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地质环境监测服务；</w:t>
            </w:r>
          </w:p>
          <w:p>
            <w:pPr>
              <w:snapToGrid w:val="0"/>
              <w:spacing w:line="280" w:lineRule="exact"/>
              <w:ind w:firstLine="360" w:firstLineChars="200"/>
              <w:rPr>
                <w:rFonts w:ascii="宋体" w:hAnsi="宋体"/>
                <w:sz w:val="18"/>
                <w:szCs w:val="18"/>
              </w:rPr>
            </w:pPr>
            <w:r>
              <w:rPr>
                <w:rFonts w:hint="eastAsia" w:ascii="宋体" w:hAnsi="宋体"/>
                <w:sz w:val="18"/>
                <w:szCs w:val="18"/>
              </w:rPr>
              <w:t>— 海洋资源监测服务；</w:t>
            </w:r>
          </w:p>
          <w:p>
            <w:pPr>
              <w:snapToGrid w:val="0"/>
              <w:spacing w:line="280" w:lineRule="exact"/>
              <w:ind w:firstLine="360" w:firstLineChars="200"/>
              <w:rPr>
                <w:rFonts w:ascii="宋体" w:hAnsi="宋体"/>
                <w:sz w:val="18"/>
                <w:szCs w:val="18"/>
              </w:rPr>
            </w:pPr>
            <w:r>
              <w:rPr>
                <w:rFonts w:hint="eastAsia" w:ascii="宋体" w:hAnsi="宋体"/>
                <w:sz w:val="18"/>
                <w:szCs w:val="18"/>
              </w:rPr>
              <w:t>— 野生动物调查与监测服务；</w:t>
            </w:r>
          </w:p>
          <w:p>
            <w:pPr>
              <w:snapToGrid w:val="0"/>
              <w:spacing w:line="280" w:lineRule="exact"/>
              <w:ind w:firstLine="360" w:firstLineChars="200"/>
              <w:rPr>
                <w:rFonts w:ascii="宋体" w:hAnsi="宋体"/>
                <w:sz w:val="18"/>
                <w:szCs w:val="18"/>
              </w:rPr>
            </w:pPr>
            <w:r>
              <w:rPr>
                <w:rFonts w:hint="eastAsia" w:ascii="宋体" w:hAnsi="宋体"/>
                <w:sz w:val="18"/>
                <w:szCs w:val="18"/>
              </w:rPr>
              <w:t>— 珍稀濒危野生植物调查与监测服务；</w:t>
            </w:r>
          </w:p>
          <w:p>
            <w:pPr>
              <w:snapToGrid w:val="0"/>
              <w:spacing w:line="280" w:lineRule="exact"/>
              <w:ind w:firstLine="360" w:firstLineChars="200"/>
              <w:rPr>
                <w:rFonts w:ascii="宋体" w:hAnsi="宋体"/>
                <w:sz w:val="18"/>
                <w:szCs w:val="18"/>
              </w:rPr>
            </w:pPr>
            <w:r>
              <w:rPr>
                <w:rFonts w:hint="eastAsia" w:ascii="宋体" w:hAnsi="宋体"/>
                <w:sz w:val="18"/>
                <w:szCs w:val="18"/>
              </w:rPr>
              <w:t>— 外来物种调查与监测服务；</w:t>
            </w:r>
          </w:p>
          <w:p>
            <w:pPr>
              <w:snapToGrid w:val="0"/>
              <w:spacing w:line="280" w:lineRule="exact"/>
              <w:ind w:firstLine="360" w:firstLineChars="200"/>
              <w:rPr>
                <w:rFonts w:ascii="宋体" w:hAnsi="宋体"/>
                <w:sz w:val="18"/>
                <w:szCs w:val="18"/>
              </w:rPr>
            </w:pPr>
            <w:r>
              <w:rPr>
                <w:rFonts w:hint="eastAsia" w:ascii="宋体" w:hAnsi="宋体"/>
                <w:sz w:val="18"/>
                <w:szCs w:val="18"/>
              </w:rPr>
              <w:t>— 草原生态检测服务；</w:t>
            </w:r>
          </w:p>
          <w:p>
            <w:pPr>
              <w:snapToGrid w:val="0"/>
              <w:spacing w:line="280" w:lineRule="exact"/>
              <w:ind w:firstLine="360" w:firstLineChars="200"/>
              <w:rPr>
                <w:rFonts w:ascii="宋体" w:hAnsi="宋体"/>
                <w:sz w:val="18"/>
                <w:szCs w:val="18"/>
              </w:rPr>
            </w:pPr>
            <w:r>
              <w:rPr>
                <w:rFonts w:hint="eastAsia" w:ascii="宋体" w:hAnsi="宋体"/>
                <w:sz w:val="18"/>
                <w:szCs w:val="18"/>
              </w:rPr>
              <w:t>— 生态效率评价服务；</w:t>
            </w:r>
          </w:p>
          <w:p>
            <w:pPr>
              <w:snapToGrid w:val="0"/>
              <w:spacing w:line="280" w:lineRule="exact"/>
              <w:ind w:firstLine="360" w:firstLineChars="200"/>
              <w:rPr>
                <w:rFonts w:ascii="宋体" w:hAnsi="宋体"/>
                <w:sz w:val="18"/>
                <w:szCs w:val="18"/>
              </w:rPr>
            </w:pPr>
            <w:r>
              <w:rPr>
                <w:rFonts w:hint="eastAsia" w:ascii="宋体" w:hAnsi="宋体"/>
                <w:sz w:val="18"/>
                <w:szCs w:val="18"/>
              </w:rPr>
              <w:t>— 其他自然生态监测服务。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野生动物疫源疫病监测，列入7463（野生动物疫源疫病防控监测）。</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sz w:val="18"/>
                <w:szCs w:val="18"/>
              </w:rPr>
            </w:pPr>
            <w:r>
              <w:rPr>
                <w:rFonts w:hint="eastAsia" w:ascii="宋体" w:hAnsi="宋体"/>
                <w:sz w:val="18"/>
                <w:szCs w:val="18"/>
              </w:rPr>
              <w:t>7463</w:t>
            </w:r>
          </w:p>
        </w:tc>
        <w:tc>
          <w:tcPr>
            <w:tcW w:w="1561" w:type="pct"/>
            <w:vAlign w:val="center"/>
          </w:tcPr>
          <w:p>
            <w:pPr>
              <w:snapToGrid w:val="0"/>
              <w:ind w:firstLine="180" w:firstLineChars="100"/>
              <w:rPr>
                <w:rFonts w:ascii="宋体" w:hAnsi="宋体"/>
                <w:sz w:val="18"/>
                <w:szCs w:val="18"/>
              </w:rPr>
            </w:pPr>
            <w:r>
              <w:rPr>
                <w:rFonts w:hint="eastAsia" w:ascii="宋体" w:hAnsi="宋体"/>
                <w:sz w:val="18"/>
                <w:szCs w:val="18"/>
              </w:rPr>
              <w:t>野生动物疫源疫病防控监测</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◇包括下列野生动物疫源疫病防控监测活动：</w:t>
            </w:r>
          </w:p>
          <w:p>
            <w:pPr>
              <w:snapToGrid w:val="0"/>
              <w:spacing w:line="280" w:lineRule="exact"/>
              <w:ind w:firstLine="360" w:firstLineChars="200"/>
              <w:rPr>
                <w:rFonts w:ascii="宋体" w:hAnsi="宋体"/>
                <w:sz w:val="18"/>
                <w:szCs w:val="18"/>
              </w:rPr>
            </w:pPr>
            <w:r>
              <w:rPr>
                <w:rFonts w:hint="eastAsia" w:ascii="宋体" w:hAnsi="宋体"/>
                <w:sz w:val="18"/>
                <w:szCs w:val="18"/>
              </w:rPr>
              <w:t>— 陆生野生动物疫源疫病监测；</w:t>
            </w:r>
          </w:p>
          <w:p>
            <w:pPr>
              <w:snapToGrid w:val="0"/>
              <w:spacing w:line="280" w:lineRule="exact"/>
              <w:ind w:firstLine="360" w:firstLineChars="200"/>
              <w:rPr>
                <w:rFonts w:ascii="宋体" w:hAnsi="宋体"/>
                <w:sz w:val="18"/>
                <w:szCs w:val="18"/>
              </w:rPr>
            </w:pPr>
            <w:r>
              <w:rPr>
                <w:rFonts w:hint="eastAsia" w:ascii="宋体" w:hAnsi="宋体"/>
                <w:sz w:val="18"/>
                <w:szCs w:val="18"/>
              </w:rPr>
              <w:t>— 外来入侵物种疫源疫病监测；</w:t>
            </w:r>
          </w:p>
          <w:p>
            <w:pPr>
              <w:snapToGrid w:val="0"/>
              <w:spacing w:line="280" w:lineRule="exact"/>
              <w:ind w:firstLine="360" w:firstLineChars="200"/>
              <w:rPr>
                <w:rFonts w:ascii="宋体" w:hAnsi="宋体"/>
                <w:sz w:val="18"/>
                <w:szCs w:val="18"/>
              </w:rPr>
            </w:pPr>
            <w:r>
              <w:rPr>
                <w:rFonts w:hint="eastAsia" w:ascii="宋体" w:hAnsi="宋体"/>
                <w:sz w:val="18"/>
                <w:szCs w:val="18"/>
              </w:rPr>
              <w:t>— 其他野生动物疫源疫病防控监测。</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濒危野生动物监测，列入7462（生态资源监测）；</w:t>
            </w:r>
          </w:p>
          <w:p>
            <w:pPr>
              <w:snapToGrid w:val="0"/>
              <w:spacing w:line="280" w:lineRule="exact"/>
              <w:ind w:firstLine="360" w:firstLineChars="200"/>
              <w:rPr>
                <w:rFonts w:ascii="宋体" w:hAnsi="宋体"/>
                <w:sz w:val="18"/>
                <w:szCs w:val="18"/>
              </w:rPr>
            </w:pPr>
            <w:r>
              <w:rPr>
                <w:rFonts w:hint="eastAsia" w:ascii="宋体" w:hAnsi="宋体"/>
                <w:sz w:val="18"/>
                <w:szCs w:val="18"/>
              </w:rPr>
              <w:t>— 野生动物调查与监测服务，列入7462（生态资源监测）。</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rPr>
                <w:rFonts w:ascii="宋体" w:hAnsi="宋体"/>
                <w:color w:val="000000"/>
                <w:sz w:val="18"/>
                <w:szCs w:val="18"/>
              </w:rPr>
            </w:pPr>
            <w:r>
              <w:rPr>
                <w:rFonts w:hint="eastAsia" w:ascii="宋体" w:hAnsi="宋体"/>
                <w:b/>
                <w:sz w:val="18"/>
                <w:szCs w:val="18"/>
              </w:rPr>
              <w:t>77</w:t>
            </w:r>
          </w:p>
        </w:tc>
        <w:tc>
          <w:tcPr>
            <w:tcW w:w="1561" w:type="pct"/>
            <w:vAlign w:val="center"/>
          </w:tcPr>
          <w:p>
            <w:pPr>
              <w:snapToGrid w:val="0"/>
              <w:rPr>
                <w:rFonts w:ascii="宋体" w:hAnsi="宋体"/>
                <w:color w:val="000000"/>
                <w:sz w:val="18"/>
                <w:szCs w:val="18"/>
              </w:rPr>
            </w:pPr>
            <w:r>
              <w:rPr>
                <w:rFonts w:hint="eastAsia" w:ascii="宋体" w:hAnsi="宋体"/>
                <w:b/>
                <w:sz w:val="18"/>
                <w:szCs w:val="18"/>
              </w:rPr>
              <w:t>生态保护和环境治理业</w:t>
            </w:r>
          </w:p>
        </w:tc>
        <w:tc>
          <w:tcPr>
            <w:tcW w:w="2862" w:type="pct"/>
            <w:vAlign w:val="center"/>
          </w:tcPr>
          <w:p>
            <w:pPr>
              <w:snapToGrid w:val="0"/>
              <w:spacing w:line="280" w:lineRule="exact"/>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rPr>
                <w:rFonts w:ascii="宋体" w:hAnsi="宋体"/>
                <w:color w:val="000000"/>
                <w:sz w:val="18"/>
                <w:szCs w:val="18"/>
              </w:rPr>
            </w:pPr>
            <w:r>
              <w:rPr>
                <w:rFonts w:hint="eastAsia" w:ascii="宋体" w:hAnsi="宋体"/>
                <w:b/>
                <w:sz w:val="18"/>
                <w:szCs w:val="18"/>
              </w:rPr>
              <w:t>771</w:t>
            </w:r>
          </w:p>
        </w:tc>
        <w:tc>
          <w:tcPr>
            <w:tcW w:w="1561" w:type="pct"/>
            <w:vAlign w:val="center"/>
          </w:tcPr>
          <w:p>
            <w:pPr>
              <w:snapToGrid w:val="0"/>
              <w:rPr>
                <w:rFonts w:ascii="宋体" w:hAnsi="宋体"/>
                <w:color w:val="000000"/>
                <w:sz w:val="18"/>
                <w:szCs w:val="18"/>
              </w:rPr>
            </w:pPr>
            <w:r>
              <w:rPr>
                <w:rFonts w:hint="eastAsia" w:ascii="宋体" w:hAnsi="宋体"/>
                <w:b/>
                <w:sz w:val="18"/>
                <w:szCs w:val="18"/>
              </w:rPr>
              <w:t>生态保护</w:t>
            </w:r>
          </w:p>
        </w:tc>
        <w:tc>
          <w:tcPr>
            <w:tcW w:w="2862" w:type="pct"/>
            <w:vAlign w:val="center"/>
          </w:tcPr>
          <w:p>
            <w:pPr>
              <w:snapToGrid w:val="0"/>
              <w:spacing w:line="280" w:lineRule="exact"/>
              <w:ind w:firstLine="360" w:firstLineChars="200"/>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sz w:val="18"/>
                <w:szCs w:val="18"/>
              </w:rPr>
              <w:t>7719</w:t>
            </w:r>
          </w:p>
        </w:tc>
        <w:tc>
          <w:tcPr>
            <w:tcW w:w="1561" w:type="pct"/>
            <w:vAlign w:val="center"/>
          </w:tcPr>
          <w:p>
            <w:pPr>
              <w:snapToGrid w:val="0"/>
              <w:ind w:firstLine="180" w:firstLineChars="100"/>
              <w:rPr>
                <w:rFonts w:ascii="宋体" w:hAnsi="宋体"/>
                <w:color w:val="000000"/>
                <w:sz w:val="18"/>
                <w:szCs w:val="18"/>
              </w:rPr>
            </w:pPr>
            <w:r>
              <w:rPr>
                <w:rFonts w:hint="eastAsia" w:ascii="宋体" w:hAnsi="宋体"/>
                <w:sz w:val="18"/>
                <w:szCs w:val="18"/>
              </w:rPr>
              <w:t>其他自然保护</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指除自然生态系统保护管理、自然遗迹保护管理、野生动植物保护以外的其他自然保护活动。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◇包括下列其他自然保护活动：</w:t>
            </w:r>
          </w:p>
          <w:p>
            <w:pPr>
              <w:snapToGrid w:val="0"/>
              <w:spacing w:line="280" w:lineRule="exact"/>
              <w:ind w:firstLine="360" w:firstLineChars="200"/>
              <w:rPr>
                <w:rFonts w:ascii="宋体" w:hAnsi="宋体"/>
                <w:sz w:val="18"/>
                <w:szCs w:val="18"/>
              </w:rPr>
            </w:pPr>
            <w:r>
              <w:rPr>
                <w:rFonts w:hint="eastAsia" w:ascii="宋体" w:hAnsi="宋体"/>
                <w:sz w:val="18"/>
                <w:szCs w:val="18"/>
              </w:rPr>
              <w:t>— 生态功能保护区管理服务；</w:t>
            </w:r>
          </w:p>
          <w:p>
            <w:pPr>
              <w:snapToGrid w:val="0"/>
              <w:spacing w:line="280" w:lineRule="exact"/>
              <w:ind w:firstLine="360" w:firstLineChars="200"/>
              <w:rPr>
                <w:rFonts w:ascii="宋体" w:hAnsi="宋体"/>
                <w:sz w:val="18"/>
                <w:szCs w:val="18"/>
              </w:rPr>
            </w:pPr>
            <w:r>
              <w:rPr>
                <w:rFonts w:hint="eastAsia" w:ascii="宋体" w:hAnsi="宋体"/>
                <w:sz w:val="18"/>
                <w:szCs w:val="18"/>
              </w:rPr>
              <w:t>— 生态示范区管理服务；</w:t>
            </w:r>
          </w:p>
          <w:p>
            <w:pPr>
              <w:snapToGrid w:val="0"/>
              <w:spacing w:line="280" w:lineRule="exact"/>
              <w:ind w:firstLine="360" w:firstLineChars="200"/>
              <w:rPr>
                <w:rFonts w:ascii="宋体" w:hAnsi="宋体"/>
                <w:sz w:val="18"/>
                <w:szCs w:val="18"/>
              </w:rPr>
            </w:pPr>
            <w:r>
              <w:rPr>
                <w:rFonts w:hint="eastAsia" w:ascii="宋体" w:hAnsi="宋体"/>
                <w:sz w:val="18"/>
                <w:szCs w:val="18"/>
              </w:rPr>
              <w:t>— 森林固碳服务；</w:t>
            </w:r>
          </w:p>
          <w:p>
            <w:pPr>
              <w:snapToGrid w:val="0"/>
              <w:spacing w:line="280" w:lineRule="exact"/>
              <w:ind w:firstLine="360" w:firstLineChars="200"/>
              <w:rPr>
                <w:rFonts w:ascii="宋体" w:hAnsi="宋体"/>
                <w:sz w:val="18"/>
                <w:szCs w:val="18"/>
              </w:rPr>
            </w:pPr>
            <w:r>
              <w:rPr>
                <w:rFonts w:hint="eastAsia" w:ascii="宋体" w:hAnsi="宋体"/>
                <w:sz w:val="18"/>
                <w:szCs w:val="18"/>
              </w:rPr>
              <w:t>— 生态保护区等管理服务；</w:t>
            </w:r>
          </w:p>
          <w:p>
            <w:pPr>
              <w:snapToGrid w:val="0"/>
              <w:spacing w:line="280" w:lineRule="exact"/>
              <w:ind w:firstLine="360" w:firstLineChars="200"/>
              <w:rPr>
                <w:rFonts w:ascii="宋体" w:hAnsi="宋体"/>
                <w:sz w:val="18"/>
                <w:szCs w:val="18"/>
              </w:rPr>
            </w:pPr>
            <w:r>
              <w:rPr>
                <w:rFonts w:hint="eastAsia" w:ascii="宋体" w:hAnsi="宋体"/>
                <w:sz w:val="18"/>
                <w:szCs w:val="18"/>
              </w:rPr>
              <w:t>— 其他未列明自然生态保护服务。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生态监测，分别列入7462（生态资源监测）、7463（野生动物疫源疫病防控监测）。</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rPr>
                <w:rFonts w:ascii="宋体" w:hAnsi="宋体"/>
                <w:b/>
                <w:color w:val="000000"/>
                <w:sz w:val="18"/>
                <w:szCs w:val="18"/>
              </w:rPr>
            </w:pPr>
            <w:r>
              <w:rPr>
                <w:rFonts w:hint="eastAsia" w:ascii="宋体" w:hAnsi="宋体"/>
                <w:b/>
                <w:color w:val="000000"/>
                <w:sz w:val="18"/>
                <w:szCs w:val="18"/>
              </w:rPr>
              <w:t>772</w:t>
            </w:r>
          </w:p>
        </w:tc>
        <w:tc>
          <w:tcPr>
            <w:tcW w:w="1561" w:type="pct"/>
            <w:vAlign w:val="center"/>
          </w:tcPr>
          <w:p>
            <w:pPr>
              <w:snapToGrid w:val="0"/>
              <w:rPr>
                <w:rFonts w:ascii="宋体" w:hAnsi="宋体"/>
                <w:b/>
                <w:sz w:val="18"/>
                <w:szCs w:val="18"/>
              </w:rPr>
            </w:pPr>
            <w:r>
              <w:rPr>
                <w:rFonts w:hint="eastAsia" w:ascii="宋体" w:hAnsi="宋体"/>
                <w:b/>
                <w:sz w:val="18"/>
                <w:szCs w:val="18"/>
              </w:rPr>
              <w:t>环境治理业</w:t>
            </w:r>
          </w:p>
        </w:tc>
        <w:tc>
          <w:tcPr>
            <w:tcW w:w="2862" w:type="pct"/>
            <w:vAlign w:val="center"/>
          </w:tcPr>
          <w:p>
            <w:pPr>
              <w:snapToGrid w:val="0"/>
              <w:spacing w:line="280" w:lineRule="exact"/>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color w:val="000000"/>
                <w:sz w:val="18"/>
                <w:szCs w:val="18"/>
              </w:rPr>
              <w:t>7721</w:t>
            </w:r>
          </w:p>
        </w:tc>
        <w:tc>
          <w:tcPr>
            <w:tcW w:w="1561" w:type="pct"/>
            <w:vAlign w:val="center"/>
          </w:tcPr>
          <w:p>
            <w:pPr>
              <w:snapToGrid w:val="0"/>
              <w:ind w:firstLine="180" w:firstLineChars="100"/>
              <w:rPr>
                <w:rFonts w:ascii="宋体" w:hAnsi="宋体"/>
                <w:color w:val="000000"/>
                <w:sz w:val="18"/>
                <w:szCs w:val="18"/>
              </w:rPr>
            </w:pPr>
            <w:r>
              <w:rPr>
                <w:rFonts w:hint="eastAsia" w:ascii="宋体" w:hAnsi="宋体"/>
                <w:color w:val="000000"/>
                <w:sz w:val="18"/>
                <w:szCs w:val="18"/>
              </w:rPr>
              <w:t>水污染治理</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指对江、河、湖泊、水库及地下水、地表水的污染综合治理活动，不包括排放污水的搜集和治理活动。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◇包括下列水污染治理活动：</w:t>
            </w:r>
          </w:p>
          <w:p>
            <w:pPr>
              <w:snapToGrid w:val="0"/>
              <w:spacing w:line="280" w:lineRule="exact"/>
              <w:ind w:firstLine="360" w:firstLineChars="200"/>
              <w:rPr>
                <w:rFonts w:ascii="宋体" w:hAnsi="宋体"/>
                <w:sz w:val="18"/>
                <w:szCs w:val="18"/>
              </w:rPr>
            </w:pPr>
            <w:r>
              <w:rPr>
                <w:rFonts w:hint="eastAsia" w:ascii="宋体" w:hAnsi="宋体"/>
                <w:sz w:val="18"/>
                <w:szCs w:val="18"/>
              </w:rPr>
              <w:t>— 城市水域治理服务：城市水域垃圾清除服务、城市水域垃圾运输服务、城市水域水草清理服务、城市水域水质下降处理服务、其他城市水域治理服务；</w:t>
            </w:r>
          </w:p>
          <w:p>
            <w:pPr>
              <w:snapToGrid w:val="0"/>
              <w:spacing w:line="280" w:lineRule="exact"/>
              <w:ind w:firstLine="360" w:firstLineChars="200"/>
              <w:rPr>
                <w:rFonts w:ascii="宋体" w:hAnsi="宋体"/>
                <w:sz w:val="18"/>
                <w:szCs w:val="18"/>
              </w:rPr>
            </w:pPr>
            <w:r>
              <w:rPr>
                <w:rFonts w:hint="eastAsia" w:ascii="宋体" w:hAnsi="宋体"/>
                <w:sz w:val="18"/>
                <w:szCs w:val="18"/>
              </w:rPr>
              <w:t>— 江、湖治理服务：江、湖垃圾清理服务，江、湖水草清理服务，江、湖水质污染治理服务，其他江、湖治理服务；</w:t>
            </w:r>
          </w:p>
          <w:p>
            <w:pPr>
              <w:snapToGrid w:val="0"/>
              <w:spacing w:line="280" w:lineRule="exact"/>
              <w:ind w:firstLine="360" w:firstLineChars="200"/>
              <w:rPr>
                <w:rFonts w:ascii="宋体" w:hAnsi="宋体"/>
                <w:sz w:val="18"/>
                <w:szCs w:val="18"/>
              </w:rPr>
            </w:pPr>
            <w:r>
              <w:rPr>
                <w:rFonts w:hint="eastAsia" w:ascii="宋体" w:hAnsi="宋体"/>
                <w:sz w:val="18"/>
                <w:szCs w:val="18"/>
              </w:rPr>
              <w:t>— 水库污染治理服务：水库垃圾清理服务、水库水草清理服务、水库水质污染治理服务、其他水库污染治理服务；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地下水污染治理服务；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水污染治理服务；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水处理自适应投加系统；</w:t>
            </w:r>
          </w:p>
          <w:p>
            <w:pPr>
              <w:snapToGrid w:val="0"/>
              <w:spacing w:line="280" w:lineRule="exact"/>
              <w:ind w:firstLine="360" w:firstLineChars="200"/>
              <w:rPr>
                <w:rFonts w:ascii="宋体" w:hAnsi="宋体"/>
                <w:sz w:val="18"/>
                <w:szCs w:val="18"/>
              </w:rPr>
            </w:pPr>
            <w:r>
              <w:rPr>
                <w:rFonts w:hint="eastAsia" w:ascii="宋体" w:hAnsi="宋体"/>
                <w:sz w:val="18"/>
                <w:szCs w:val="18"/>
              </w:rPr>
              <w:t>— 支撑大型湖泊生态治理与修复技术工程化；</w:t>
            </w:r>
          </w:p>
          <w:p>
            <w:pPr>
              <w:snapToGrid w:val="0"/>
              <w:spacing w:line="280" w:lineRule="exact"/>
              <w:ind w:firstLine="360" w:firstLineChars="200"/>
              <w:rPr>
                <w:rFonts w:ascii="宋体" w:hAnsi="宋体"/>
                <w:sz w:val="18"/>
                <w:szCs w:val="18"/>
              </w:rPr>
            </w:pPr>
            <w:r>
              <w:rPr>
                <w:rFonts w:hint="eastAsia" w:ascii="宋体" w:hAnsi="宋体"/>
                <w:sz w:val="18"/>
                <w:szCs w:val="18"/>
              </w:rPr>
              <w:t>— 地下水污染防治综合决策、地表水-地下水协同控制；</w:t>
            </w:r>
          </w:p>
          <w:p>
            <w:pPr>
              <w:snapToGrid w:val="0"/>
              <w:spacing w:line="280" w:lineRule="exact"/>
              <w:ind w:firstLine="360" w:firstLineChars="200"/>
              <w:rPr>
                <w:rFonts w:ascii="宋体" w:hAnsi="宋体"/>
                <w:sz w:val="18"/>
                <w:szCs w:val="18"/>
              </w:rPr>
            </w:pPr>
            <w:r>
              <w:rPr>
                <w:rFonts w:hint="eastAsia" w:ascii="宋体" w:hAnsi="宋体"/>
                <w:sz w:val="18"/>
                <w:szCs w:val="18"/>
              </w:rPr>
              <w:t>— 其他水污染治理服务。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城市生活污水治理和污水处理厂的活动，列入4620（污水处理及其再生利用）；</w:t>
            </w:r>
          </w:p>
          <w:p>
            <w:pPr>
              <w:snapToGrid w:val="0"/>
              <w:spacing w:line="280" w:lineRule="exact"/>
              <w:ind w:firstLine="360" w:firstLineChars="200"/>
              <w:rPr>
                <w:rFonts w:ascii="宋体" w:hAnsi="宋体"/>
                <w:sz w:val="18"/>
                <w:szCs w:val="18"/>
              </w:rPr>
            </w:pPr>
            <w:r>
              <w:rPr>
                <w:rFonts w:hint="eastAsia" w:ascii="宋体" w:hAnsi="宋体"/>
                <w:sz w:val="18"/>
                <w:szCs w:val="18"/>
              </w:rPr>
              <w:t>— 城市污水排放，列入7810（市政设施管理）；</w:t>
            </w:r>
          </w:p>
          <w:p>
            <w:pPr>
              <w:snapToGrid w:val="0"/>
              <w:spacing w:line="280" w:lineRule="exact"/>
              <w:ind w:firstLine="360" w:firstLineChars="200"/>
              <w:rPr>
                <w:rFonts w:ascii="宋体" w:hAnsi="宋体"/>
                <w:sz w:val="18"/>
                <w:szCs w:val="18"/>
              </w:rPr>
            </w:pPr>
            <w:r>
              <w:rPr>
                <w:rFonts w:hint="eastAsia" w:ascii="宋体" w:hAnsi="宋体"/>
                <w:sz w:val="18"/>
                <w:szCs w:val="18"/>
              </w:rPr>
              <w:t>— 海洋的水域污染治理，列入7432（海洋环境服务）；</w:t>
            </w:r>
          </w:p>
          <w:p>
            <w:pPr>
              <w:snapToGrid w:val="0"/>
              <w:spacing w:line="280" w:lineRule="exact"/>
              <w:ind w:firstLine="360" w:firstLineChars="200"/>
              <w:rPr>
                <w:rFonts w:ascii="宋体" w:hAnsi="宋体"/>
                <w:sz w:val="18"/>
                <w:szCs w:val="18"/>
              </w:rPr>
            </w:pPr>
            <w:r>
              <w:rPr>
                <w:rFonts w:hint="eastAsia" w:ascii="宋体" w:hAnsi="宋体"/>
                <w:sz w:val="18"/>
                <w:szCs w:val="18"/>
              </w:rPr>
              <w:t>—生态环境行政主管部门的活动，列入9224（社会事务管理机构）。</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color w:val="000000"/>
                <w:sz w:val="18"/>
                <w:szCs w:val="18"/>
              </w:rPr>
              <w:t>7722</w:t>
            </w:r>
          </w:p>
        </w:tc>
        <w:tc>
          <w:tcPr>
            <w:tcW w:w="1561" w:type="pct"/>
            <w:vAlign w:val="center"/>
          </w:tcPr>
          <w:p>
            <w:pPr>
              <w:snapToGrid w:val="0"/>
              <w:ind w:firstLine="180" w:firstLineChars="100"/>
              <w:rPr>
                <w:rFonts w:ascii="宋体" w:hAnsi="宋体"/>
                <w:color w:val="000000"/>
                <w:sz w:val="18"/>
                <w:szCs w:val="18"/>
              </w:rPr>
            </w:pPr>
            <w:r>
              <w:rPr>
                <w:rFonts w:hint="eastAsia" w:ascii="宋体" w:hAnsi="宋体"/>
                <w:sz w:val="18"/>
                <w:szCs w:val="18"/>
              </w:rPr>
              <w:t>大气污染治理</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指对大气污染的综合治理以及对工业废气的治理活动。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◇包括下列大气污染治理活动：</w:t>
            </w:r>
          </w:p>
          <w:p>
            <w:pPr>
              <w:snapToGrid w:val="0"/>
              <w:spacing w:line="280" w:lineRule="exact"/>
              <w:ind w:firstLine="360" w:firstLineChars="200"/>
              <w:rPr>
                <w:rFonts w:ascii="宋体" w:hAnsi="宋体"/>
                <w:sz w:val="18"/>
                <w:szCs w:val="18"/>
              </w:rPr>
            </w:pPr>
            <w:r>
              <w:rPr>
                <w:rFonts w:hint="eastAsia" w:ascii="宋体" w:hAnsi="宋体"/>
                <w:sz w:val="18"/>
                <w:szCs w:val="18"/>
              </w:rPr>
              <w:t>— 大气污染治理服务；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汽车尾气污染治理服务；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燃烧煤烟污染治理服务；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制造业废气污染治理服务；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工矿粉尘污染治理服务；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建筑工地粉尘污染治理服务；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其他空气污染治理服务。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污染监测活动，列入7461（环境保护监测）；</w:t>
            </w:r>
          </w:p>
          <w:p>
            <w:pPr>
              <w:snapToGrid w:val="0"/>
              <w:spacing w:line="280" w:lineRule="exact"/>
              <w:ind w:firstLine="360" w:firstLineChars="200"/>
              <w:rPr>
                <w:rFonts w:ascii="宋体" w:hAnsi="宋体"/>
                <w:sz w:val="18"/>
                <w:szCs w:val="18"/>
              </w:rPr>
            </w:pPr>
            <w:r>
              <w:rPr>
                <w:rFonts w:hint="eastAsia" w:ascii="宋体" w:hAnsi="宋体"/>
                <w:sz w:val="18"/>
                <w:szCs w:val="18"/>
              </w:rPr>
              <w:t>—生态环境行政主管部门的活动，列入9224（社会事务管理机构）。</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sz w:val="18"/>
                <w:szCs w:val="18"/>
              </w:rPr>
              <w:t>7723</w:t>
            </w:r>
          </w:p>
        </w:tc>
        <w:tc>
          <w:tcPr>
            <w:tcW w:w="1561" w:type="pct"/>
            <w:vAlign w:val="center"/>
          </w:tcPr>
          <w:p>
            <w:pPr>
              <w:snapToGrid w:val="0"/>
              <w:ind w:firstLine="180" w:firstLineChars="100"/>
              <w:rPr>
                <w:rFonts w:ascii="宋体" w:hAnsi="宋体"/>
                <w:sz w:val="18"/>
                <w:szCs w:val="18"/>
              </w:rPr>
            </w:pPr>
            <w:r>
              <w:rPr>
                <w:rFonts w:hint="eastAsia" w:ascii="宋体" w:hAnsi="宋体"/>
                <w:sz w:val="18"/>
                <w:szCs w:val="18"/>
              </w:rPr>
              <w:t>固体废物治理</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指除城乡居民生活垃圾以外的固体废物治理及其他非危险废物的治理。</w:t>
            </w:r>
          </w:p>
          <w:p>
            <w:pPr>
              <w:snapToGrid w:val="0"/>
              <w:spacing w:line="280" w:lineRule="exact"/>
              <w:ind w:firstLine="360" w:firstLineChars="200"/>
              <w:rPr>
                <w:rFonts w:ascii="宋体" w:hAnsi="宋体"/>
                <w:sz w:val="18"/>
                <w:szCs w:val="18"/>
              </w:rPr>
            </w:pPr>
            <w:r>
              <w:rPr>
                <w:rFonts w:hint="eastAsia" w:ascii="宋体" w:hAnsi="宋体"/>
                <w:sz w:val="18"/>
                <w:szCs w:val="18"/>
              </w:rPr>
              <w:t>◇包括下列固体废物治理活动：</w:t>
            </w:r>
          </w:p>
          <w:p>
            <w:pPr>
              <w:snapToGrid w:val="0"/>
              <w:spacing w:line="280" w:lineRule="exact"/>
              <w:ind w:firstLine="360" w:firstLineChars="200"/>
              <w:rPr>
                <w:rFonts w:ascii="宋体" w:hAnsi="宋体"/>
                <w:sz w:val="18"/>
                <w:szCs w:val="18"/>
              </w:rPr>
            </w:pPr>
            <w:r>
              <w:rPr>
                <w:rFonts w:hint="eastAsia" w:ascii="宋体" w:hAnsi="宋体"/>
                <w:sz w:val="18"/>
                <w:szCs w:val="18"/>
              </w:rPr>
              <w:t>— 化工产品废弃物治理服务；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矿物油废弃物治理服务；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金属矿物质废弃物治理服务；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废旧机械设备治理服务；</w:t>
            </w:r>
          </w:p>
          <w:p>
            <w:pPr>
              <w:snapToGrid w:val="0"/>
              <w:spacing w:line="280" w:lineRule="exact"/>
              <w:ind w:firstLine="360" w:firstLineChars="200"/>
              <w:rPr>
                <w:rFonts w:ascii="宋体" w:hAnsi="宋体"/>
                <w:sz w:val="18"/>
                <w:szCs w:val="18"/>
              </w:rPr>
            </w:pPr>
            <w:r>
              <w:rPr>
                <w:rFonts w:hint="eastAsia" w:ascii="宋体" w:hAnsi="宋体"/>
                <w:sz w:val="18"/>
                <w:szCs w:val="18"/>
              </w:rPr>
              <w:t>— 非金属矿物质废弃物治理服务；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工业焚烧残渣物治理服务；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建筑施工废弃物治理服务；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其他固体废物治理服务。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污染监测活动，列入7461（环境保护监测）；</w:t>
            </w:r>
          </w:p>
          <w:p>
            <w:pPr>
              <w:snapToGrid w:val="0"/>
              <w:spacing w:line="280" w:lineRule="exact"/>
              <w:ind w:firstLine="360" w:firstLineChars="200"/>
              <w:rPr>
                <w:rFonts w:ascii="宋体" w:hAnsi="宋体"/>
                <w:sz w:val="18"/>
                <w:szCs w:val="18"/>
              </w:rPr>
            </w:pPr>
            <w:r>
              <w:rPr>
                <w:rFonts w:hint="eastAsia" w:ascii="宋体" w:hAnsi="宋体"/>
                <w:sz w:val="18"/>
                <w:szCs w:val="18"/>
              </w:rPr>
              <w:t>— 固体废物提炼金属的活动，列入31（黑色金属冶炼和压延加工业）和32（有色金属冶炼和压延加工业）相关分类中；</w:t>
            </w:r>
          </w:p>
          <w:p>
            <w:pPr>
              <w:snapToGrid w:val="0"/>
              <w:spacing w:line="280" w:lineRule="exact"/>
              <w:ind w:firstLine="360" w:firstLineChars="200"/>
              <w:rPr>
                <w:rFonts w:ascii="宋体" w:hAnsi="宋体"/>
                <w:sz w:val="18"/>
                <w:szCs w:val="18"/>
              </w:rPr>
            </w:pPr>
            <w:r>
              <w:rPr>
                <w:rFonts w:hint="eastAsia" w:ascii="宋体" w:hAnsi="宋体"/>
                <w:sz w:val="18"/>
                <w:szCs w:val="18"/>
              </w:rPr>
              <w:t>—生态环境行政主管部门的活动，列入9224（社会事务管理机构）。</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sz w:val="18"/>
                <w:szCs w:val="18"/>
              </w:rPr>
              <w:t>7724</w:t>
            </w:r>
          </w:p>
        </w:tc>
        <w:tc>
          <w:tcPr>
            <w:tcW w:w="1561" w:type="pct"/>
            <w:vAlign w:val="center"/>
          </w:tcPr>
          <w:p>
            <w:pPr>
              <w:snapToGrid w:val="0"/>
              <w:ind w:firstLine="180" w:firstLineChars="100"/>
              <w:rPr>
                <w:rFonts w:ascii="宋体" w:hAnsi="宋体"/>
                <w:color w:val="000000"/>
                <w:sz w:val="18"/>
                <w:szCs w:val="18"/>
              </w:rPr>
            </w:pPr>
            <w:r>
              <w:rPr>
                <w:rFonts w:hint="eastAsia" w:ascii="宋体" w:hAnsi="宋体"/>
                <w:sz w:val="18"/>
                <w:szCs w:val="18"/>
              </w:rPr>
              <w:t>危险废物治理</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指对制造、维修、医疗等活动产生的列入《国家危险废物名录》的危险废物进行收集、贮存、利用、处理和处置等活动。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◇包括下列危险废物治理活动：</w:t>
            </w:r>
          </w:p>
          <w:p>
            <w:pPr>
              <w:snapToGrid w:val="0"/>
              <w:spacing w:line="280" w:lineRule="exact"/>
              <w:ind w:firstLine="360" w:firstLineChars="200"/>
              <w:rPr>
                <w:rFonts w:ascii="宋体" w:hAnsi="宋体"/>
                <w:sz w:val="18"/>
                <w:szCs w:val="18"/>
              </w:rPr>
            </w:pPr>
            <w:r>
              <w:rPr>
                <w:rFonts w:hint="eastAsia" w:ascii="宋体" w:hAnsi="宋体"/>
                <w:sz w:val="18"/>
                <w:szCs w:val="18"/>
              </w:rPr>
              <w:t>— 医疗及药物废弃物治理服务；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腐蚀性废弃物治理服务；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有毒性废弃物治理服务；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爆炸性废弃物治理服务；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危险废弃物治理；</w:t>
            </w:r>
          </w:p>
          <w:p>
            <w:pPr>
              <w:snapToGrid w:val="0"/>
              <w:spacing w:line="280" w:lineRule="exact"/>
              <w:ind w:firstLine="360" w:firstLineChars="200"/>
              <w:rPr>
                <w:rFonts w:ascii="宋体" w:hAnsi="宋体"/>
                <w:sz w:val="18"/>
                <w:szCs w:val="18"/>
              </w:rPr>
            </w:pPr>
            <w:r>
              <w:rPr>
                <w:rFonts w:hint="eastAsia" w:ascii="宋体" w:hAnsi="宋体"/>
                <w:sz w:val="18"/>
                <w:szCs w:val="18"/>
              </w:rPr>
              <w:t>— 危险废弃物处置；</w:t>
            </w:r>
          </w:p>
          <w:p>
            <w:pPr>
              <w:snapToGrid w:val="0"/>
              <w:spacing w:line="280" w:lineRule="exact"/>
              <w:ind w:firstLine="360" w:firstLineChars="200"/>
              <w:rPr>
                <w:rFonts w:ascii="宋体" w:hAnsi="宋体"/>
                <w:sz w:val="18"/>
                <w:szCs w:val="18"/>
              </w:rPr>
            </w:pPr>
            <w:r>
              <w:rPr>
                <w:rFonts w:hint="eastAsia" w:ascii="宋体" w:hAnsi="宋体"/>
                <w:sz w:val="18"/>
                <w:szCs w:val="18"/>
              </w:rPr>
              <w:t>— 利用水泥窑协同处置危险废弃物；</w:t>
            </w:r>
          </w:p>
          <w:p>
            <w:pPr>
              <w:snapToGrid w:val="0"/>
              <w:spacing w:line="280" w:lineRule="exact"/>
              <w:ind w:firstLine="360" w:firstLineChars="200"/>
              <w:rPr>
                <w:rFonts w:ascii="宋体" w:hAnsi="宋体"/>
                <w:sz w:val="18"/>
                <w:szCs w:val="18"/>
              </w:rPr>
            </w:pPr>
            <w:r>
              <w:rPr>
                <w:rFonts w:hint="eastAsia" w:ascii="宋体" w:hAnsi="宋体"/>
                <w:sz w:val="18"/>
                <w:szCs w:val="18"/>
              </w:rPr>
              <w:t>— 其他危险废物治理服务。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污染监测活动，列入7461（环境保护监测）；</w:t>
            </w:r>
          </w:p>
          <w:p>
            <w:pPr>
              <w:snapToGrid w:val="0"/>
              <w:spacing w:line="280" w:lineRule="exact"/>
              <w:ind w:firstLine="360" w:firstLineChars="200"/>
              <w:rPr>
                <w:rFonts w:ascii="宋体" w:hAnsi="宋体"/>
                <w:sz w:val="18"/>
                <w:szCs w:val="18"/>
              </w:rPr>
            </w:pPr>
            <w:r>
              <w:rPr>
                <w:rFonts w:hint="eastAsia" w:ascii="宋体" w:hAnsi="宋体"/>
                <w:sz w:val="18"/>
                <w:szCs w:val="18"/>
              </w:rPr>
              <w:t>— 危险废物提炼金属的活动，列入31（黑色金属冶炼和压延加工业）和32（有色金属冶炼和压延加工业）相关分类中；</w:t>
            </w:r>
          </w:p>
          <w:p>
            <w:pPr>
              <w:snapToGrid w:val="0"/>
              <w:spacing w:line="280" w:lineRule="exact"/>
              <w:ind w:firstLine="360" w:firstLineChars="200"/>
              <w:rPr>
                <w:rFonts w:ascii="宋体" w:hAnsi="宋体"/>
                <w:sz w:val="18"/>
                <w:szCs w:val="18"/>
              </w:rPr>
            </w:pPr>
            <w:r>
              <w:rPr>
                <w:rFonts w:hint="eastAsia" w:ascii="宋体" w:hAnsi="宋体"/>
                <w:sz w:val="18"/>
                <w:szCs w:val="18"/>
              </w:rPr>
              <w:t>—生态环境行政主管部门的活动，列入9224（社会事务管理机构）。</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sz w:val="18"/>
                <w:szCs w:val="18"/>
              </w:rPr>
              <w:t>7725</w:t>
            </w:r>
          </w:p>
        </w:tc>
        <w:tc>
          <w:tcPr>
            <w:tcW w:w="1561" w:type="pct"/>
            <w:vAlign w:val="center"/>
          </w:tcPr>
          <w:p>
            <w:pPr>
              <w:snapToGrid w:val="0"/>
              <w:ind w:firstLine="180" w:firstLineChars="100"/>
              <w:rPr>
                <w:rFonts w:ascii="宋体" w:hAnsi="宋体"/>
                <w:color w:val="000000"/>
                <w:sz w:val="18"/>
                <w:szCs w:val="18"/>
              </w:rPr>
            </w:pPr>
            <w:r>
              <w:rPr>
                <w:rFonts w:hint="eastAsia" w:ascii="宋体" w:hAnsi="宋体"/>
                <w:sz w:val="18"/>
                <w:szCs w:val="18"/>
              </w:rPr>
              <w:t>放射性废物治理</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指对生产及其他活动过程产生的放射性废物进行收集、运输、贮存、利用、处理和处置等活动。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◇包括下列放射性废物治理活动：</w:t>
            </w:r>
          </w:p>
          <w:p>
            <w:pPr>
              <w:snapToGrid w:val="0"/>
              <w:spacing w:line="280" w:lineRule="exact"/>
              <w:ind w:firstLine="360" w:firstLineChars="200"/>
              <w:rPr>
                <w:rFonts w:ascii="宋体" w:hAnsi="宋体"/>
                <w:sz w:val="18"/>
                <w:szCs w:val="18"/>
              </w:rPr>
            </w:pPr>
            <w:r>
              <w:rPr>
                <w:rFonts w:hint="eastAsia" w:ascii="宋体" w:hAnsi="宋体"/>
                <w:sz w:val="18"/>
                <w:szCs w:val="18"/>
              </w:rPr>
              <w:t>— 辐射污染治理服务；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辐射污染防护服务；</w:t>
            </w:r>
          </w:p>
          <w:p>
            <w:pPr>
              <w:snapToGrid w:val="0"/>
              <w:spacing w:line="280" w:lineRule="exact"/>
              <w:ind w:firstLine="360" w:firstLineChars="200"/>
              <w:rPr>
                <w:rFonts w:ascii="宋体" w:hAnsi="宋体"/>
                <w:sz w:val="18"/>
                <w:szCs w:val="18"/>
              </w:rPr>
            </w:pPr>
            <w:r>
              <w:rPr>
                <w:rFonts w:hint="eastAsia" w:ascii="宋体" w:hAnsi="宋体"/>
                <w:sz w:val="18"/>
                <w:szCs w:val="18"/>
              </w:rPr>
              <w:t>— 放射性废物收集、贮存、利用、处理等服务。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污染监测活动，列入7461（环境保护监测）；</w:t>
            </w:r>
          </w:p>
          <w:p>
            <w:pPr>
              <w:snapToGrid w:val="0"/>
              <w:spacing w:line="280" w:lineRule="exact"/>
              <w:ind w:firstLine="360" w:firstLineChars="200"/>
              <w:rPr>
                <w:rFonts w:ascii="宋体" w:hAnsi="宋体"/>
                <w:sz w:val="18"/>
                <w:szCs w:val="18"/>
              </w:rPr>
            </w:pPr>
            <w:r>
              <w:rPr>
                <w:rFonts w:hint="eastAsia" w:ascii="宋体" w:hAnsi="宋体"/>
                <w:sz w:val="18"/>
                <w:szCs w:val="18"/>
              </w:rPr>
              <w:t>—生态环境行政主管部门的活动，列入9224（社会事务管理机构）。</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sz w:val="18"/>
                <w:szCs w:val="18"/>
              </w:rPr>
            </w:pPr>
            <w:r>
              <w:rPr>
                <w:rFonts w:hint="eastAsia" w:ascii="宋体" w:hAnsi="宋体"/>
                <w:sz w:val="18"/>
                <w:szCs w:val="18"/>
              </w:rPr>
              <w:t>7726</w:t>
            </w:r>
          </w:p>
        </w:tc>
        <w:tc>
          <w:tcPr>
            <w:tcW w:w="1561" w:type="pct"/>
            <w:vAlign w:val="center"/>
          </w:tcPr>
          <w:p>
            <w:pPr>
              <w:snapToGrid w:val="0"/>
              <w:ind w:firstLine="180" w:firstLineChars="100"/>
              <w:rPr>
                <w:rFonts w:ascii="宋体" w:hAnsi="宋体"/>
                <w:sz w:val="18"/>
                <w:szCs w:val="18"/>
              </w:rPr>
            </w:pPr>
            <w:r>
              <w:rPr>
                <w:rFonts w:hint="eastAsia" w:ascii="宋体" w:hAnsi="宋体"/>
                <w:sz w:val="18"/>
                <w:szCs w:val="18"/>
              </w:rPr>
              <w:t>土壤污染治理与修复服务</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◇包括下列土壤污染治理与修复服务活动：</w:t>
            </w:r>
          </w:p>
          <w:p>
            <w:pPr>
              <w:snapToGrid w:val="0"/>
              <w:spacing w:line="280" w:lineRule="exact"/>
              <w:ind w:firstLine="360" w:firstLineChars="200"/>
              <w:rPr>
                <w:rFonts w:ascii="宋体" w:hAnsi="宋体"/>
                <w:sz w:val="18"/>
                <w:szCs w:val="18"/>
              </w:rPr>
            </w:pPr>
            <w:r>
              <w:rPr>
                <w:rFonts w:hint="eastAsia" w:ascii="宋体" w:hAnsi="宋体"/>
                <w:sz w:val="18"/>
                <w:szCs w:val="18"/>
              </w:rPr>
              <w:t>— 工矿企业土壤污染隐患排查咨询服务；</w:t>
            </w:r>
          </w:p>
          <w:p>
            <w:pPr>
              <w:snapToGrid w:val="0"/>
              <w:spacing w:line="280" w:lineRule="exact"/>
              <w:ind w:firstLine="360" w:firstLineChars="200"/>
              <w:rPr>
                <w:rFonts w:ascii="宋体" w:hAnsi="宋体"/>
                <w:sz w:val="18"/>
                <w:szCs w:val="18"/>
              </w:rPr>
            </w:pPr>
            <w:r>
              <w:rPr>
                <w:rFonts w:hint="eastAsia" w:ascii="宋体" w:hAnsi="宋体"/>
                <w:sz w:val="18"/>
                <w:szCs w:val="18"/>
              </w:rPr>
              <w:t>— 污染地块土壤污染状况调查服务；</w:t>
            </w:r>
          </w:p>
          <w:p>
            <w:pPr>
              <w:snapToGrid w:val="0"/>
              <w:spacing w:line="280" w:lineRule="exact"/>
              <w:ind w:firstLine="360" w:firstLineChars="200"/>
              <w:rPr>
                <w:rFonts w:ascii="宋体" w:hAnsi="宋体"/>
                <w:sz w:val="18"/>
                <w:szCs w:val="18"/>
              </w:rPr>
            </w:pPr>
            <w:r>
              <w:rPr>
                <w:rFonts w:hint="eastAsia" w:ascii="宋体" w:hAnsi="宋体"/>
                <w:sz w:val="18"/>
                <w:szCs w:val="18"/>
              </w:rPr>
              <w:t>— 污染地块土壤污染风险评估服务；</w:t>
            </w:r>
          </w:p>
          <w:p>
            <w:pPr>
              <w:snapToGrid w:val="0"/>
              <w:spacing w:line="280" w:lineRule="exact"/>
              <w:ind w:firstLine="360" w:firstLineChars="200"/>
              <w:rPr>
                <w:rFonts w:ascii="宋体" w:hAnsi="宋体"/>
                <w:sz w:val="18"/>
                <w:szCs w:val="18"/>
              </w:rPr>
            </w:pPr>
            <w:r>
              <w:rPr>
                <w:rFonts w:hint="eastAsia" w:ascii="宋体" w:hAnsi="宋体"/>
                <w:sz w:val="18"/>
                <w:szCs w:val="18"/>
              </w:rPr>
              <w:t>— 污染地块土壤污染风险管控服务；</w:t>
            </w:r>
          </w:p>
          <w:p>
            <w:pPr>
              <w:snapToGrid w:val="0"/>
              <w:spacing w:line="280" w:lineRule="exact"/>
              <w:ind w:firstLine="360" w:firstLineChars="200"/>
              <w:rPr>
                <w:rFonts w:ascii="宋体" w:hAnsi="宋体"/>
                <w:sz w:val="18"/>
                <w:szCs w:val="18"/>
              </w:rPr>
            </w:pPr>
            <w:r>
              <w:rPr>
                <w:rFonts w:hint="eastAsia" w:ascii="宋体" w:hAnsi="宋体"/>
                <w:sz w:val="18"/>
                <w:szCs w:val="18"/>
              </w:rPr>
              <w:t>— 污染地块土壤污染治理修复效果评估（含长期跟踪监测、评估）服务；</w:t>
            </w:r>
          </w:p>
          <w:p>
            <w:pPr>
              <w:snapToGrid w:val="0"/>
              <w:spacing w:line="280" w:lineRule="exact"/>
              <w:ind w:firstLine="360" w:firstLineChars="200"/>
              <w:rPr>
                <w:rFonts w:ascii="宋体" w:hAnsi="宋体"/>
                <w:sz w:val="18"/>
                <w:szCs w:val="18"/>
              </w:rPr>
            </w:pPr>
            <w:r>
              <w:rPr>
                <w:rFonts w:hint="eastAsia" w:ascii="宋体" w:hAnsi="宋体"/>
                <w:sz w:val="18"/>
                <w:szCs w:val="18"/>
              </w:rPr>
              <w:t>— 农用地土壤环境质量类别划分咨询服务；</w:t>
            </w:r>
          </w:p>
          <w:p>
            <w:pPr>
              <w:snapToGrid w:val="0"/>
              <w:spacing w:line="280" w:lineRule="exact"/>
              <w:ind w:firstLine="360" w:firstLineChars="200"/>
              <w:rPr>
                <w:rFonts w:ascii="宋体" w:hAnsi="宋体"/>
                <w:sz w:val="18"/>
                <w:szCs w:val="18"/>
              </w:rPr>
            </w:pPr>
            <w:r>
              <w:rPr>
                <w:rFonts w:hint="eastAsia" w:ascii="宋体" w:hAnsi="宋体"/>
                <w:sz w:val="18"/>
                <w:szCs w:val="18"/>
              </w:rPr>
              <w:t>— 农用地土壤安全利用咨询服务；</w:t>
            </w:r>
          </w:p>
          <w:p>
            <w:pPr>
              <w:snapToGrid w:val="0"/>
              <w:spacing w:line="280" w:lineRule="exact"/>
              <w:ind w:firstLine="360" w:firstLineChars="200"/>
              <w:rPr>
                <w:rFonts w:ascii="宋体" w:hAnsi="宋体"/>
                <w:sz w:val="18"/>
                <w:szCs w:val="18"/>
              </w:rPr>
            </w:pPr>
            <w:r>
              <w:rPr>
                <w:rFonts w:hint="eastAsia" w:ascii="宋体" w:hAnsi="宋体"/>
                <w:sz w:val="18"/>
                <w:szCs w:val="18"/>
              </w:rPr>
              <w:t>— 受污染农用地土壤污染治理与修复服务；</w:t>
            </w:r>
          </w:p>
          <w:p>
            <w:pPr>
              <w:snapToGrid w:val="0"/>
              <w:spacing w:line="280" w:lineRule="exact"/>
              <w:ind w:firstLine="360" w:firstLineChars="200"/>
              <w:rPr>
                <w:rFonts w:ascii="宋体" w:hAnsi="宋体"/>
                <w:sz w:val="18"/>
                <w:szCs w:val="18"/>
              </w:rPr>
            </w:pPr>
            <w:r>
              <w:rPr>
                <w:rFonts w:hint="eastAsia" w:ascii="宋体" w:hAnsi="宋体"/>
                <w:sz w:val="18"/>
                <w:szCs w:val="18"/>
              </w:rPr>
              <w:t>— 土壤污染生物修复服务；</w:t>
            </w:r>
          </w:p>
          <w:p>
            <w:pPr>
              <w:snapToGrid w:val="0"/>
              <w:spacing w:line="280" w:lineRule="exact"/>
              <w:ind w:firstLine="360" w:firstLineChars="200"/>
              <w:rPr>
                <w:rFonts w:ascii="宋体" w:hAnsi="宋体"/>
                <w:sz w:val="18"/>
                <w:szCs w:val="18"/>
              </w:rPr>
            </w:pPr>
            <w:r>
              <w:rPr>
                <w:rFonts w:hint="eastAsia" w:ascii="宋体" w:hAnsi="宋体"/>
                <w:sz w:val="18"/>
                <w:szCs w:val="18"/>
              </w:rPr>
              <w:t>— 土壤污染治理与修复服务；</w:t>
            </w:r>
          </w:p>
          <w:p>
            <w:pPr>
              <w:snapToGrid w:val="0"/>
              <w:spacing w:line="280" w:lineRule="exact"/>
              <w:ind w:firstLine="360" w:firstLineChars="200"/>
              <w:rPr>
                <w:rFonts w:ascii="宋体" w:hAnsi="宋体"/>
                <w:sz w:val="18"/>
                <w:szCs w:val="18"/>
              </w:rPr>
            </w:pPr>
            <w:r>
              <w:rPr>
                <w:rFonts w:hint="eastAsia" w:ascii="宋体" w:hAnsi="宋体"/>
                <w:sz w:val="18"/>
                <w:szCs w:val="18"/>
              </w:rPr>
              <w:t>— 支撑农田土壤污染防控与修复工程化；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支撑有机污染场地修复技术工程化；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支撑重金属污染场地修复技术工程化；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支撑农田面源污染防治技术工程化；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支撑重金属污染农田修复技术、产品与装备工程化；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支撑重金属污染耕地安全利用与替代种植技术、产品工程化；</w:t>
            </w:r>
          </w:p>
          <w:p>
            <w:pPr>
              <w:snapToGrid w:val="0"/>
              <w:spacing w:line="280" w:lineRule="exact"/>
              <w:ind w:firstLine="360" w:firstLineChars="200"/>
              <w:rPr>
                <w:rFonts w:ascii="宋体" w:hAnsi="宋体"/>
                <w:sz w:val="18"/>
                <w:szCs w:val="18"/>
              </w:rPr>
            </w:pPr>
            <w:r>
              <w:rPr>
                <w:rFonts w:hint="eastAsia" w:ascii="宋体" w:hAnsi="宋体"/>
                <w:sz w:val="18"/>
                <w:szCs w:val="18"/>
              </w:rPr>
              <w:t>— 支撑农业有机废弃物无害化消纳利用技术与装备工程化；</w:t>
            </w:r>
          </w:p>
          <w:p>
            <w:pPr>
              <w:snapToGrid w:val="0"/>
              <w:spacing w:line="280" w:lineRule="exact"/>
              <w:ind w:firstLine="360" w:firstLineChars="200"/>
              <w:rPr>
                <w:rFonts w:ascii="宋体" w:hAnsi="宋体"/>
                <w:sz w:val="18"/>
                <w:szCs w:val="18"/>
              </w:rPr>
            </w:pPr>
            <w:r>
              <w:rPr>
                <w:rFonts w:hint="eastAsia" w:ascii="宋体" w:hAnsi="宋体"/>
                <w:sz w:val="18"/>
                <w:szCs w:val="18"/>
              </w:rPr>
              <w:t>— 其他土壤污染治理与修复服务。</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sz w:val="18"/>
                <w:szCs w:val="18"/>
              </w:rPr>
            </w:pPr>
            <w:r>
              <w:rPr>
                <w:rFonts w:hint="eastAsia" w:ascii="宋体" w:hAnsi="宋体"/>
                <w:sz w:val="18"/>
                <w:szCs w:val="18"/>
              </w:rPr>
              <w:t>7727</w:t>
            </w:r>
          </w:p>
        </w:tc>
        <w:tc>
          <w:tcPr>
            <w:tcW w:w="1561" w:type="pct"/>
            <w:vAlign w:val="center"/>
          </w:tcPr>
          <w:p>
            <w:pPr>
              <w:snapToGrid w:val="0"/>
              <w:ind w:firstLine="180" w:firstLineChars="100"/>
              <w:rPr>
                <w:rFonts w:ascii="宋体" w:hAnsi="宋体"/>
                <w:sz w:val="18"/>
                <w:szCs w:val="18"/>
              </w:rPr>
            </w:pPr>
            <w:r>
              <w:rPr>
                <w:rFonts w:hint="eastAsia" w:ascii="宋体" w:hAnsi="宋体"/>
                <w:sz w:val="18"/>
                <w:szCs w:val="18"/>
              </w:rPr>
              <w:t>噪声与振动控制服务</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指为噪声与振动的污染防治和建设工程提供测试分析、影响评价、技术咨询、工程应用、设施运营等相关环境服务活动。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◇包括下列噪声与振动控制服务活动：</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噪声与振动测试分析服务；</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噪声与振动影响评价、评估服务；</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噪声与振动控制技术咨询服务；</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噪声与振动控制工程应用服务；</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噪声与振动控制设施运用服务；</w:t>
            </w:r>
          </w:p>
          <w:p>
            <w:pPr>
              <w:snapToGrid w:val="0"/>
              <w:spacing w:line="280" w:lineRule="exact"/>
              <w:ind w:firstLine="360" w:firstLineChars="200"/>
              <w:rPr>
                <w:rFonts w:ascii="宋体" w:hAnsi="宋体"/>
                <w:sz w:val="18"/>
                <w:szCs w:val="18"/>
              </w:rPr>
            </w:pPr>
            <w:r>
              <w:rPr>
                <w:rFonts w:hint="eastAsia" w:ascii="宋体" w:hAnsi="宋体"/>
                <w:sz w:val="18"/>
                <w:szCs w:val="18"/>
              </w:rPr>
              <w:t>— 工业企业噪声与振动污染治理服务；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建筑施工噪声与振动污染治理服务；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交通噪声污染治理服务；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社会生活噪声与振动污染治理服务；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噪声与振动控制服务；</w:t>
            </w:r>
          </w:p>
          <w:p>
            <w:pPr>
              <w:snapToGrid w:val="0"/>
              <w:spacing w:line="280" w:lineRule="exact"/>
              <w:ind w:firstLine="360" w:firstLineChars="200"/>
              <w:rPr>
                <w:rFonts w:ascii="宋体" w:hAnsi="宋体"/>
                <w:sz w:val="18"/>
                <w:szCs w:val="18"/>
              </w:rPr>
            </w:pPr>
            <w:r>
              <w:rPr>
                <w:rFonts w:hint="eastAsia" w:ascii="宋体" w:hAnsi="宋体"/>
                <w:sz w:val="18"/>
                <w:szCs w:val="18"/>
              </w:rPr>
              <w:t>— 噪声污染治理服务；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其他噪声与振动污染治理服务。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噪声与振动防控监测服务，列入7461（环境保护监测）；</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噪声与振动防控技术研究，列入7320（工程和技术研究和试验发展）；</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噪声与振动防控工程设计，列入7484（工程设计活动）；</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噪声与振动防控培训教育，列入8391（职业技能培训）；</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噪声与振动防控技术推广，列入7516（环保技术推广服务）；</w:t>
            </w:r>
          </w:p>
          <w:p>
            <w:pPr>
              <w:snapToGrid w:val="0"/>
              <w:spacing w:line="280" w:lineRule="exact"/>
              <w:ind w:firstLine="360" w:firstLineChars="200"/>
              <w:rPr>
                <w:rFonts w:ascii="宋体" w:hAnsi="宋体"/>
                <w:sz w:val="18"/>
                <w:szCs w:val="18"/>
              </w:rPr>
            </w:pPr>
            <w:r>
              <w:rPr>
                <w:rFonts w:hint="eastAsia" w:ascii="宋体" w:hAnsi="宋体"/>
                <w:sz w:val="18"/>
                <w:szCs w:val="18"/>
              </w:rPr>
              <w:t>— 噪声与振动防控产品检测、认证，列入7452（检测服务）或7455（认证认可服务）。</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577" w:type="pct"/>
            <w:vAlign w:val="center"/>
          </w:tcPr>
          <w:p>
            <w:pPr>
              <w:snapToGrid w:val="0"/>
              <w:ind w:firstLine="90" w:firstLineChars="50"/>
              <w:rPr>
                <w:rFonts w:ascii="宋体" w:hAnsi="宋体"/>
                <w:color w:val="000000"/>
                <w:sz w:val="18"/>
                <w:szCs w:val="18"/>
              </w:rPr>
            </w:pPr>
            <w:r>
              <w:rPr>
                <w:rFonts w:hint="eastAsia" w:ascii="宋体" w:hAnsi="宋体"/>
                <w:sz w:val="18"/>
                <w:szCs w:val="18"/>
              </w:rPr>
              <w:t>7729</w:t>
            </w:r>
          </w:p>
        </w:tc>
        <w:tc>
          <w:tcPr>
            <w:tcW w:w="1561" w:type="pct"/>
            <w:vAlign w:val="center"/>
          </w:tcPr>
          <w:p>
            <w:pPr>
              <w:snapToGrid w:val="0"/>
              <w:ind w:firstLine="180" w:firstLineChars="100"/>
              <w:rPr>
                <w:rFonts w:ascii="宋体" w:hAnsi="宋体"/>
                <w:color w:val="000000"/>
                <w:sz w:val="18"/>
                <w:szCs w:val="18"/>
              </w:rPr>
            </w:pPr>
            <w:r>
              <w:rPr>
                <w:rFonts w:hint="eastAsia" w:ascii="宋体" w:hAnsi="宋体"/>
                <w:sz w:val="18"/>
                <w:szCs w:val="18"/>
              </w:rPr>
              <w:t>其他污染治理</w:t>
            </w:r>
          </w:p>
        </w:tc>
        <w:tc>
          <w:tcPr>
            <w:tcW w:w="2862" w:type="pct"/>
            <w:vAlign w:val="center"/>
          </w:tcPr>
          <w:p>
            <w:pPr>
              <w:snapToGrid w:val="0"/>
              <w:spacing w:line="280" w:lineRule="exact"/>
              <w:ind w:firstLine="360" w:firstLineChars="200"/>
              <w:rPr>
                <w:rFonts w:ascii="宋体" w:hAnsi="宋体"/>
                <w:sz w:val="18"/>
                <w:szCs w:val="18"/>
              </w:rPr>
            </w:pPr>
            <w:r>
              <w:rPr>
                <w:rFonts w:hint="eastAsia" w:ascii="宋体" w:hAnsi="宋体"/>
                <w:sz w:val="18"/>
                <w:szCs w:val="18"/>
              </w:rPr>
              <w:t>指除上述治理以外的其他环境治理活动。</w:t>
            </w:r>
          </w:p>
          <w:p>
            <w:pPr>
              <w:snapToGrid w:val="0"/>
              <w:spacing w:line="280" w:lineRule="exact"/>
              <w:ind w:firstLine="360" w:firstLineChars="200"/>
              <w:rPr>
                <w:rFonts w:ascii="宋体" w:hAnsi="宋体"/>
                <w:sz w:val="18"/>
                <w:szCs w:val="18"/>
              </w:rPr>
            </w:pPr>
            <w:r>
              <w:rPr>
                <w:rFonts w:hint="eastAsia" w:ascii="宋体" w:hAnsi="宋体"/>
                <w:sz w:val="18"/>
                <w:szCs w:val="18"/>
              </w:rPr>
              <w:t>◇包括下列其他污染治理活动：</w:t>
            </w:r>
          </w:p>
          <w:p>
            <w:pPr>
              <w:snapToGrid w:val="0"/>
              <w:spacing w:line="280" w:lineRule="exact"/>
              <w:ind w:firstLine="360" w:firstLineChars="200"/>
              <w:rPr>
                <w:rFonts w:ascii="宋体" w:hAnsi="宋体"/>
                <w:sz w:val="18"/>
                <w:szCs w:val="18"/>
              </w:rPr>
            </w:pPr>
            <w:r>
              <w:rPr>
                <w:rFonts w:hint="eastAsia" w:ascii="宋体" w:hAnsi="宋体"/>
                <w:sz w:val="18"/>
                <w:szCs w:val="18"/>
              </w:rPr>
              <w:t>—光污染治理服务；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—地质灾害治理服务；</w:t>
            </w:r>
          </w:p>
          <w:p>
            <w:pPr>
              <w:snapToGrid w:val="0"/>
              <w:spacing w:line="280" w:lineRule="exact"/>
              <w:ind w:firstLine="360" w:firstLineChars="200"/>
              <w:rPr>
                <w:rFonts w:ascii="宋体" w:hAnsi="宋体"/>
                <w:sz w:val="18"/>
                <w:szCs w:val="18"/>
              </w:rPr>
            </w:pPr>
            <w:r>
              <w:rPr>
                <w:rFonts w:hint="eastAsia" w:ascii="宋体" w:hAnsi="宋体"/>
                <w:sz w:val="18"/>
                <w:szCs w:val="18"/>
              </w:rPr>
              <w:t>— 生态恢复及生态保护服务；</w:t>
            </w:r>
          </w:p>
          <w:p>
            <w:pPr>
              <w:snapToGrid w:val="0"/>
              <w:spacing w:line="280" w:lineRule="exact"/>
              <w:ind w:firstLine="360" w:firstLineChars="200"/>
              <w:rPr>
                <w:rFonts w:ascii="宋体" w:hAnsi="宋体"/>
                <w:sz w:val="18"/>
                <w:szCs w:val="18"/>
              </w:rPr>
            </w:pPr>
            <w:r>
              <w:rPr>
                <w:rFonts w:hint="eastAsia" w:ascii="宋体" w:hAnsi="宋体"/>
                <w:sz w:val="18"/>
                <w:szCs w:val="18"/>
              </w:rPr>
              <w:t>— 环境应急治理服务；</w:t>
            </w:r>
          </w:p>
          <w:p>
            <w:pPr>
              <w:snapToGrid w:val="0"/>
              <w:spacing w:line="280" w:lineRule="exact"/>
              <w:ind w:firstLine="360" w:firstLineChars="200"/>
              <w:rPr>
                <w:rFonts w:ascii="宋体" w:hAnsi="宋体"/>
                <w:sz w:val="18"/>
                <w:szCs w:val="18"/>
              </w:rPr>
            </w:pPr>
            <w:r>
              <w:rPr>
                <w:rFonts w:hint="eastAsia" w:ascii="宋体" w:hAnsi="宋体"/>
                <w:sz w:val="18"/>
                <w:szCs w:val="18"/>
              </w:rPr>
              <w:t>— 其他未列明污染治理服务；</w:t>
            </w:r>
          </w:p>
          <w:p>
            <w:pPr>
              <w:snapToGrid w:val="0"/>
              <w:spacing w:line="280" w:lineRule="exact"/>
              <w:ind w:firstLine="360" w:firstLineChars="200"/>
              <w:rPr>
                <w:rFonts w:ascii="宋体" w:hAnsi="宋体"/>
                <w:sz w:val="18"/>
                <w:szCs w:val="18"/>
              </w:rPr>
            </w:pPr>
            <w:r>
              <w:rPr>
                <w:rFonts w:hint="eastAsia" w:ascii="宋体" w:hAnsi="宋体"/>
                <w:sz w:val="18"/>
                <w:szCs w:val="18"/>
              </w:rPr>
              <w:t>—其他未列明环境治理服务。</w:t>
            </w:r>
          </w:p>
          <w:p>
            <w:pPr>
              <w:snapToGrid w:val="0"/>
              <w:spacing w:line="280" w:lineRule="exact"/>
              <w:ind w:firstLine="360" w:firstLineChars="200"/>
              <w:rPr>
                <w:rFonts w:ascii="宋体" w:hAnsi="宋体"/>
                <w:sz w:val="18"/>
                <w:szCs w:val="18"/>
              </w:rPr>
            </w:pPr>
            <w:r>
              <w:rPr>
                <w:rFonts w:hint="eastAsia" w:ascii="宋体" w:hAnsi="宋体"/>
                <w:sz w:val="18"/>
                <w:szCs w:val="18"/>
              </w:rPr>
              <w:t>◆不包括：</w:t>
            </w:r>
          </w:p>
          <w:p>
            <w:pPr>
              <w:snapToGrid w:val="0"/>
              <w:spacing w:line="280" w:lineRule="exact"/>
              <w:ind w:firstLine="360" w:firstLineChars="200"/>
              <w:rPr>
                <w:rFonts w:ascii="宋体" w:hAnsi="宋体"/>
                <w:sz w:val="18"/>
                <w:szCs w:val="18"/>
              </w:rPr>
            </w:pPr>
            <w:r>
              <w:rPr>
                <w:rFonts w:hint="eastAsia" w:ascii="宋体" w:hAnsi="宋体"/>
                <w:sz w:val="18"/>
                <w:szCs w:val="18"/>
              </w:rPr>
              <w:t>—污染监测活动，列入7461（环境保护监测）；</w:t>
            </w:r>
          </w:p>
          <w:p>
            <w:pPr>
              <w:snapToGrid w:val="0"/>
              <w:spacing w:line="280" w:lineRule="exact"/>
              <w:ind w:firstLine="360" w:firstLineChars="200"/>
              <w:rPr>
                <w:rFonts w:ascii="宋体" w:hAnsi="宋体"/>
                <w:sz w:val="18"/>
                <w:szCs w:val="18"/>
              </w:rPr>
            </w:pPr>
            <w:r>
              <w:rPr>
                <w:rFonts w:hint="eastAsia" w:ascii="宋体" w:hAnsi="宋体"/>
                <w:sz w:val="18"/>
                <w:szCs w:val="18"/>
              </w:rPr>
              <w:t>—生态环境行政主管部门的活动，列入9224（社会事务管理机构）。</w:t>
            </w:r>
          </w:p>
        </w:tc>
      </w:tr>
    </w:tbl>
    <w:p>
      <w:pPr>
        <w:adjustRightInd w:val="0"/>
        <w:snapToGrid w:val="0"/>
        <w:spacing w:line="300" w:lineRule="exact"/>
        <w:ind w:firstLine="360"/>
        <w:jc w:val="left"/>
        <w:rPr>
          <w:kern w:val="0"/>
        </w:rPr>
      </w:pPr>
    </w:p>
    <w:p>
      <w:pPr>
        <w:pStyle w:val="16"/>
        <w:snapToGrid w:val="0"/>
        <w:spacing w:before="0" w:after="312" w:afterLines="100"/>
        <w:rPr>
          <w:rFonts w:ascii="宋体" w:hAnsi="宋体"/>
          <w:b w:val="0"/>
          <w:kern w:val="0"/>
        </w:rPr>
      </w:pPr>
      <w:r>
        <w:rPr>
          <w:rFonts w:ascii="宋体" w:hAnsi="宋体"/>
          <w:b w:val="0"/>
          <w:szCs w:val="21"/>
        </w:rPr>
        <w:br w:type="page"/>
      </w:r>
      <w:r>
        <w:rPr>
          <w:rFonts w:hint="eastAsia" w:ascii="宋体" w:hAnsi="宋体"/>
          <w:b w:val="0"/>
          <w:kern w:val="0"/>
        </w:rPr>
        <w:t>（三）主要业务活动类别填报代码</w:t>
      </w:r>
    </w:p>
    <w:p>
      <w:pPr>
        <w:pStyle w:val="16"/>
        <w:spacing w:line="240" w:lineRule="exact"/>
        <w:ind w:right="55" w:rightChars="26" w:firstLine="360" w:firstLineChars="200"/>
        <w:jc w:val="left"/>
        <w:outlineLvl w:val="9"/>
      </w:pPr>
      <w:bookmarkStart w:id="42" w:name="_Toc520792523"/>
      <w:bookmarkStart w:id="43" w:name="_Toc510521954"/>
      <w:bookmarkStart w:id="44" w:name="_Toc506123268"/>
      <w:bookmarkStart w:id="45" w:name="_Toc510522319"/>
      <w:bookmarkStart w:id="46" w:name="_Toc519175495"/>
      <w:bookmarkStart w:id="47" w:name="_Toc520211850"/>
      <w:r>
        <w:rPr>
          <w:rFonts w:hint="eastAsia" w:ascii="微软雅黑" w:hAnsi="微软雅黑" w:eastAsia="微软雅黑" w:cs="宋体"/>
          <w:b w:val="0"/>
          <w:color w:val="333333"/>
          <w:kern w:val="0"/>
          <w:sz w:val="18"/>
          <w:szCs w:val="18"/>
        </w:rPr>
        <w:t>——</w:t>
      </w:r>
      <w:r>
        <w:rPr>
          <w:rFonts w:hint="eastAsia" w:ascii="宋体" w:hAnsi="宋体"/>
          <w:b w:val="0"/>
          <w:bCs w:val="0"/>
          <w:kern w:val="0"/>
          <w:sz w:val="18"/>
          <w:szCs w:val="18"/>
        </w:rPr>
        <w:t>依据国家统计局印发的</w:t>
      </w:r>
      <w:r>
        <w:rPr>
          <w:rFonts w:ascii="宋体" w:hAnsi="宋体"/>
          <w:b w:val="0"/>
          <w:bCs w:val="0"/>
          <w:kern w:val="0"/>
          <w:sz w:val="18"/>
          <w:szCs w:val="18"/>
        </w:rPr>
        <w:t>《</w:t>
      </w:r>
      <w:r>
        <w:rPr>
          <w:rFonts w:hint="eastAsia" w:ascii="宋体" w:hAnsi="宋体"/>
          <w:b w:val="0"/>
          <w:bCs w:val="0"/>
          <w:kern w:val="0"/>
          <w:sz w:val="18"/>
          <w:szCs w:val="18"/>
        </w:rPr>
        <w:t>部门服务业财务统计报表制度（试行）</w:t>
      </w:r>
      <w:r>
        <w:rPr>
          <w:rFonts w:ascii="宋体" w:hAnsi="宋体"/>
          <w:b w:val="0"/>
          <w:bCs w:val="0"/>
          <w:kern w:val="0"/>
          <w:sz w:val="18"/>
          <w:szCs w:val="18"/>
        </w:rPr>
        <w:t>》（</w:t>
      </w:r>
      <w:r>
        <w:rPr>
          <w:rFonts w:hint="eastAsia" w:ascii="宋体" w:hAnsi="宋体"/>
          <w:b w:val="0"/>
          <w:bCs w:val="0"/>
          <w:kern w:val="0"/>
          <w:sz w:val="18"/>
          <w:szCs w:val="18"/>
        </w:rPr>
        <w:t>2018年统计年报和2019年定期统计报表</w:t>
      </w:r>
      <w:r>
        <w:rPr>
          <w:rFonts w:ascii="宋体" w:hAnsi="宋体"/>
          <w:b w:val="0"/>
          <w:bCs w:val="0"/>
          <w:kern w:val="0"/>
          <w:sz w:val="18"/>
          <w:szCs w:val="18"/>
        </w:rPr>
        <w:t>）</w:t>
      </w:r>
      <w:r>
        <w:rPr>
          <w:rFonts w:hint="eastAsia" w:ascii="宋体" w:hAnsi="宋体"/>
          <w:b w:val="0"/>
          <w:bCs w:val="0"/>
          <w:kern w:val="0"/>
          <w:sz w:val="18"/>
          <w:szCs w:val="18"/>
        </w:rPr>
        <w:t>中生态环境部的分工内容及《国民经济行业分类》（GB/T4754-2017）、《2017年国民经济行业分类注释（网络版）》编制。</w:t>
      </w:r>
      <w:bookmarkEnd w:id="42"/>
      <w:bookmarkEnd w:id="43"/>
      <w:bookmarkEnd w:id="44"/>
      <w:bookmarkEnd w:id="45"/>
      <w:bookmarkEnd w:id="46"/>
      <w:bookmarkEnd w:id="47"/>
    </w:p>
    <w:tbl>
      <w:tblPr>
        <w:tblStyle w:val="17"/>
        <w:tblW w:w="5000" w:type="pct"/>
        <w:jc w:val="center"/>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1594"/>
        <w:gridCol w:w="5303"/>
        <w:gridCol w:w="2731"/>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15" w:hRule="atLeast"/>
          <w:tblHeader/>
          <w:jc w:val="center"/>
        </w:trPr>
        <w:tc>
          <w:tcPr>
            <w:tcW w:w="828" w:type="pct"/>
            <w:tcBorders>
              <w:right w:val="single" w:color="auto" w:sz="4" w:space="0"/>
            </w:tcBorders>
            <w:vAlign w:val="center"/>
          </w:tcPr>
          <w:p>
            <w:pPr>
              <w:snapToGrid w:val="0"/>
              <w:spacing w:line="280" w:lineRule="exact"/>
              <w:jc w:val="center"/>
              <w:rPr>
                <w:rFonts w:ascii="宋体" w:hAnsi="宋体"/>
                <w:color w:val="000000"/>
                <w:sz w:val="18"/>
                <w:szCs w:val="18"/>
              </w:rPr>
            </w:pPr>
            <w:r>
              <w:rPr>
                <w:rFonts w:ascii="宋体" w:hAnsi="宋体"/>
                <w:color w:val="000000"/>
                <w:sz w:val="18"/>
                <w:szCs w:val="18"/>
              </w:rPr>
              <w:t>填报代码</w:t>
            </w:r>
          </w:p>
        </w:tc>
        <w:tc>
          <w:tcPr>
            <w:tcW w:w="2754" w:type="pct"/>
            <w:vAlign w:val="center"/>
          </w:tcPr>
          <w:p>
            <w:pPr>
              <w:snapToGrid w:val="0"/>
              <w:spacing w:line="280" w:lineRule="exact"/>
              <w:jc w:val="center"/>
              <w:rPr>
                <w:rFonts w:ascii="宋体" w:hAnsi="宋体"/>
                <w:color w:val="000000"/>
                <w:sz w:val="18"/>
                <w:szCs w:val="18"/>
              </w:rPr>
            </w:pPr>
            <w:r>
              <w:rPr>
                <w:rFonts w:hint="eastAsia" w:ascii="宋体" w:hAnsi="宋体"/>
                <w:color w:val="000000"/>
                <w:sz w:val="18"/>
                <w:szCs w:val="18"/>
              </w:rPr>
              <w:t>业务活动</w:t>
            </w:r>
            <w:r>
              <w:rPr>
                <w:rFonts w:ascii="宋体" w:hAnsi="宋体"/>
                <w:color w:val="000000"/>
                <w:sz w:val="18"/>
                <w:szCs w:val="18"/>
              </w:rPr>
              <w:t>名称</w:t>
            </w:r>
          </w:p>
        </w:tc>
        <w:tc>
          <w:tcPr>
            <w:tcW w:w="1418" w:type="pct"/>
            <w:vAlign w:val="center"/>
          </w:tcPr>
          <w:p>
            <w:pPr>
              <w:snapToGrid w:val="0"/>
              <w:spacing w:line="280" w:lineRule="exact"/>
              <w:ind w:left="544" w:leftChars="172" w:right="-460" w:rightChars="-219" w:hanging="183" w:hangingChars="102"/>
              <w:rPr>
                <w:rFonts w:ascii="宋体" w:hAnsi="宋体"/>
                <w:color w:val="000000"/>
                <w:sz w:val="18"/>
                <w:szCs w:val="18"/>
              </w:rPr>
            </w:pPr>
            <w:r>
              <w:rPr>
                <w:rFonts w:hint="eastAsia" w:ascii="宋体" w:hAnsi="宋体"/>
                <w:color w:val="000000"/>
                <w:sz w:val="18"/>
                <w:szCs w:val="18"/>
              </w:rPr>
              <w:t>对应国民经济行业代码</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1</w:t>
            </w:r>
          </w:p>
        </w:tc>
        <w:tc>
          <w:tcPr>
            <w:tcW w:w="2754" w:type="pct"/>
            <w:vAlign w:val="center"/>
          </w:tcPr>
          <w:p>
            <w:pPr>
              <w:snapToGrid w:val="0"/>
              <w:spacing w:line="280" w:lineRule="exact"/>
              <w:rPr>
                <w:rFonts w:ascii="宋体" w:hAnsi="宋体"/>
                <w:sz w:val="18"/>
                <w:szCs w:val="18"/>
              </w:rPr>
            </w:pPr>
            <w:r>
              <w:rPr>
                <w:rFonts w:ascii="宋体" w:hAnsi="宋体"/>
                <w:b/>
                <w:sz w:val="18"/>
                <w:szCs w:val="18"/>
              </w:rPr>
              <w:t>环境与生态监测</w:t>
            </w:r>
            <w:r>
              <w:rPr>
                <w:rFonts w:hint="eastAsia" w:ascii="宋体" w:hAnsi="宋体"/>
                <w:b/>
                <w:sz w:val="18"/>
                <w:szCs w:val="18"/>
              </w:rPr>
              <w:t>检测服务</w:t>
            </w:r>
          </w:p>
        </w:tc>
        <w:tc>
          <w:tcPr>
            <w:tcW w:w="1418" w:type="pct"/>
            <w:vAlign w:val="center"/>
          </w:tcPr>
          <w:p>
            <w:pPr>
              <w:snapToGrid w:val="0"/>
              <w:spacing w:line="280" w:lineRule="exact"/>
              <w:ind w:right="-460" w:rightChars="-219"/>
              <w:rPr>
                <w:rFonts w:ascii="宋体" w:hAnsi="宋体"/>
                <w:sz w:val="18"/>
                <w:szCs w:val="18"/>
              </w:rPr>
            </w:pPr>
            <w:r>
              <w:rPr>
                <w:rFonts w:hint="eastAsia" w:ascii="宋体" w:hAnsi="宋体"/>
                <w:sz w:val="18"/>
                <w:szCs w:val="18"/>
              </w:rPr>
              <w:t>746</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1</w:t>
            </w:r>
            <w:r>
              <w:rPr>
                <w:rFonts w:hint="eastAsia" w:ascii="宋体" w:hAnsi="宋体"/>
                <w:b/>
                <w:sz w:val="18"/>
                <w:szCs w:val="18"/>
              </w:rPr>
              <w:t>1</w:t>
            </w:r>
          </w:p>
        </w:tc>
        <w:tc>
          <w:tcPr>
            <w:tcW w:w="2754" w:type="pct"/>
            <w:vAlign w:val="center"/>
          </w:tcPr>
          <w:p>
            <w:pPr>
              <w:snapToGrid w:val="0"/>
              <w:spacing w:line="280" w:lineRule="exact"/>
              <w:rPr>
                <w:rFonts w:ascii="宋体" w:hAnsi="宋体"/>
                <w:color w:val="000000"/>
                <w:sz w:val="18"/>
                <w:szCs w:val="18"/>
              </w:rPr>
            </w:pPr>
            <w:r>
              <w:rPr>
                <w:rFonts w:ascii="宋体" w:hAnsi="宋体"/>
                <w:b/>
                <w:sz w:val="18"/>
                <w:szCs w:val="18"/>
              </w:rPr>
              <w:t>环境保护监测</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7461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1101</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环境评估服务</w:t>
            </w:r>
          </w:p>
        </w:tc>
        <w:tc>
          <w:tcPr>
            <w:tcW w:w="1418" w:type="pct"/>
            <w:vMerge w:val="continue"/>
            <w:vAlign w:val="center"/>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1102</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空气污染监测服务</w:t>
            </w:r>
          </w:p>
        </w:tc>
        <w:tc>
          <w:tcPr>
            <w:tcW w:w="1418" w:type="pct"/>
            <w:vMerge w:val="continue"/>
            <w:vAlign w:val="center"/>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1103</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水污染监测服务</w:t>
            </w:r>
          </w:p>
        </w:tc>
        <w:tc>
          <w:tcPr>
            <w:tcW w:w="1418" w:type="pct"/>
            <w:vMerge w:val="continue"/>
            <w:vAlign w:val="center"/>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color w:val="000000"/>
                <w:sz w:val="18"/>
                <w:szCs w:val="18"/>
              </w:rPr>
            </w:pPr>
            <w:r>
              <w:rPr>
                <w:rFonts w:ascii="宋体" w:hAnsi="宋体"/>
                <w:sz w:val="18"/>
                <w:szCs w:val="18"/>
              </w:rPr>
              <w:t>1</w:t>
            </w:r>
            <w:r>
              <w:rPr>
                <w:rFonts w:hint="eastAsia" w:ascii="宋体" w:hAnsi="宋体"/>
                <w:sz w:val="18"/>
                <w:szCs w:val="18"/>
              </w:rPr>
              <w:t>104</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固体废物</w:t>
            </w:r>
            <w:r>
              <w:rPr>
                <w:rFonts w:ascii="宋体" w:hAnsi="宋体"/>
                <w:sz w:val="18"/>
                <w:szCs w:val="18"/>
              </w:rPr>
              <w:t>监测服务</w:t>
            </w:r>
          </w:p>
        </w:tc>
        <w:tc>
          <w:tcPr>
            <w:tcW w:w="1418" w:type="pct"/>
            <w:vMerge w:val="continue"/>
            <w:vAlign w:val="center"/>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1</w:t>
            </w:r>
            <w:r>
              <w:rPr>
                <w:rFonts w:hint="eastAsia" w:ascii="宋体" w:hAnsi="宋体"/>
                <w:sz w:val="18"/>
                <w:szCs w:val="18"/>
              </w:rPr>
              <w:t>105</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危险废物监测服务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1</w:t>
            </w:r>
            <w:r>
              <w:rPr>
                <w:rFonts w:hint="eastAsia" w:ascii="宋体" w:hAnsi="宋体"/>
                <w:sz w:val="18"/>
                <w:szCs w:val="18"/>
              </w:rPr>
              <w:t>106</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放射性废物监测服务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1107</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噪声污染监测服务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1109</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其他环境监测服务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1</w:t>
            </w:r>
            <w:r>
              <w:rPr>
                <w:rFonts w:hint="eastAsia" w:ascii="宋体" w:hAnsi="宋体"/>
                <w:b/>
                <w:sz w:val="18"/>
                <w:szCs w:val="18"/>
              </w:rPr>
              <w:t>2</w:t>
            </w:r>
          </w:p>
        </w:tc>
        <w:tc>
          <w:tcPr>
            <w:tcW w:w="2754" w:type="pct"/>
            <w:vAlign w:val="center"/>
          </w:tcPr>
          <w:p>
            <w:pPr>
              <w:snapToGrid w:val="0"/>
              <w:spacing w:line="280" w:lineRule="exact"/>
              <w:rPr>
                <w:rFonts w:ascii="宋体" w:hAnsi="宋体"/>
                <w:b/>
                <w:sz w:val="18"/>
                <w:szCs w:val="18"/>
              </w:rPr>
            </w:pPr>
            <w:r>
              <w:rPr>
                <w:rFonts w:ascii="宋体" w:hAnsi="宋体"/>
                <w:b/>
                <w:sz w:val="18"/>
                <w:szCs w:val="18"/>
              </w:rPr>
              <w:t>生态</w:t>
            </w:r>
            <w:r>
              <w:rPr>
                <w:rFonts w:hint="eastAsia" w:ascii="宋体" w:hAnsi="宋体"/>
                <w:b/>
                <w:sz w:val="18"/>
                <w:szCs w:val="18"/>
              </w:rPr>
              <w:t>资源</w:t>
            </w:r>
            <w:r>
              <w:rPr>
                <w:rFonts w:ascii="宋体" w:hAnsi="宋体"/>
                <w:b/>
                <w:sz w:val="18"/>
                <w:szCs w:val="18"/>
              </w:rPr>
              <w:t>监测</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7462</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1</w:t>
            </w:r>
            <w:r>
              <w:rPr>
                <w:rFonts w:hint="eastAsia" w:ascii="宋体" w:hAnsi="宋体"/>
                <w:sz w:val="18"/>
                <w:szCs w:val="18"/>
              </w:rPr>
              <w:t>201</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土壤质量监测服务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1202</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沙漠化监测服务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1203</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森林生态监测服务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1204</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湿地生态监测服务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1205</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地质环境监测服务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1206</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海洋资源监测服务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1207</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野生动物调查与监测服务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1208</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珍稀濒危野生植物调查与监测服务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1209</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外来物种调查与监测服务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1210</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草原生态检测服务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1211</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生态效率评价服务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1219</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其他自然生态监测服务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1</w:t>
            </w:r>
            <w:r>
              <w:rPr>
                <w:rFonts w:hint="eastAsia" w:ascii="宋体" w:hAnsi="宋体"/>
                <w:b/>
                <w:sz w:val="18"/>
                <w:szCs w:val="18"/>
              </w:rPr>
              <w:t>3</w:t>
            </w:r>
          </w:p>
        </w:tc>
        <w:tc>
          <w:tcPr>
            <w:tcW w:w="2754" w:type="pct"/>
            <w:vAlign w:val="center"/>
          </w:tcPr>
          <w:p>
            <w:pPr>
              <w:snapToGrid w:val="0"/>
              <w:spacing w:line="280" w:lineRule="exact"/>
              <w:rPr>
                <w:rFonts w:ascii="宋体" w:hAnsi="宋体"/>
                <w:b/>
                <w:sz w:val="18"/>
                <w:szCs w:val="18"/>
              </w:rPr>
            </w:pPr>
            <w:r>
              <w:rPr>
                <w:rFonts w:hint="eastAsia" w:ascii="宋体" w:hAnsi="宋体"/>
                <w:b/>
                <w:sz w:val="18"/>
                <w:szCs w:val="18"/>
              </w:rPr>
              <w:t>野生动物疫源疫病防控</w:t>
            </w:r>
            <w:r>
              <w:rPr>
                <w:rFonts w:ascii="宋体" w:hAnsi="宋体"/>
                <w:b/>
                <w:sz w:val="18"/>
                <w:szCs w:val="18"/>
              </w:rPr>
              <w:t>监测</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7463</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1</w:t>
            </w:r>
            <w:r>
              <w:rPr>
                <w:rFonts w:hint="eastAsia" w:ascii="宋体" w:hAnsi="宋体"/>
                <w:sz w:val="18"/>
                <w:szCs w:val="18"/>
              </w:rPr>
              <w:t>301</w:t>
            </w:r>
          </w:p>
        </w:tc>
        <w:tc>
          <w:tcPr>
            <w:tcW w:w="2754" w:type="pct"/>
            <w:vAlign w:val="center"/>
          </w:tcPr>
          <w:p>
            <w:pPr>
              <w:snapToGrid w:val="0"/>
              <w:spacing w:line="280" w:lineRule="exact"/>
              <w:ind w:firstLine="174" w:firstLineChars="97"/>
              <w:rPr>
                <w:rFonts w:ascii="宋体" w:hAnsi="宋体"/>
                <w:color w:val="000000"/>
                <w:sz w:val="18"/>
                <w:szCs w:val="18"/>
              </w:rPr>
            </w:pPr>
            <w:r>
              <w:rPr>
                <w:rFonts w:hint="eastAsia" w:ascii="宋体" w:hAnsi="宋体"/>
                <w:sz w:val="18"/>
                <w:szCs w:val="18"/>
              </w:rPr>
              <w:t>陆生野生动物疫源疫病监测</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1302</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外来入侵物种疫源疫病监测</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1309</w:t>
            </w:r>
          </w:p>
        </w:tc>
        <w:tc>
          <w:tcPr>
            <w:tcW w:w="2754" w:type="pct"/>
            <w:vAlign w:val="center"/>
          </w:tcPr>
          <w:p>
            <w:pPr>
              <w:snapToGrid w:val="0"/>
              <w:spacing w:line="280" w:lineRule="exact"/>
              <w:ind w:firstLine="174" w:firstLineChars="97"/>
              <w:rPr>
                <w:rFonts w:ascii="宋体" w:hAnsi="宋体"/>
                <w:sz w:val="18"/>
                <w:szCs w:val="18"/>
              </w:rPr>
            </w:pPr>
            <w:r>
              <w:rPr>
                <w:rFonts w:hint="eastAsia" w:ascii="宋体" w:hAnsi="宋体"/>
                <w:sz w:val="18"/>
                <w:szCs w:val="18"/>
              </w:rPr>
              <w:t>其他野生动物疫源疫病监测</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top w:val="single" w:color="auto" w:sz="4" w:space="0"/>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2</w:t>
            </w:r>
          </w:p>
        </w:tc>
        <w:tc>
          <w:tcPr>
            <w:tcW w:w="2754" w:type="pct"/>
            <w:vAlign w:val="center"/>
          </w:tcPr>
          <w:p>
            <w:pPr>
              <w:snapToGrid w:val="0"/>
              <w:spacing w:line="280" w:lineRule="exact"/>
              <w:rPr>
                <w:rFonts w:ascii="宋体" w:hAnsi="宋体"/>
                <w:color w:val="000000"/>
                <w:sz w:val="18"/>
                <w:szCs w:val="18"/>
              </w:rPr>
            </w:pPr>
            <w:r>
              <w:rPr>
                <w:rFonts w:ascii="宋体" w:hAnsi="宋体"/>
                <w:b/>
                <w:sz w:val="18"/>
                <w:szCs w:val="18"/>
              </w:rPr>
              <w:t>生态保护</w:t>
            </w:r>
          </w:p>
        </w:tc>
        <w:tc>
          <w:tcPr>
            <w:tcW w:w="1418" w:type="pct"/>
            <w:vAlign w:val="center"/>
          </w:tcPr>
          <w:p>
            <w:pPr>
              <w:snapToGrid w:val="0"/>
              <w:spacing w:line="280" w:lineRule="exact"/>
              <w:ind w:right="-460" w:rightChars="-219"/>
              <w:rPr>
                <w:rFonts w:ascii="宋体" w:hAnsi="宋体"/>
                <w:sz w:val="18"/>
                <w:szCs w:val="18"/>
              </w:rPr>
            </w:pPr>
            <w:r>
              <w:rPr>
                <w:rFonts w:hint="eastAsia" w:ascii="宋体" w:hAnsi="宋体"/>
                <w:sz w:val="18"/>
                <w:szCs w:val="18"/>
              </w:rPr>
              <w:t>771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2</w:t>
            </w:r>
            <w:r>
              <w:rPr>
                <w:rFonts w:hint="eastAsia" w:ascii="宋体" w:hAnsi="宋体"/>
                <w:b/>
                <w:sz w:val="18"/>
                <w:szCs w:val="18"/>
              </w:rPr>
              <w:t>1</w:t>
            </w:r>
          </w:p>
        </w:tc>
        <w:tc>
          <w:tcPr>
            <w:tcW w:w="2754" w:type="pct"/>
            <w:vAlign w:val="center"/>
          </w:tcPr>
          <w:p>
            <w:pPr>
              <w:snapToGrid w:val="0"/>
              <w:spacing w:line="280" w:lineRule="exact"/>
              <w:rPr>
                <w:rFonts w:ascii="宋体" w:hAnsi="宋体"/>
                <w:color w:val="000000"/>
                <w:sz w:val="18"/>
                <w:szCs w:val="18"/>
              </w:rPr>
            </w:pPr>
            <w:r>
              <w:rPr>
                <w:rFonts w:ascii="宋体" w:hAnsi="宋体"/>
                <w:b/>
                <w:sz w:val="18"/>
                <w:szCs w:val="18"/>
              </w:rPr>
              <w:t>其他自然保护</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7719</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2</w:t>
            </w:r>
            <w:r>
              <w:rPr>
                <w:rFonts w:hint="eastAsia" w:ascii="宋体" w:hAnsi="宋体"/>
                <w:sz w:val="18"/>
                <w:szCs w:val="18"/>
              </w:rPr>
              <w:t>101</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color w:val="000000"/>
                <w:sz w:val="18"/>
                <w:szCs w:val="18"/>
              </w:rPr>
              <w:t>生态功能保护区管理服务</w:t>
            </w:r>
          </w:p>
        </w:tc>
        <w:tc>
          <w:tcPr>
            <w:tcW w:w="1418" w:type="pct"/>
            <w:vMerge w:val="continue"/>
          </w:tcPr>
          <w:p>
            <w:pPr>
              <w:snapToGrid w:val="0"/>
              <w:spacing w:line="280" w:lineRule="exact"/>
              <w:ind w:right="-460" w:rightChars="-219" w:firstLine="540" w:firstLineChars="300"/>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2102</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color w:val="000000"/>
                <w:sz w:val="18"/>
                <w:szCs w:val="18"/>
              </w:rPr>
              <w:t>生态示范区管理服务</w:t>
            </w:r>
          </w:p>
        </w:tc>
        <w:tc>
          <w:tcPr>
            <w:tcW w:w="1418" w:type="pct"/>
            <w:vMerge w:val="continue"/>
          </w:tcPr>
          <w:p>
            <w:pPr>
              <w:snapToGrid w:val="0"/>
              <w:spacing w:line="280" w:lineRule="exact"/>
              <w:ind w:right="-460" w:rightChars="-219" w:firstLine="540" w:firstLineChars="300"/>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2103</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color w:val="000000"/>
                <w:sz w:val="18"/>
                <w:szCs w:val="18"/>
              </w:rPr>
              <w:t>森林固碳服务</w:t>
            </w:r>
          </w:p>
        </w:tc>
        <w:tc>
          <w:tcPr>
            <w:tcW w:w="1418" w:type="pct"/>
            <w:vMerge w:val="continue"/>
          </w:tcPr>
          <w:p>
            <w:pPr>
              <w:snapToGrid w:val="0"/>
              <w:spacing w:line="280" w:lineRule="exact"/>
              <w:ind w:right="-460" w:rightChars="-219" w:firstLine="540" w:firstLineChars="300"/>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2104</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color w:val="000000"/>
                <w:sz w:val="18"/>
                <w:szCs w:val="18"/>
              </w:rPr>
              <w:t>生态保护区等管理服务</w:t>
            </w:r>
          </w:p>
        </w:tc>
        <w:tc>
          <w:tcPr>
            <w:tcW w:w="1418" w:type="pct"/>
            <w:vMerge w:val="continue"/>
          </w:tcPr>
          <w:p>
            <w:pPr>
              <w:snapToGrid w:val="0"/>
              <w:spacing w:line="280" w:lineRule="exact"/>
              <w:ind w:right="-460" w:rightChars="-219" w:firstLine="540" w:firstLineChars="300"/>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2109</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color w:val="000000"/>
                <w:sz w:val="18"/>
                <w:szCs w:val="18"/>
              </w:rPr>
              <w:t>其他</w:t>
            </w:r>
            <w:r>
              <w:rPr>
                <w:rFonts w:hint="eastAsia" w:ascii="宋体" w:hAnsi="宋体"/>
                <w:color w:val="000000"/>
                <w:sz w:val="18"/>
                <w:szCs w:val="18"/>
              </w:rPr>
              <w:t>未列明</w:t>
            </w:r>
            <w:r>
              <w:rPr>
                <w:rFonts w:ascii="宋体" w:hAnsi="宋体"/>
                <w:color w:val="000000"/>
                <w:sz w:val="18"/>
                <w:szCs w:val="18"/>
              </w:rPr>
              <w:t>自然</w:t>
            </w:r>
            <w:r>
              <w:rPr>
                <w:rFonts w:hint="eastAsia" w:ascii="宋体" w:hAnsi="宋体"/>
                <w:color w:val="000000"/>
                <w:sz w:val="18"/>
                <w:szCs w:val="18"/>
              </w:rPr>
              <w:t>生态</w:t>
            </w:r>
            <w:r>
              <w:rPr>
                <w:rFonts w:ascii="宋体" w:hAnsi="宋体"/>
                <w:color w:val="000000"/>
                <w:sz w:val="18"/>
                <w:szCs w:val="18"/>
              </w:rPr>
              <w:t>保护服务</w:t>
            </w:r>
          </w:p>
        </w:tc>
        <w:tc>
          <w:tcPr>
            <w:tcW w:w="1418" w:type="pct"/>
            <w:vMerge w:val="continue"/>
          </w:tcPr>
          <w:p>
            <w:pPr>
              <w:snapToGrid w:val="0"/>
              <w:spacing w:line="280" w:lineRule="exact"/>
              <w:ind w:right="-460" w:rightChars="-219" w:firstLine="540" w:firstLineChars="300"/>
              <w:rPr>
                <w:rFonts w:ascii="宋体" w:hAnsi="宋体"/>
                <w:color w:val="000000"/>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3</w:t>
            </w:r>
          </w:p>
        </w:tc>
        <w:tc>
          <w:tcPr>
            <w:tcW w:w="2754" w:type="pct"/>
            <w:vAlign w:val="center"/>
          </w:tcPr>
          <w:p>
            <w:pPr>
              <w:snapToGrid w:val="0"/>
              <w:spacing w:line="280" w:lineRule="exact"/>
              <w:rPr>
                <w:rFonts w:ascii="宋体" w:hAnsi="宋体"/>
                <w:b/>
                <w:sz w:val="18"/>
                <w:szCs w:val="18"/>
              </w:rPr>
            </w:pPr>
            <w:r>
              <w:rPr>
                <w:rFonts w:ascii="宋体" w:hAnsi="宋体"/>
                <w:b/>
                <w:sz w:val="18"/>
                <w:szCs w:val="18"/>
              </w:rPr>
              <w:t>环境治理业</w:t>
            </w:r>
          </w:p>
        </w:tc>
        <w:tc>
          <w:tcPr>
            <w:tcW w:w="1418" w:type="pct"/>
            <w:vAlign w:val="center"/>
          </w:tcPr>
          <w:p>
            <w:pPr>
              <w:snapToGrid w:val="0"/>
              <w:spacing w:line="280" w:lineRule="exact"/>
              <w:ind w:right="-460" w:rightChars="-219"/>
              <w:rPr>
                <w:rFonts w:ascii="宋体" w:hAnsi="宋体"/>
                <w:sz w:val="18"/>
                <w:szCs w:val="18"/>
              </w:rPr>
            </w:pPr>
            <w:r>
              <w:rPr>
                <w:rFonts w:hint="eastAsia" w:ascii="宋体" w:hAnsi="宋体"/>
                <w:sz w:val="18"/>
                <w:szCs w:val="18"/>
              </w:rPr>
              <w:t>772</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3</w:t>
            </w:r>
            <w:r>
              <w:rPr>
                <w:rFonts w:hint="eastAsia" w:ascii="宋体" w:hAnsi="宋体"/>
                <w:b/>
                <w:sz w:val="18"/>
                <w:szCs w:val="18"/>
              </w:rPr>
              <w:t>1</w:t>
            </w:r>
          </w:p>
        </w:tc>
        <w:tc>
          <w:tcPr>
            <w:tcW w:w="2754" w:type="pct"/>
            <w:vAlign w:val="center"/>
          </w:tcPr>
          <w:p>
            <w:pPr>
              <w:tabs>
                <w:tab w:val="left" w:pos="337"/>
              </w:tabs>
              <w:snapToGrid w:val="0"/>
              <w:spacing w:line="280" w:lineRule="exact"/>
              <w:rPr>
                <w:rFonts w:ascii="宋体" w:hAnsi="宋体"/>
                <w:b/>
                <w:sz w:val="18"/>
                <w:szCs w:val="18"/>
              </w:rPr>
            </w:pPr>
            <w:r>
              <w:rPr>
                <w:rFonts w:ascii="宋体" w:hAnsi="宋体"/>
                <w:b/>
                <w:sz w:val="18"/>
                <w:szCs w:val="18"/>
              </w:rPr>
              <w:t>水污染治理</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7721</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101</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工业废水治理</w:t>
            </w:r>
            <w:r>
              <w:rPr>
                <w:rFonts w:ascii="宋体" w:hAnsi="宋体"/>
                <w:sz w:val="18"/>
                <w:szCs w:val="18"/>
              </w:rPr>
              <w:t>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102</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农村污水</w:t>
            </w:r>
            <w:r>
              <w:rPr>
                <w:rFonts w:ascii="宋体" w:hAnsi="宋体"/>
                <w:sz w:val="18"/>
                <w:szCs w:val="18"/>
              </w:rPr>
              <w:t>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3103</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流域水环境（含黑臭水体）综合治理服务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3104</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区域水环境综合治理服务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3105</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水库污染治理服务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106</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地下水污染治理服务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3107</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地表水-地下水协同控制</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109</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其他水污染治理服务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3</w:t>
            </w:r>
            <w:r>
              <w:rPr>
                <w:rFonts w:hint="eastAsia" w:ascii="宋体" w:hAnsi="宋体"/>
                <w:b/>
                <w:sz w:val="18"/>
                <w:szCs w:val="18"/>
              </w:rPr>
              <w:t>2</w:t>
            </w:r>
          </w:p>
        </w:tc>
        <w:tc>
          <w:tcPr>
            <w:tcW w:w="2754" w:type="pct"/>
            <w:vAlign w:val="center"/>
          </w:tcPr>
          <w:p>
            <w:pPr>
              <w:snapToGrid w:val="0"/>
              <w:spacing w:line="280" w:lineRule="exact"/>
              <w:rPr>
                <w:rFonts w:ascii="宋体" w:hAnsi="宋体"/>
                <w:b/>
                <w:color w:val="000000"/>
                <w:sz w:val="18"/>
                <w:szCs w:val="18"/>
              </w:rPr>
            </w:pPr>
            <w:r>
              <w:rPr>
                <w:rFonts w:ascii="宋体" w:hAnsi="宋体"/>
                <w:b/>
                <w:sz w:val="18"/>
                <w:szCs w:val="18"/>
              </w:rPr>
              <w:t>大气污染治理</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7722</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3201</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汽车尾气污染</w:t>
            </w:r>
            <w:r>
              <w:rPr>
                <w:rFonts w:ascii="宋体" w:hAnsi="宋体"/>
                <w:sz w:val="18"/>
                <w:szCs w:val="18"/>
              </w:rPr>
              <w:t>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3202</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燃烧煤烟污染</w:t>
            </w:r>
            <w:r>
              <w:rPr>
                <w:rFonts w:ascii="宋体" w:hAnsi="宋体"/>
                <w:sz w:val="18"/>
                <w:szCs w:val="18"/>
              </w:rPr>
              <w:t>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203</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制造业废气污染</w:t>
            </w:r>
            <w:r>
              <w:rPr>
                <w:rFonts w:ascii="宋体" w:hAnsi="宋体"/>
                <w:sz w:val="18"/>
                <w:szCs w:val="18"/>
              </w:rPr>
              <w:t>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204</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工矿粉尘污染治理</w:t>
            </w:r>
            <w:r>
              <w:rPr>
                <w:rFonts w:ascii="宋体" w:hAnsi="宋体"/>
                <w:sz w:val="18"/>
                <w:szCs w:val="18"/>
              </w:rPr>
              <w:t>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205</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建筑工地粉尘污染</w:t>
            </w:r>
            <w:r>
              <w:rPr>
                <w:rFonts w:ascii="宋体" w:hAnsi="宋体"/>
                <w:sz w:val="18"/>
                <w:szCs w:val="18"/>
              </w:rPr>
              <w:t>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209</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其他空气污染治理服务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3</w:t>
            </w:r>
            <w:r>
              <w:rPr>
                <w:rFonts w:hint="eastAsia" w:ascii="宋体" w:hAnsi="宋体"/>
                <w:b/>
                <w:sz w:val="18"/>
                <w:szCs w:val="18"/>
              </w:rPr>
              <w:t>3</w:t>
            </w:r>
          </w:p>
        </w:tc>
        <w:tc>
          <w:tcPr>
            <w:tcW w:w="2754" w:type="pct"/>
            <w:vAlign w:val="center"/>
          </w:tcPr>
          <w:p>
            <w:pPr>
              <w:snapToGrid w:val="0"/>
              <w:spacing w:line="280" w:lineRule="exact"/>
              <w:rPr>
                <w:rFonts w:ascii="宋体" w:hAnsi="宋体"/>
                <w:b/>
                <w:sz w:val="18"/>
                <w:szCs w:val="18"/>
              </w:rPr>
            </w:pPr>
            <w:r>
              <w:rPr>
                <w:rFonts w:ascii="宋体" w:hAnsi="宋体"/>
                <w:b/>
                <w:sz w:val="18"/>
                <w:szCs w:val="18"/>
              </w:rPr>
              <w:t>固体废物</w:t>
            </w:r>
            <w:r>
              <w:rPr>
                <w:rFonts w:hint="eastAsia" w:ascii="宋体" w:hAnsi="宋体"/>
                <w:b/>
                <w:sz w:val="18"/>
                <w:szCs w:val="18"/>
              </w:rPr>
              <w:t>治理</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7723</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301</w:t>
            </w:r>
          </w:p>
        </w:tc>
        <w:tc>
          <w:tcPr>
            <w:tcW w:w="2754" w:type="pct"/>
            <w:vAlign w:val="center"/>
          </w:tcPr>
          <w:p>
            <w:pPr>
              <w:snapToGrid w:val="0"/>
              <w:spacing w:line="280" w:lineRule="exact"/>
              <w:ind w:firstLine="180" w:firstLineChars="100"/>
              <w:rPr>
                <w:rFonts w:ascii="宋体" w:hAnsi="宋体"/>
                <w:color w:val="000000"/>
                <w:sz w:val="18"/>
                <w:szCs w:val="18"/>
              </w:rPr>
            </w:pPr>
            <w:r>
              <w:rPr>
                <w:rFonts w:hint="eastAsia" w:ascii="宋体" w:hAnsi="宋体"/>
                <w:sz w:val="18"/>
                <w:szCs w:val="18"/>
              </w:rPr>
              <w:t>工业固体废物治理服务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3302</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农村畜禽废物治理服务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3303</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污泥处置服务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304</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建筑施工废弃物</w:t>
            </w:r>
            <w:r>
              <w:rPr>
                <w:rFonts w:hint="eastAsia" w:ascii="宋体" w:hAnsi="宋体"/>
                <w:sz w:val="18"/>
                <w:szCs w:val="18"/>
              </w:rPr>
              <w:t>治理服务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309</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其他固体废物</w:t>
            </w:r>
            <w:r>
              <w:rPr>
                <w:rFonts w:hint="eastAsia" w:ascii="宋体" w:hAnsi="宋体"/>
                <w:sz w:val="18"/>
                <w:szCs w:val="18"/>
              </w:rPr>
              <w:t>治理服务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3</w:t>
            </w:r>
            <w:r>
              <w:rPr>
                <w:rFonts w:hint="eastAsia" w:ascii="宋体" w:hAnsi="宋体"/>
                <w:b/>
                <w:sz w:val="18"/>
                <w:szCs w:val="18"/>
              </w:rPr>
              <w:t>4</w:t>
            </w:r>
          </w:p>
        </w:tc>
        <w:tc>
          <w:tcPr>
            <w:tcW w:w="2754" w:type="pct"/>
            <w:vAlign w:val="center"/>
          </w:tcPr>
          <w:p>
            <w:pPr>
              <w:snapToGrid w:val="0"/>
              <w:spacing w:line="280" w:lineRule="exact"/>
              <w:rPr>
                <w:rFonts w:ascii="宋体" w:hAnsi="宋体"/>
                <w:color w:val="000000"/>
                <w:sz w:val="18"/>
                <w:szCs w:val="18"/>
              </w:rPr>
            </w:pPr>
            <w:r>
              <w:rPr>
                <w:rFonts w:ascii="宋体" w:hAnsi="宋体"/>
                <w:b/>
                <w:sz w:val="18"/>
                <w:szCs w:val="18"/>
              </w:rPr>
              <w:t>危险废物</w:t>
            </w:r>
            <w:r>
              <w:rPr>
                <w:rFonts w:hint="eastAsia" w:ascii="宋体" w:hAnsi="宋体"/>
                <w:b/>
                <w:sz w:val="18"/>
                <w:szCs w:val="18"/>
              </w:rPr>
              <w:t>治理</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7724</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401</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医疗</w:t>
            </w:r>
            <w:r>
              <w:rPr>
                <w:rFonts w:hint="eastAsia" w:ascii="宋体" w:hAnsi="宋体"/>
                <w:sz w:val="18"/>
                <w:szCs w:val="18"/>
              </w:rPr>
              <w:t>及药物废弃物治理</w:t>
            </w:r>
            <w:r>
              <w:rPr>
                <w:rFonts w:ascii="宋体" w:hAnsi="宋体"/>
                <w:sz w:val="18"/>
                <w:szCs w:val="18"/>
              </w:rPr>
              <w:t>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3402</w:t>
            </w:r>
          </w:p>
        </w:tc>
        <w:tc>
          <w:tcPr>
            <w:tcW w:w="2754" w:type="pct"/>
            <w:vAlign w:val="center"/>
          </w:tcPr>
          <w:p>
            <w:pPr>
              <w:snapToGrid w:val="0"/>
              <w:spacing w:line="280" w:lineRule="exact"/>
              <w:ind w:firstLine="180" w:firstLineChars="100"/>
              <w:rPr>
                <w:rFonts w:ascii="宋体" w:hAnsi="宋体"/>
                <w:sz w:val="18"/>
                <w:szCs w:val="18"/>
              </w:rPr>
            </w:pPr>
            <w:r>
              <w:rPr>
                <w:rFonts w:ascii="宋体" w:hAnsi="宋体"/>
                <w:sz w:val="18"/>
                <w:szCs w:val="18"/>
              </w:rPr>
              <w:t>腐蚀性废弃物治理服务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3403</w:t>
            </w:r>
          </w:p>
        </w:tc>
        <w:tc>
          <w:tcPr>
            <w:tcW w:w="2754" w:type="pct"/>
            <w:vAlign w:val="center"/>
          </w:tcPr>
          <w:p>
            <w:pPr>
              <w:snapToGrid w:val="0"/>
              <w:spacing w:line="280" w:lineRule="exact"/>
              <w:ind w:firstLine="180" w:firstLineChars="100"/>
              <w:rPr>
                <w:rFonts w:ascii="宋体" w:hAnsi="宋体"/>
                <w:sz w:val="18"/>
                <w:szCs w:val="18"/>
              </w:rPr>
            </w:pPr>
            <w:r>
              <w:rPr>
                <w:rFonts w:ascii="宋体" w:hAnsi="宋体"/>
                <w:sz w:val="18"/>
                <w:szCs w:val="18"/>
              </w:rPr>
              <w:t>有毒性废弃物治理服务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3404</w:t>
            </w:r>
          </w:p>
        </w:tc>
        <w:tc>
          <w:tcPr>
            <w:tcW w:w="2754" w:type="pct"/>
            <w:vAlign w:val="center"/>
          </w:tcPr>
          <w:p>
            <w:pPr>
              <w:snapToGrid w:val="0"/>
              <w:spacing w:line="280" w:lineRule="exact"/>
              <w:ind w:firstLine="180" w:firstLineChars="100"/>
              <w:rPr>
                <w:rFonts w:ascii="宋体" w:hAnsi="宋体"/>
                <w:sz w:val="18"/>
                <w:szCs w:val="18"/>
              </w:rPr>
            </w:pPr>
            <w:r>
              <w:rPr>
                <w:rFonts w:ascii="宋体" w:hAnsi="宋体"/>
                <w:sz w:val="18"/>
                <w:szCs w:val="18"/>
              </w:rPr>
              <w:t>爆炸性废弃物治理服务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409</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其他危险废物</w:t>
            </w:r>
            <w:r>
              <w:rPr>
                <w:rFonts w:hint="eastAsia" w:ascii="宋体" w:hAnsi="宋体"/>
                <w:sz w:val="18"/>
                <w:szCs w:val="18"/>
              </w:rPr>
              <w:t>治理</w:t>
            </w:r>
            <w:r>
              <w:rPr>
                <w:rFonts w:ascii="宋体" w:hAnsi="宋体"/>
                <w:sz w:val="18"/>
                <w:szCs w:val="18"/>
              </w:rPr>
              <w:t>服务</w:t>
            </w:r>
          </w:p>
        </w:tc>
        <w:tc>
          <w:tcPr>
            <w:tcW w:w="1418" w:type="pct"/>
            <w:vMerge w:val="continue"/>
            <w:vAlign w:val="center"/>
          </w:tcPr>
          <w:p>
            <w:pPr>
              <w:snapToGrid w:val="0"/>
              <w:spacing w:line="280" w:lineRule="exact"/>
              <w:ind w:right="-460" w:rightChars="-219" w:firstLine="540" w:firstLineChars="300"/>
              <w:jc w:val="center"/>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3</w:t>
            </w:r>
            <w:r>
              <w:rPr>
                <w:rFonts w:hint="eastAsia" w:ascii="宋体" w:hAnsi="宋体"/>
                <w:b/>
                <w:sz w:val="18"/>
                <w:szCs w:val="18"/>
              </w:rPr>
              <w:t>5</w:t>
            </w:r>
          </w:p>
        </w:tc>
        <w:tc>
          <w:tcPr>
            <w:tcW w:w="2754" w:type="pct"/>
            <w:vAlign w:val="center"/>
          </w:tcPr>
          <w:p>
            <w:pPr>
              <w:snapToGrid w:val="0"/>
              <w:spacing w:line="280" w:lineRule="exact"/>
              <w:rPr>
                <w:rFonts w:ascii="宋体" w:hAnsi="宋体"/>
                <w:color w:val="000000"/>
                <w:sz w:val="18"/>
                <w:szCs w:val="18"/>
              </w:rPr>
            </w:pPr>
            <w:r>
              <w:rPr>
                <w:rFonts w:ascii="宋体" w:hAnsi="宋体"/>
                <w:b/>
                <w:sz w:val="18"/>
                <w:szCs w:val="18"/>
              </w:rPr>
              <w:t>放射性废物治理</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7725</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501</w:t>
            </w:r>
          </w:p>
        </w:tc>
        <w:tc>
          <w:tcPr>
            <w:tcW w:w="2754" w:type="pct"/>
            <w:vAlign w:val="center"/>
          </w:tcPr>
          <w:p>
            <w:pPr>
              <w:snapToGrid w:val="0"/>
              <w:spacing w:line="280" w:lineRule="exact"/>
              <w:ind w:firstLine="180" w:firstLineChars="100"/>
              <w:rPr>
                <w:rFonts w:ascii="宋体" w:hAnsi="宋体"/>
                <w:sz w:val="18"/>
                <w:szCs w:val="18"/>
              </w:rPr>
            </w:pPr>
            <w:r>
              <w:rPr>
                <w:rFonts w:ascii="宋体" w:hAnsi="宋体"/>
                <w:sz w:val="18"/>
                <w:szCs w:val="18"/>
              </w:rPr>
              <w:t>辐射污染治理服务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3502</w:t>
            </w:r>
          </w:p>
        </w:tc>
        <w:tc>
          <w:tcPr>
            <w:tcW w:w="2754" w:type="pct"/>
            <w:vAlign w:val="center"/>
          </w:tcPr>
          <w:p>
            <w:pPr>
              <w:snapToGrid w:val="0"/>
              <w:spacing w:line="280" w:lineRule="exact"/>
              <w:ind w:firstLine="180" w:firstLineChars="100"/>
              <w:rPr>
                <w:rFonts w:ascii="宋体" w:hAnsi="宋体"/>
                <w:sz w:val="18"/>
                <w:szCs w:val="18"/>
              </w:rPr>
            </w:pPr>
            <w:r>
              <w:rPr>
                <w:rFonts w:ascii="宋体" w:hAnsi="宋体"/>
                <w:sz w:val="18"/>
                <w:szCs w:val="18"/>
              </w:rPr>
              <w:t>辐射污染</w:t>
            </w:r>
            <w:r>
              <w:rPr>
                <w:rFonts w:hint="eastAsia" w:ascii="宋体" w:hAnsi="宋体"/>
                <w:sz w:val="18"/>
                <w:szCs w:val="18"/>
              </w:rPr>
              <w:t>防护</w:t>
            </w:r>
            <w:r>
              <w:rPr>
                <w:rFonts w:ascii="宋体" w:hAnsi="宋体"/>
                <w:sz w:val="18"/>
                <w:szCs w:val="18"/>
              </w:rPr>
              <w:t>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3503</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放射性废物收集、贮存、利用、处理等服务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509</w:t>
            </w:r>
          </w:p>
        </w:tc>
        <w:tc>
          <w:tcPr>
            <w:tcW w:w="2754" w:type="pct"/>
            <w:vAlign w:val="center"/>
          </w:tcPr>
          <w:p>
            <w:pPr>
              <w:snapToGrid w:val="0"/>
              <w:spacing w:line="280" w:lineRule="exact"/>
              <w:ind w:firstLine="180" w:firstLineChars="100"/>
              <w:rPr>
                <w:rFonts w:ascii="宋体" w:hAnsi="宋体"/>
                <w:sz w:val="18"/>
                <w:szCs w:val="18"/>
              </w:rPr>
            </w:pPr>
            <w:r>
              <w:rPr>
                <w:rFonts w:ascii="宋体" w:hAnsi="宋体"/>
                <w:sz w:val="18"/>
                <w:szCs w:val="18"/>
              </w:rPr>
              <w:t>放射性废物</w:t>
            </w:r>
            <w:r>
              <w:rPr>
                <w:rFonts w:hint="eastAsia" w:ascii="宋体" w:hAnsi="宋体"/>
                <w:sz w:val="18"/>
                <w:szCs w:val="18"/>
              </w:rPr>
              <w:t>其他</w:t>
            </w:r>
            <w:r>
              <w:rPr>
                <w:rFonts w:ascii="宋体" w:hAnsi="宋体"/>
                <w:sz w:val="18"/>
                <w:szCs w:val="18"/>
              </w:rPr>
              <w:t>治理服务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sz w:val="18"/>
                <w:szCs w:val="18"/>
              </w:rPr>
            </w:pPr>
            <w:r>
              <w:rPr>
                <w:rFonts w:ascii="宋体" w:hAnsi="宋体"/>
                <w:b/>
                <w:sz w:val="18"/>
                <w:szCs w:val="18"/>
              </w:rPr>
              <w:t>3</w:t>
            </w:r>
            <w:r>
              <w:rPr>
                <w:rFonts w:hint="eastAsia" w:ascii="宋体" w:hAnsi="宋体"/>
                <w:b/>
                <w:sz w:val="18"/>
                <w:szCs w:val="18"/>
              </w:rPr>
              <w:t>6</w:t>
            </w:r>
          </w:p>
        </w:tc>
        <w:tc>
          <w:tcPr>
            <w:tcW w:w="2754" w:type="pct"/>
            <w:vAlign w:val="center"/>
          </w:tcPr>
          <w:p>
            <w:pPr>
              <w:snapToGrid w:val="0"/>
              <w:spacing w:line="280" w:lineRule="exact"/>
              <w:rPr>
                <w:rFonts w:ascii="宋体" w:hAnsi="宋体"/>
                <w:sz w:val="18"/>
                <w:szCs w:val="18"/>
              </w:rPr>
            </w:pPr>
            <w:r>
              <w:rPr>
                <w:rFonts w:hint="eastAsia" w:ascii="宋体" w:hAnsi="宋体"/>
                <w:b/>
                <w:sz w:val="18"/>
                <w:szCs w:val="18"/>
              </w:rPr>
              <w:t>土壤污染治理与修复服务</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7726</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88" w:firstLineChars="49"/>
              <w:rPr>
                <w:rFonts w:ascii="宋体" w:hAnsi="宋体"/>
                <w:sz w:val="18"/>
                <w:szCs w:val="18"/>
              </w:rPr>
            </w:pPr>
            <w:r>
              <w:rPr>
                <w:rFonts w:hint="eastAsia" w:ascii="宋体" w:hAnsi="宋体"/>
                <w:sz w:val="18"/>
                <w:szCs w:val="18"/>
              </w:rPr>
              <w:t>3601</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矿山复垦污染场地治理与修复服务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88" w:firstLineChars="49"/>
              <w:rPr>
                <w:rFonts w:ascii="宋体" w:hAnsi="宋体"/>
                <w:sz w:val="18"/>
                <w:szCs w:val="18"/>
              </w:rPr>
            </w:pPr>
            <w:r>
              <w:rPr>
                <w:rFonts w:hint="eastAsia" w:ascii="宋体" w:hAnsi="宋体"/>
                <w:sz w:val="18"/>
                <w:szCs w:val="18"/>
              </w:rPr>
              <w:t>3602</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农田土壤污染治理与修复服务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3603</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工业污染场地治理与修复服务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88" w:firstLineChars="49"/>
              <w:rPr>
                <w:rFonts w:ascii="宋体" w:hAnsi="宋体"/>
                <w:sz w:val="18"/>
                <w:szCs w:val="18"/>
              </w:rPr>
            </w:pPr>
            <w:r>
              <w:rPr>
                <w:rFonts w:hint="eastAsia" w:ascii="宋体" w:hAnsi="宋体"/>
                <w:sz w:val="18"/>
                <w:szCs w:val="18"/>
              </w:rPr>
              <w:t>3609</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其他土壤污染治理与修复服务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sz w:val="18"/>
                <w:szCs w:val="18"/>
              </w:rPr>
            </w:pPr>
            <w:r>
              <w:rPr>
                <w:rFonts w:hint="eastAsia" w:ascii="宋体" w:hAnsi="宋体"/>
                <w:b/>
                <w:sz w:val="18"/>
                <w:szCs w:val="18"/>
              </w:rPr>
              <w:t>37</w:t>
            </w:r>
          </w:p>
        </w:tc>
        <w:tc>
          <w:tcPr>
            <w:tcW w:w="2754" w:type="pct"/>
            <w:vAlign w:val="center"/>
          </w:tcPr>
          <w:p>
            <w:pPr>
              <w:snapToGrid w:val="0"/>
              <w:spacing w:line="280" w:lineRule="exact"/>
              <w:rPr>
                <w:rFonts w:ascii="宋体" w:hAnsi="宋体"/>
                <w:b/>
                <w:sz w:val="18"/>
                <w:szCs w:val="18"/>
              </w:rPr>
            </w:pPr>
            <w:r>
              <w:rPr>
                <w:rFonts w:hint="eastAsia" w:ascii="宋体" w:hAnsi="宋体"/>
                <w:b/>
                <w:sz w:val="18"/>
                <w:szCs w:val="18"/>
              </w:rPr>
              <w:t>噪声与振动控制服务</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7727</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3701</w:t>
            </w:r>
          </w:p>
        </w:tc>
        <w:tc>
          <w:tcPr>
            <w:tcW w:w="2754" w:type="pct"/>
            <w:vAlign w:val="center"/>
          </w:tcPr>
          <w:p>
            <w:pPr>
              <w:snapToGrid w:val="0"/>
              <w:spacing w:line="280" w:lineRule="exact"/>
              <w:rPr>
                <w:rFonts w:ascii="宋体" w:hAnsi="宋体"/>
                <w:sz w:val="18"/>
                <w:szCs w:val="18"/>
              </w:rPr>
            </w:pPr>
            <w:r>
              <w:rPr>
                <w:rFonts w:hint="eastAsia" w:ascii="宋体" w:hAnsi="宋体"/>
                <w:sz w:val="18"/>
                <w:szCs w:val="18"/>
              </w:rPr>
              <w:t>工业企业噪声与振动污染控制服务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adjustRightInd w:val="0"/>
              <w:snapToGrid w:val="0"/>
              <w:spacing w:line="280" w:lineRule="exact"/>
              <w:ind w:firstLine="90" w:firstLineChars="50"/>
              <w:rPr>
                <w:rFonts w:ascii="宋体" w:hAnsi="宋体"/>
                <w:sz w:val="18"/>
                <w:szCs w:val="18"/>
              </w:rPr>
            </w:pPr>
            <w:r>
              <w:rPr>
                <w:rFonts w:hint="eastAsia" w:ascii="宋体" w:hAnsi="宋体"/>
                <w:sz w:val="18"/>
                <w:szCs w:val="18"/>
              </w:rPr>
              <w:t>3702</w:t>
            </w:r>
          </w:p>
        </w:tc>
        <w:tc>
          <w:tcPr>
            <w:tcW w:w="2754" w:type="pct"/>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建筑施工噪声与振动污染控制服务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jc w:val="center"/>
        </w:trPr>
        <w:tc>
          <w:tcPr>
            <w:tcW w:w="828" w:type="pct"/>
            <w:tcBorders>
              <w:right w:val="single" w:color="auto" w:sz="4" w:space="0"/>
            </w:tcBorders>
            <w:vAlign w:val="center"/>
          </w:tcPr>
          <w:p>
            <w:pPr>
              <w:adjustRightInd w:val="0"/>
              <w:snapToGrid w:val="0"/>
              <w:spacing w:line="280" w:lineRule="exact"/>
              <w:ind w:firstLine="90" w:firstLineChars="50"/>
              <w:rPr>
                <w:rFonts w:ascii="宋体" w:hAnsi="宋体"/>
                <w:sz w:val="18"/>
                <w:szCs w:val="18"/>
              </w:rPr>
            </w:pPr>
            <w:r>
              <w:rPr>
                <w:rFonts w:hint="eastAsia" w:ascii="宋体" w:hAnsi="宋体"/>
                <w:sz w:val="18"/>
                <w:szCs w:val="18"/>
              </w:rPr>
              <w:t>3703</w:t>
            </w:r>
          </w:p>
        </w:tc>
        <w:tc>
          <w:tcPr>
            <w:tcW w:w="2754" w:type="pct"/>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交通噪声污染控制服务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adjustRightInd w:val="0"/>
              <w:snapToGrid w:val="0"/>
              <w:spacing w:line="280" w:lineRule="exact"/>
              <w:ind w:firstLine="90" w:firstLineChars="50"/>
              <w:rPr>
                <w:rFonts w:ascii="宋体" w:hAnsi="宋体"/>
                <w:sz w:val="18"/>
                <w:szCs w:val="18"/>
              </w:rPr>
            </w:pPr>
            <w:r>
              <w:rPr>
                <w:rFonts w:hint="eastAsia" w:ascii="宋体" w:hAnsi="宋体"/>
                <w:sz w:val="18"/>
                <w:szCs w:val="18"/>
              </w:rPr>
              <w:t>3704</w:t>
            </w:r>
          </w:p>
        </w:tc>
        <w:tc>
          <w:tcPr>
            <w:tcW w:w="2754" w:type="pct"/>
          </w:tcPr>
          <w:p>
            <w:pPr>
              <w:adjustRightInd w:val="0"/>
              <w:snapToGrid w:val="0"/>
              <w:spacing w:line="280" w:lineRule="exact"/>
              <w:ind w:firstLine="180" w:firstLineChars="100"/>
              <w:rPr>
                <w:rFonts w:ascii="宋体" w:hAnsi="宋体"/>
                <w:sz w:val="18"/>
                <w:szCs w:val="18"/>
              </w:rPr>
            </w:pPr>
            <w:r>
              <w:rPr>
                <w:rFonts w:hint="eastAsia" w:ascii="宋体" w:hAnsi="宋体"/>
                <w:sz w:val="18"/>
                <w:szCs w:val="18"/>
              </w:rPr>
              <w:t>社会生活噪声与振动污染控制服务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3709</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其他噪声与振动污染治理服务</w:t>
            </w:r>
          </w:p>
        </w:tc>
        <w:tc>
          <w:tcPr>
            <w:tcW w:w="1418" w:type="pct"/>
            <w:vMerge w:val="continue"/>
            <w:vAlign w:val="center"/>
          </w:tcPr>
          <w:p>
            <w:pPr>
              <w:snapToGrid w:val="0"/>
              <w:spacing w:line="280" w:lineRule="exact"/>
              <w:ind w:right="-460" w:rightChars="-219"/>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rPr>
                <w:rFonts w:ascii="宋体" w:hAnsi="宋体"/>
                <w:b/>
                <w:color w:val="000000"/>
                <w:sz w:val="18"/>
                <w:szCs w:val="18"/>
              </w:rPr>
            </w:pPr>
            <w:r>
              <w:rPr>
                <w:rFonts w:ascii="宋体" w:hAnsi="宋体"/>
                <w:b/>
                <w:sz w:val="18"/>
                <w:szCs w:val="18"/>
              </w:rPr>
              <w:t>3</w:t>
            </w:r>
            <w:r>
              <w:rPr>
                <w:rFonts w:hint="eastAsia" w:ascii="宋体" w:hAnsi="宋体"/>
                <w:b/>
                <w:sz w:val="18"/>
                <w:szCs w:val="18"/>
              </w:rPr>
              <w:t>9</w:t>
            </w:r>
          </w:p>
        </w:tc>
        <w:tc>
          <w:tcPr>
            <w:tcW w:w="2754" w:type="pct"/>
            <w:vAlign w:val="center"/>
          </w:tcPr>
          <w:p>
            <w:pPr>
              <w:snapToGrid w:val="0"/>
              <w:spacing w:line="280" w:lineRule="exact"/>
              <w:rPr>
                <w:rFonts w:ascii="宋体" w:hAnsi="宋体"/>
                <w:color w:val="000000"/>
                <w:sz w:val="18"/>
                <w:szCs w:val="18"/>
              </w:rPr>
            </w:pPr>
            <w:r>
              <w:rPr>
                <w:rFonts w:ascii="宋体" w:hAnsi="宋体"/>
                <w:b/>
                <w:sz w:val="18"/>
                <w:szCs w:val="18"/>
              </w:rPr>
              <w:t>其他污染治理</w:t>
            </w:r>
          </w:p>
        </w:tc>
        <w:tc>
          <w:tcPr>
            <w:tcW w:w="1418" w:type="pct"/>
            <w:vMerge w:val="restart"/>
            <w:vAlign w:val="center"/>
          </w:tcPr>
          <w:p>
            <w:pPr>
              <w:snapToGrid w:val="0"/>
              <w:spacing w:line="280" w:lineRule="exact"/>
              <w:ind w:right="-460" w:rightChars="-219"/>
              <w:rPr>
                <w:rFonts w:ascii="宋体" w:hAnsi="宋体"/>
                <w:sz w:val="18"/>
                <w:szCs w:val="18"/>
              </w:rPr>
            </w:pPr>
            <w:r>
              <w:rPr>
                <w:rFonts w:hint="eastAsia" w:ascii="宋体" w:hAnsi="宋体"/>
                <w:sz w:val="18"/>
                <w:szCs w:val="18"/>
              </w:rPr>
              <w:t>7729</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901</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光污染治理服务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902</w:t>
            </w:r>
          </w:p>
        </w:tc>
        <w:tc>
          <w:tcPr>
            <w:tcW w:w="2754" w:type="pct"/>
            <w:vAlign w:val="center"/>
          </w:tcPr>
          <w:p>
            <w:pPr>
              <w:snapToGrid w:val="0"/>
              <w:spacing w:line="280" w:lineRule="exact"/>
              <w:ind w:firstLine="180" w:firstLineChars="100"/>
              <w:rPr>
                <w:rFonts w:ascii="宋体" w:hAnsi="宋体"/>
                <w:color w:val="000000"/>
                <w:sz w:val="18"/>
                <w:szCs w:val="18"/>
              </w:rPr>
            </w:pPr>
            <w:r>
              <w:rPr>
                <w:rFonts w:ascii="宋体" w:hAnsi="宋体"/>
                <w:sz w:val="18"/>
                <w:szCs w:val="18"/>
              </w:rPr>
              <w:t>地质灾害治理服务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3903</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生态恢复及生态保护服务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3904</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环境综合整治服务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hint="eastAsia" w:ascii="宋体" w:hAnsi="宋体"/>
                <w:sz w:val="18"/>
                <w:szCs w:val="18"/>
              </w:rPr>
              <w:t>3905</w:t>
            </w:r>
          </w:p>
        </w:tc>
        <w:tc>
          <w:tcPr>
            <w:tcW w:w="2754" w:type="pct"/>
            <w:vAlign w:val="center"/>
          </w:tcPr>
          <w:p>
            <w:pPr>
              <w:snapToGrid w:val="0"/>
              <w:spacing w:line="280" w:lineRule="exact"/>
              <w:ind w:firstLine="180" w:firstLineChars="100"/>
              <w:rPr>
                <w:rFonts w:ascii="宋体" w:hAnsi="宋体"/>
                <w:sz w:val="18"/>
                <w:szCs w:val="18"/>
              </w:rPr>
            </w:pPr>
            <w:r>
              <w:rPr>
                <w:rFonts w:hint="eastAsia" w:ascii="宋体" w:hAnsi="宋体"/>
                <w:sz w:val="18"/>
                <w:szCs w:val="18"/>
              </w:rPr>
              <w:t>环境应急治理服务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jc w:val="center"/>
        </w:trPr>
        <w:tc>
          <w:tcPr>
            <w:tcW w:w="828" w:type="pct"/>
            <w:tcBorders>
              <w:right w:val="single" w:color="auto" w:sz="4" w:space="0"/>
            </w:tcBorders>
            <w:vAlign w:val="center"/>
          </w:tcPr>
          <w:p>
            <w:pPr>
              <w:snapToGrid w:val="0"/>
              <w:spacing w:line="280" w:lineRule="exact"/>
              <w:ind w:firstLine="90" w:firstLineChars="50"/>
              <w:rPr>
                <w:rFonts w:ascii="宋体" w:hAnsi="宋体"/>
                <w:sz w:val="18"/>
                <w:szCs w:val="18"/>
              </w:rPr>
            </w:pPr>
            <w:r>
              <w:rPr>
                <w:rFonts w:ascii="宋体" w:hAnsi="宋体"/>
                <w:sz w:val="18"/>
                <w:szCs w:val="18"/>
              </w:rPr>
              <w:t>3</w:t>
            </w:r>
            <w:r>
              <w:rPr>
                <w:rFonts w:hint="eastAsia" w:ascii="宋体" w:hAnsi="宋体"/>
                <w:sz w:val="18"/>
                <w:szCs w:val="18"/>
              </w:rPr>
              <w:t>909</w:t>
            </w:r>
          </w:p>
        </w:tc>
        <w:tc>
          <w:tcPr>
            <w:tcW w:w="2754" w:type="pct"/>
            <w:vAlign w:val="center"/>
          </w:tcPr>
          <w:p>
            <w:pPr>
              <w:snapToGrid w:val="0"/>
              <w:spacing w:line="280" w:lineRule="exact"/>
              <w:ind w:firstLine="180" w:firstLineChars="100"/>
              <w:rPr>
                <w:rFonts w:ascii="宋体" w:hAnsi="宋体"/>
                <w:color w:val="000000"/>
                <w:sz w:val="18"/>
                <w:szCs w:val="18"/>
                <w:highlight w:val="yellow"/>
              </w:rPr>
            </w:pPr>
            <w:r>
              <w:rPr>
                <w:rFonts w:ascii="宋体" w:hAnsi="宋体"/>
                <w:sz w:val="18"/>
                <w:szCs w:val="18"/>
              </w:rPr>
              <w:t>其他未列明环境治理服务</w:t>
            </w:r>
          </w:p>
        </w:tc>
        <w:tc>
          <w:tcPr>
            <w:tcW w:w="1418" w:type="pct"/>
            <w:vMerge w:val="continue"/>
          </w:tcPr>
          <w:p>
            <w:pPr>
              <w:snapToGrid w:val="0"/>
              <w:spacing w:line="280" w:lineRule="exact"/>
              <w:ind w:right="-460" w:rightChars="-219" w:firstLine="540" w:firstLineChars="300"/>
              <w:rPr>
                <w:rFonts w:ascii="宋体" w:hAnsi="宋体"/>
                <w:sz w:val="18"/>
                <w:szCs w:val="18"/>
              </w:rPr>
            </w:pPr>
          </w:p>
        </w:tc>
      </w:tr>
    </w:tbl>
    <w:p>
      <w:pPr>
        <w:spacing w:line="280" w:lineRule="exact"/>
        <w:rPr>
          <w:rFonts w:ascii="宋体" w:hAnsi="宋体"/>
          <w:sz w:val="18"/>
          <w:szCs w:val="18"/>
        </w:rPr>
      </w:pPr>
    </w:p>
    <w:p>
      <w:pPr>
        <w:spacing w:line="280" w:lineRule="exact"/>
        <w:rPr>
          <w:rFonts w:ascii="宋体" w:hAnsi="宋体"/>
          <w:sz w:val="18"/>
          <w:szCs w:val="18"/>
        </w:rPr>
      </w:pPr>
    </w:p>
    <w:p>
      <w:pPr>
        <w:spacing w:line="280" w:lineRule="exact"/>
        <w:rPr>
          <w:rFonts w:ascii="宋体" w:hAnsi="宋体"/>
          <w:sz w:val="18"/>
          <w:szCs w:val="18"/>
        </w:rPr>
      </w:pPr>
    </w:p>
    <w:p>
      <w:pPr>
        <w:spacing w:line="280" w:lineRule="exact"/>
        <w:rPr>
          <w:rFonts w:ascii="宋体" w:hAnsi="宋体"/>
          <w:sz w:val="18"/>
          <w:szCs w:val="18"/>
        </w:rPr>
      </w:pPr>
    </w:p>
    <w:p>
      <w:pPr>
        <w:spacing w:line="280" w:lineRule="exact"/>
        <w:rPr>
          <w:rFonts w:ascii="宋体" w:hAnsi="宋体"/>
          <w:sz w:val="18"/>
          <w:szCs w:val="18"/>
        </w:rPr>
      </w:pPr>
    </w:p>
    <w:p>
      <w:pPr>
        <w:snapToGrid w:val="0"/>
        <w:spacing w:after="312" w:afterLines="100" w:line="400" w:lineRule="exact"/>
        <w:jc w:val="center"/>
        <w:rPr>
          <w:rFonts w:ascii="宋体" w:hAnsi="宋体"/>
          <w:kern w:val="0"/>
          <w:sz w:val="32"/>
          <w:szCs w:val="32"/>
        </w:rPr>
      </w:pPr>
      <w:r>
        <w:rPr>
          <w:rFonts w:ascii="宋体" w:hAnsi="宋体"/>
          <w:kern w:val="0"/>
          <w:sz w:val="32"/>
          <w:szCs w:val="32"/>
        </w:rPr>
        <w:t>（</w:t>
      </w:r>
      <w:r>
        <w:rPr>
          <w:rFonts w:hint="eastAsia" w:ascii="宋体" w:hAnsi="宋体"/>
          <w:kern w:val="0"/>
          <w:sz w:val="32"/>
          <w:szCs w:val="32"/>
        </w:rPr>
        <w:t>四</w:t>
      </w:r>
      <w:r>
        <w:rPr>
          <w:rFonts w:ascii="宋体" w:hAnsi="宋体"/>
          <w:kern w:val="0"/>
          <w:sz w:val="32"/>
          <w:szCs w:val="32"/>
        </w:rPr>
        <w:t>）</w:t>
      </w:r>
      <w:r>
        <w:rPr>
          <w:rFonts w:hint="eastAsia" w:ascii="宋体" w:hAnsi="宋体"/>
          <w:kern w:val="0"/>
          <w:sz w:val="32"/>
          <w:szCs w:val="32"/>
        </w:rPr>
        <w:t>向国家统计局提供的具体统计资料清单</w:t>
      </w:r>
    </w:p>
    <w:p>
      <w:pPr>
        <w:spacing w:line="400" w:lineRule="exact"/>
        <w:ind w:firstLine="420" w:firstLineChars="200"/>
        <w:rPr>
          <w:rFonts w:ascii="宋体" w:hAnsi="宋体"/>
        </w:rPr>
      </w:pPr>
      <w:r>
        <w:rPr>
          <w:rFonts w:ascii="宋体" w:hAnsi="宋体"/>
        </w:rPr>
        <w:t>年度统计资料</w:t>
      </w:r>
      <w:r>
        <w:rPr>
          <w:rFonts w:hint="eastAsia" w:ascii="宋体" w:hAnsi="宋体"/>
        </w:rPr>
        <w:t>：</w:t>
      </w:r>
      <w:r>
        <w:rPr>
          <w:rFonts w:hint="eastAsia" w:ascii="宋体" w:hAnsi="宋体"/>
          <w:szCs w:val="21"/>
        </w:rPr>
        <w:t>本制度将向国家统计局报送企业财务状况、行政单位财务状况、事业单位财务状况3张报表中全部指标的各省级行政区域汇总数据。</w:t>
      </w:r>
    </w:p>
    <w:p>
      <w:pPr>
        <w:spacing w:line="360" w:lineRule="auto"/>
        <w:rPr>
          <w:rFonts w:ascii="宋体" w:hAnsi="宋体"/>
          <w:bCs/>
          <w:kern w:val="0"/>
          <w:sz w:val="32"/>
          <w:szCs w:val="32"/>
        </w:rPr>
      </w:pPr>
    </w:p>
    <w:p>
      <w:pPr>
        <w:spacing w:line="360" w:lineRule="auto"/>
        <w:rPr>
          <w:rFonts w:ascii="宋体" w:hAnsi="宋体"/>
          <w:bCs/>
          <w:kern w:val="0"/>
          <w:sz w:val="32"/>
          <w:szCs w:val="32"/>
        </w:rPr>
      </w:pPr>
    </w:p>
    <w:p>
      <w:pPr>
        <w:autoSpaceDE w:val="0"/>
        <w:autoSpaceDN w:val="0"/>
        <w:adjustRightInd w:val="0"/>
        <w:snapToGrid w:val="0"/>
        <w:spacing w:line="360" w:lineRule="exact"/>
        <w:jc w:val="center"/>
        <w:textAlignment w:val="bottom"/>
        <w:rPr>
          <w:rFonts w:ascii="宋体" w:hAnsi="宋体"/>
          <w:color w:val="000000"/>
          <w:sz w:val="32"/>
          <w:szCs w:val="32"/>
        </w:rPr>
      </w:pPr>
      <w:r>
        <w:rPr>
          <w:rFonts w:ascii="宋体" w:hAnsi="宋体"/>
          <w:color w:val="000000"/>
          <w:sz w:val="32"/>
          <w:szCs w:val="32"/>
        </w:rPr>
        <w:t>(</w:t>
      </w:r>
      <w:r>
        <w:rPr>
          <w:rFonts w:hint="eastAsia" w:ascii="宋体" w:hAnsi="宋体"/>
          <w:color w:val="000000"/>
          <w:sz w:val="32"/>
          <w:szCs w:val="32"/>
        </w:rPr>
        <w:t>五</w:t>
      </w:r>
      <w:r>
        <w:rPr>
          <w:rFonts w:ascii="宋体" w:hAnsi="宋体"/>
          <w:color w:val="000000"/>
          <w:sz w:val="32"/>
          <w:szCs w:val="32"/>
        </w:rPr>
        <w:t>)</w:t>
      </w:r>
      <w:r>
        <w:rPr>
          <w:rFonts w:hint="eastAsia" w:ascii="宋体" w:hAnsi="宋体"/>
          <w:color w:val="000000"/>
          <w:sz w:val="32"/>
          <w:szCs w:val="32"/>
        </w:rPr>
        <w:t>向统计信息共享数据库提供的统计资料清单</w:t>
      </w:r>
    </w:p>
    <w:p>
      <w:pPr>
        <w:spacing w:line="560" w:lineRule="exact"/>
        <w:ind w:firstLine="420" w:firstLineChars="200"/>
        <w:rPr>
          <w:rFonts w:ascii="宋体" w:hAnsi="宋体"/>
          <w:szCs w:val="21"/>
        </w:rPr>
      </w:pPr>
      <w:r>
        <w:rPr>
          <w:rFonts w:ascii="宋体" w:hAnsi="宋体"/>
        </w:rPr>
        <w:t>年度统计资料</w:t>
      </w:r>
      <w:r>
        <w:rPr>
          <w:rFonts w:hint="eastAsia" w:ascii="宋体" w:hAnsi="宋体"/>
        </w:rPr>
        <w:t>：</w:t>
      </w:r>
      <w:r>
        <w:rPr>
          <w:rFonts w:hint="eastAsia" w:ascii="宋体" w:hAnsi="宋体"/>
          <w:szCs w:val="21"/>
        </w:rPr>
        <w:t>本制度提供给国家统计局的数据于每年统计结束后在生态环境部</w:t>
      </w:r>
      <w:r>
        <w:rPr>
          <w:rFonts w:ascii="宋体" w:hAnsi="宋体"/>
          <w:szCs w:val="21"/>
        </w:rPr>
        <w:t>系统</w:t>
      </w:r>
      <w:r>
        <w:rPr>
          <w:rFonts w:hint="eastAsia" w:ascii="宋体" w:hAnsi="宋体"/>
          <w:szCs w:val="21"/>
        </w:rPr>
        <w:t>内共享</w:t>
      </w:r>
      <w:r>
        <w:rPr>
          <w:rFonts w:ascii="宋体" w:hAnsi="宋体"/>
          <w:szCs w:val="21"/>
        </w:rPr>
        <w:t>使用</w:t>
      </w:r>
      <w:r>
        <w:rPr>
          <w:rFonts w:hint="eastAsia" w:ascii="宋体" w:hAnsi="宋体"/>
          <w:szCs w:val="21"/>
        </w:rPr>
        <w:t>。</w:t>
      </w:r>
    </w:p>
    <w:p>
      <w:pPr>
        <w:spacing w:line="280" w:lineRule="exact"/>
        <w:rPr>
          <w:rFonts w:ascii="宋体" w:hAnsi="宋体"/>
          <w:bCs/>
          <w:kern w:val="0"/>
          <w:sz w:val="32"/>
          <w:szCs w:val="32"/>
        </w:rPr>
      </w:pPr>
    </w:p>
    <w:p>
      <w:pPr>
        <w:spacing w:line="280" w:lineRule="exact"/>
        <w:rPr>
          <w:rFonts w:ascii="宋体" w:hAnsi="宋体"/>
          <w:bCs/>
          <w:kern w:val="0"/>
          <w:sz w:val="32"/>
          <w:szCs w:val="32"/>
        </w:rPr>
      </w:pPr>
    </w:p>
    <w:sectPr>
      <w:headerReference r:id="rId9" w:type="first"/>
      <w:footerReference r:id="rId12" w:type="first"/>
      <w:headerReference r:id="rId8" w:type="default"/>
      <w:footerReference r:id="rId10" w:type="default"/>
      <w:footerReference r:id="rId11" w:type="even"/>
      <w:pgSz w:w="11906" w:h="16838"/>
      <w:pgMar w:top="1332" w:right="1247" w:bottom="1332" w:left="124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36"/>
      </w:rPr>
    </w:pPr>
    <w:r>
      <w:fldChar w:fldCharType="begin"/>
    </w:r>
    <w:r>
      <w:rPr>
        <w:rStyle w:val="36"/>
      </w:rPr>
      <w:instrText xml:space="preserve">PAGE  </w:instrText>
    </w:r>
    <w:r>
      <w:fldChar w:fldCharType="separate"/>
    </w:r>
    <w:r>
      <w:rPr>
        <w:rStyle w:val="36"/>
      </w:rPr>
      <w:t>3</w:t>
    </w:r>
    <w:r>
      <w:fldChar w:fldCharType="end"/>
    </w:r>
  </w:p>
  <w:p>
    <w:pPr>
      <w:pStyle w:val="1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36"/>
      </w:rPr>
    </w:pPr>
    <w:r>
      <w:fldChar w:fldCharType="begin"/>
    </w:r>
    <w:r>
      <w:rPr>
        <w:rStyle w:val="36"/>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8</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36"/>
      </w:rPr>
    </w:pPr>
    <w:r>
      <w:fldChar w:fldCharType="begin"/>
    </w:r>
    <w:r>
      <w:rPr>
        <w:rStyle w:val="36"/>
      </w:rPr>
      <w:instrText xml:space="preserve">PAGE  </w:instrText>
    </w:r>
    <w:r>
      <w:fldChar w:fldCharType="end"/>
    </w:r>
  </w:p>
  <w:p>
    <w:pPr>
      <w:pStyle w:val="1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36"/>
      </w:rPr>
    </w:pPr>
    <w:r>
      <w:fldChar w:fldCharType="begin"/>
    </w:r>
    <w:r>
      <w:rPr>
        <w:rStyle w:val="36"/>
      </w:rPr>
      <w:instrText xml:space="preserve">PAGE  </w:instrText>
    </w:r>
    <w:r>
      <w:fldChar w:fldCharType="separate"/>
    </w:r>
    <w:r>
      <w:rPr>
        <w:rStyle w:val="36"/>
      </w:rPr>
      <w:t>- 4 -</w:t>
    </w:r>
    <w: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3"/>
      </w:pPr>
      <w:r>
        <w:rPr>
          <w:rStyle w:val="22"/>
        </w:rPr>
        <w:footnoteRef/>
      </w:r>
      <w:r>
        <w:rPr>
          <w:rFonts w:hint="eastAsia"/>
        </w:rPr>
        <w:t>2012年支出经济分类科目。</w:t>
      </w:r>
    </w:p>
  </w:footnote>
  <w:footnote w:id="1">
    <w:p>
      <w:pPr>
        <w:pStyle w:val="13"/>
      </w:pPr>
      <w:r>
        <w:rPr>
          <w:rStyle w:val="22"/>
        </w:rPr>
        <w:footnoteRef/>
      </w:r>
      <w:r>
        <w:rPr>
          <w:rFonts w:hint="eastAsia"/>
        </w:rPr>
        <w:t>2012年支出经济分类科目。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B62"/>
    <w:rsid w:val="000038E1"/>
    <w:rsid w:val="00005976"/>
    <w:rsid w:val="000112C8"/>
    <w:rsid w:val="00011C7F"/>
    <w:rsid w:val="00013489"/>
    <w:rsid w:val="00014A74"/>
    <w:rsid w:val="00015CA9"/>
    <w:rsid w:val="00016969"/>
    <w:rsid w:val="00016B13"/>
    <w:rsid w:val="00033A36"/>
    <w:rsid w:val="000372D7"/>
    <w:rsid w:val="00044CCB"/>
    <w:rsid w:val="000527BD"/>
    <w:rsid w:val="00062839"/>
    <w:rsid w:val="000631F6"/>
    <w:rsid w:val="0006347C"/>
    <w:rsid w:val="00074092"/>
    <w:rsid w:val="0007424E"/>
    <w:rsid w:val="00077846"/>
    <w:rsid w:val="00077EFE"/>
    <w:rsid w:val="000831A2"/>
    <w:rsid w:val="00083FC0"/>
    <w:rsid w:val="00085D9E"/>
    <w:rsid w:val="00086CF7"/>
    <w:rsid w:val="000B2952"/>
    <w:rsid w:val="000B32C0"/>
    <w:rsid w:val="000C0810"/>
    <w:rsid w:val="000C13EC"/>
    <w:rsid w:val="000C31D8"/>
    <w:rsid w:val="000C4643"/>
    <w:rsid w:val="000D12F1"/>
    <w:rsid w:val="000D35F2"/>
    <w:rsid w:val="000D43A8"/>
    <w:rsid w:val="000E5869"/>
    <w:rsid w:val="000E7A88"/>
    <w:rsid w:val="000F0452"/>
    <w:rsid w:val="000F5D4B"/>
    <w:rsid w:val="000F6C30"/>
    <w:rsid w:val="0010360C"/>
    <w:rsid w:val="0010363F"/>
    <w:rsid w:val="00111D09"/>
    <w:rsid w:val="0012183D"/>
    <w:rsid w:val="001246FD"/>
    <w:rsid w:val="00126088"/>
    <w:rsid w:val="0013155A"/>
    <w:rsid w:val="001453B1"/>
    <w:rsid w:val="00145F50"/>
    <w:rsid w:val="00146A35"/>
    <w:rsid w:val="00146DDB"/>
    <w:rsid w:val="00147E3A"/>
    <w:rsid w:val="00160D2F"/>
    <w:rsid w:val="001631C9"/>
    <w:rsid w:val="00172A27"/>
    <w:rsid w:val="0017734A"/>
    <w:rsid w:val="00180C21"/>
    <w:rsid w:val="00182D2C"/>
    <w:rsid w:val="00190A4B"/>
    <w:rsid w:val="00191B79"/>
    <w:rsid w:val="0019366F"/>
    <w:rsid w:val="00193D17"/>
    <w:rsid w:val="00194107"/>
    <w:rsid w:val="001A3AA4"/>
    <w:rsid w:val="001A5188"/>
    <w:rsid w:val="001A6725"/>
    <w:rsid w:val="001A7BD7"/>
    <w:rsid w:val="001B102A"/>
    <w:rsid w:val="001B457A"/>
    <w:rsid w:val="001B49CA"/>
    <w:rsid w:val="001B52ED"/>
    <w:rsid w:val="001C00C5"/>
    <w:rsid w:val="001D08C6"/>
    <w:rsid w:val="001D6122"/>
    <w:rsid w:val="001E0F68"/>
    <w:rsid w:val="001E64C6"/>
    <w:rsid w:val="001F2AF6"/>
    <w:rsid w:val="001F5953"/>
    <w:rsid w:val="00202023"/>
    <w:rsid w:val="0020286D"/>
    <w:rsid w:val="002049F8"/>
    <w:rsid w:val="00205553"/>
    <w:rsid w:val="0020755E"/>
    <w:rsid w:val="00210D2F"/>
    <w:rsid w:val="002120D2"/>
    <w:rsid w:val="00214967"/>
    <w:rsid w:val="002216AC"/>
    <w:rsid w:val="00225624"/>
    <w:rsid w:val="00226811"/>
    <w:rsid w:val="00226C62"/>
    <w:rsid w:val="002276DD"/>
    <w:rsid w:val="0022796B"/>
    <w:rsid w:val="002315B8"/>
    <w:rsid w:val="00234CAA"/>
    <w:rsid w:val="00235478"/>
    <w:rsid w:val="00236FBA"/>
    <w:rsid w:val="00243D4A"/>
    <w:rsid w:val="0024443F"/>
    <w:rsid w:val="002447E3"/>
    <w:rsid w:val="00244DF6"/>
    <w:rsid w:val="002452F0"/>
    <w:rsid w:val="00246049"/>
    <w:rsid w:val="00247002"/>
    <w:rsid w:val="002473A7"/>
    <w:rsid w:val="002540D6"/>
    <w:rsid w:val="00255023"/>
    <w:rsid w:val="00257E3E"/>
    <w:rsid w:val="00262E1D"/>
    <w:rsid w:val="00283921"/>
    <w:rsid w:val="002B03C3"/>
    <w:rsid w:val="002C6856"/>
    <w:rsid w:val="002D2388"/>
    <w:rsid w:val="002D272F"/>
    <w:rsid w:val="002D4925"/>
    <w:rsid w:val="002D4D39"/>
    <w:rsid w:val="002D5B29"/>
    <w:rsid w:val="002E14E0"/>
    <w:rsid w:val="002F56AB"/>
    <w:rsid w:val="002F5D8E"/>
    <w:rsid w:val="002F7C98"/>
    <w:rsid w:val="0030048F"/>
    <w:rsid w:val="003006BD"/>
    <w:rsid w:val="003031F2"/>
    <w:rsid w:val="00306F77"/>
    <w:rsid w:val="00330192"/>
    <w:rsid w:val="00331243"/>
    <w:rsid w:val="00335CFC"/>
    <w:rsid w:val="003435C1"/>
    <w:rsid w:val="00343678"/>
    <w:rsid w:val="00344132"/>
    <w:rsid w:val="00344605"/>
    <w:rsid w:val="00350B8C"/>
    <w:rsid w:val="003538DC"/>
    <w:rsid w:val="00354EED"/>
    <w:rsid w:val="0036025C"/>
    <w:rsid w:val="00361E05"/>
    <w:rsid w:val="00362D7A"/>
    <w:rsid w:val="00367F3B"/>
    <w:rsid w:val="003737F6"/>
    <w:rsid w:val="003763FD"/>
    <w:rsid w:val="00376AF6"/>
    <w:rsid w:val="00380402"/>
    <w:rsid w:val="0038101E"/>
    <w:rsid w:val="00386531"/>
    <w:rsid w:val="003906F3"/>
    <w:rsid w:val="00390BB4"/>
    <w:rsid w:val="00391990"/>
    <w:rsid w:val="00395238"/>
    <w:rsid w:val="003A6C0C"/>
    <w:rsid w:val="003A7948"/>
    <w:rsid w:val="003B2A46"/>
    <w:rsid w:val="003B4312"/>
    <w:rsid w:val="003B4AB8"/>
    <w:rsid w:val="003D1F48"/>
    <w:rsid w:val="003D7D59"/>
    <w:rsid w:val="003E1516"/>
    <w:rsid w:val="003E3639"/>
    <w:rsid w:val="003E73F0"/>
    <w:rsid w:val="004016B4"/>
    <w:rsid w:val="00412583"/>
    <w:rsid w:val="00415666"/>
    <w:rsid w:val="0041597A"/>
    <w:rsid w:val="004170D7"/>
    <w:rsid w:val="00420DC9"/>
    <w:rsid w:val="00423B12"/>
    <w:rsid w:val="00423B1C"/>
    <w:rsid w:val="00443E8E"/>
    <w:rsid w:val="0044457A"/>
    <w:rsid w:val="004520A6"/>
    <w:rsid w:val="00456ADF"/>
    <w:rsid w:val="00457B19"/>
    <w:rsid w:val="004636D2"/>
    <w:rsid w:val="00463A72"/>
    <w:rsid w:val="00467399"/>
    <w:rsid w:val="004677B7"/>
    <w:rsid w:val="00470888"/>
    <w:rsid w:val="00471C46"/>
    <w:rsid w:val="00472B17"/>
    <w:rsid w:val="00475073"/>
    <w:rsid w:val="00475C30"/>
    <w:rsid w:val="00484F6C"/>
    <w:rsid w:val="00485CB2"/>
    <w:rsid w:val="0048704F"/>
    <w:rsid w:val="00497978"/>
    <w:rsid w:val="004C2372"/>
    <w:rsid w:val="004C4EA2"/>
    <w:rsid w:val="004D2CDB"/>
    <w:rsid w:val="004D7F08"/>
    <w:rsid w:val="004E4A89"/>
    <w:rsid w:val="004F1755"/>
    <w:rsid w:val="004F1826"/>
    <w:rsid w:val="005022F2"/>
    <w:rsid w:val="0050241A"/>
    <w:rsid w:val="00504E2E"/>
    <w:rsid w:val="00505C67"/>
    <w:rsid w:val="005060E7"/>
    <w:rsid w:val="005251E6"/>
    <w:rsid w:val="005275FD"/>
    <w:rsid w:val="00536DB2"/>
    <w:rsid w:val="0053770D"/>
    <w:rsid w:val="00541E5C"/>
    <w:rsid w:val="0056408D"/>
    <w:rsid w:val="0056541A"/>
    <w:rsid w:val="00572E2A"/>
    <w:rsid w:val="00574378"/>
    <w:rsid w:val="00574545"/>
    <w:rsid w:val="00575ED7"/>
    <w:rsid w:val="00581D5C"/>
    <w:rsid w:val="00582A52"/>
    <w:rsid w:val="00596534"/>
    <w:rsid w:val="00597949"/>
    <w:rsid w:val="005A4759"/>
    <w:rsid w:val="005A72A9"/>
    <w:rsid w:val="005B4C6B"/>
    <w:rsid w:val="005B5937"/>
    <w:rsid w:val="005B5D5D"/>
    <w:rsid w:val="005C2227"/>
    <w:rsid w:val="005C3234"/>
    <w:rsid w:val="005E0A16"/>
    <w:rsid w:val="005E31CC"/>
    <w:rsid w:val="005E6A45"/>
    <w:rsid w:val="00600E70"/>
    <w:rsid w:val="0060383F"/>
    <w:rsid w:val="0060617A"/>
    <w:rsid w:val="00621E6D"/>
    <w:rsid w:val="00623A7E"/>
    <w:rsid w:val="00625DBC"/>
    <w:rsid w:val="0062622C"/>
    <w:rsid w:val="00627A61"/>
    <w:rsid w:val="006325BE"/>
    <w:rsid w:val="0063440E"/>
    <w:rsid w:val="0063450C"/>
    <w:rsid w:val="006465AC"/>
    <w:rsid w:val="00653445"/>
    <w:rsid w:val="006560AF"/>
    <w:rsid w:val="0066688D"/>
    <w:rsid w:val="006740FE"/>
    <w:rsid w:val="006807F7"/>
    <w:rsid w:val="00694606"/>
    <w:rsid w:val="00697399"/>
    <w:rsid w:val="006A1799"/>
    <w:rsid w:val="006A4BB8"/>
    <w:rsid w:val="006A520F"/>
    <w:rsid w:val="006C671E"/>
    <w:rsid w:val="006D6260"/>
    <w:rsid w:val="006E0B6B"/>
    <w:rsid w:val="006F1425"/>
    <w:rsid w:val="006F30C9"/>
    <w:rsid w:val="006F3D52"/>
    <w:rsid w:val="006F5B12"/>
    <w:rsid w:val="006F6E71"/>
    <w:rsid w:val="0070091A"/>
    <w:rsid w:val="007038E3"/>
    <w:rsid w:val="007070E2"/>
    <w:rsid w:val="00707D31"/>
    <w:rsid w:val="007136C7"/>
    <w:rsid w:val="0072631B"/>
    <w:rsid w:val="007350F4"/>
    <w:rsid w:val="00736FAF"/>
    <w:rsid w:val="00741316"/>
    <w:rsid w:val="007467D1"/>
    <w:rsid w:val="00753781"/>
    <w:rsid w:val="007573EE"/>
    <w:rsid w:val="00761535"/>
    <w:rsid w:val="00776676"/>
    <w:rsid w:val="00781B5C"/>
    <w:rsid w:val="0079187E"/>
    <w:rsid w:val="0079491B"/>
    <w:rsid w:val="007956D1"/>
    <w:rsid w:val="0079584A"/>
    <w:rsid w:val="007A4A56"/>
    <w:rsid w:val="007A5DE2"/>
    <w:rsid w:val="007A6B7D"/>
    <w:rsid w:val="007A76CD"/>
    <w:rsid w:val="007B15B3"/>
    <w:rsid w:val="007B3107"/>
    <w:rsid w:val="007C0C14"/>
    <w:rsid w:val="007C76F7"/>
    <w:rsid w:val="007C7B31"/>
    <w:rsid w:val="007D04A4"/>
    <w:rsid w:val="007D24B6"/>
    <w:rsid w:val="007D7A08"/>
    <w:rsid w:val="007E7812"/>
    <w:rsid w:val="007F08DE"/>
    <w:rsid w:val="007F3573"/>
    <w:rsid w:val="007F6371"/>
    <w:rsid w:val="008062B0"/>
    <w:rsid w:val="00810210"/>
    <w:rsid w:val="0082419A"/>
    <w:rsid w:val="0082553B"/>
    <w:rsid w:val="00837B65"/>
    <w:rsid w:val="008438FF"/>
    <w:rsid w:val="0084435D"/>
    <w:rsid w:val="00845E26"/>
    <w:rsid w:val="00855F19"/>
    <w:rsid w:val="00857C60"/>
    <w:rsid w:val="0086511A"/>
    <w:rsid w:val="00871F0E"/>
    <w:rsid w:val="00876646"/>
    <w:rsid w:val="00880C24"/>
    <w:rsid w:val="00891416"/>
    <w:rsid w:val="0089631D"/>
    <w:rsid w:val="008A1748"/>
    <w:rsid w:val="008A1E67"/>
    <w:rsid w:val="008A25FB"/>
    <w:rsid w:val="008A2C16"/>
    <w:rsid w:val="008A50D6"/>
    <w:rsid w:val="008C3CF6"/>
    <w:rsid w:val="008D5616"/>
    <w:rsid w:val="008D67F5"/>
    <w:rsid w:val="008D6902"/>
    <w:rsid w:val="008D6FA5"/>
    <w:rsid w:val="008E06E3"/>
    <w:rsid w:val="008E1561"/>
    <w:rsid w:val="008E54A7"/>
    <w:rsid w:val="008E7CBD"/>
    <w:rsid w:val="008F1D40"/>
    <w:rsid w:val="008F4081"/>
    <w:rsid w:val="00901AC6"/>
    <w:rsid w:val="0091110D"/>
    <w:rsid w:val="00916B8B"/>
    <w:rsid w:val="00917DE4"/>
    <w:rsid w:val="00921A6C"/>
    <w:rsid w:val="00925673"/>
    <w:rsid w:val="00937ECB"/>
    <w:rsid w:val="00940A19"/>
    <w:rsid w:val="009532C9"/>
    <w:rsid w:val="009555D4"/>
    <w:rsid w:val="00966893"/>
    <w:rsid w:val="0097305F"/>
    <w:rsid w:val="00974C6D"/>
    <w:rsid w:val="00977F94"/>
    <w:rsid w:val="00987727"/>
    <w:rsid w:val="009959E5"/>
    <w:rsid w:val="00997531"/>
    <w:rsid w:val="009A03E1"/>
    <w:rsid w:val="009A38FC"/>
    <w:rsid w:val="009A609D"/>
    <w:rsid w:val="009B285D"/>
    <w:rsid w:val="009C4AFA"/>
    <w:rsid w:val="009C6014"/>
    <w:rsid w:val="009D6D3B"/>
    <w:rsid w:val="009E4010"/>
    <w:rsid w:val="009E74C4"/>
    <w:rsid w:val="009F2735"/>
    <w:rsid w:val="009F6CDA"/>
    <w:rsid w:val="00A028A9"/>
    <w:rsid w:val="00A04097"/>
    <w:rsid w:val="00A0431C"/>
    <w:rsid w:val="00A05F74"/>
    <w:rsid w:val="00A10E87"/>
    <w:rsid w:val="00A11F99"/>
    <w:rsid w:val="00A131D9"/>
    <w:rsid w:val="00A15275"/>
    <w:rsid w:val="00A17810"/>
    <w:rsid w:val="00A23056"/>
    <w:rsid w:val="00A26A35"/>
    <w:rsid w:val="00A30763"/>
    <w:rsid w:val="00A34D47"/>
    <w:rsid w:val="00A46586"/>
    <w:rsid w:val="00A51263"/>
    <w:rsid w:val="00A51931"/>
    <w:rsid w:val="00A638F1"/>
    <w:rsid w:val="00A704A1"/>
    <w:rsid w:val="00A71AF5"/>
    <w:rsid w:val="00A80FDD"/>
    <w:rsid w:val="00A823F7"/>
    <w:rsid w:val="00A83188"/>
    <w:rsid w:val="00A84547"/>
    <w:rsid w:val="00AA0185"/>
    <w:rsid w:val="00AB0077"/>
    <w:rsid w:val="00AB2268"/>
    <w:rsid w:val="00AC5402"/>
    <w:rsid w:val="00AD024E"/>
    <w:rsid w:val="00AE0031"/>
    <w:rsid w:val="00AE04C2"/>
    <w:rsid w:val="00AE12F3"/>
    <w:rsid w:val="00AF6CDF"/>
    <w:rsid w:val="00B02F66"/>
    <w:rsid w:val="00B10400"/>
    <w:rsid w:val="00B15454"/>
    <w:rsid w:val="00B20FE7"/>
    <w:rsid w:val="00B34595"/>
    <w:rsid w:val="00B42DD4"/>
    <w:rsid w:val="00B509AD"/>
    <w:rsid w:val="00B50CD1"/>
    <w:rsid w:val="00B5647E"/>
    <w:rsid w:val="00B61684"/>
    <w:rsid w:val="00B620FC"/>
    <w:rsid w:val="00B7127E"/>
    <w:rsid w:val="00B841E8"/>
    <w:rsid w:val="00B9012E"/>
    <w:rsid w:val="00B91148"/>
    <w:rsid w:val="00B91FE4"/>
    <w:rsid w:val="00B92DD5"/>
    <w:rsid w:val="00BA6793"/>
    <w:rsid w:val="00BB3768"/>
    <w:rsid w:val="00BB51BA"/>
    <w:rsid w:val="00BD2854"/>
    <w:rsid w:val="00BE1757"/>
    <w:rsid w:val="00BE1E52"/>
    <w:rsid w:val="00BE25B3"/>
    <w:rsid w:val="00BF2EAD"/>
    <w:rsid w:val="00BF745A"/>
    <w:rsid w:val="00C03669"/>
    <w:rsid w:val="00C03769"/>
    <w:rsid w:val="00C11D9C"/>
    <w:rsid w:val="00C128DF"/>
    <w:rsid w:val="00C13B7E"/>
    <w:rsid w:val="00C165A8"/>
    <w:rsid w:val="00C225DE"/>
    <w:rsid w:val="00C30675"/>
    <w:rsid w:val="00C32B5D"/>
    <w:rsid w:val="00C36683"/>
    <w:rsid w:val="00C378F4"/>
    <w:rsid w:val="00C46B5C"/>
    <w:rsid w:val="00C47151"/>
    <w:rsid w:val="00C47247"/>
    <w:rsid w:val="00C513BA"/>
    <w:rsid w:val="00C51649"/>
    <w:rsid w:val="00C544F6"/>
    <w:rsid w:val="00C54D96"/>
    <w:rsid w:val="00C561BE"/>
    <w:rsid w:val="00C611F9"/>
    <w:rsid w:val="00C62565"/>
    <w:rsid w:val="00C63844"/>
    <w:rsid w:val="00C752AF"/>
    <w:rsid w:val="00C924CB"/>
    <w:rsid w:val="00C95AC5"/>
    <w:rsid w:val="00C976A5"/>
    <w:rsid w:val="00CA09E8"/>
    <w:rsid w:val="00CB367C"/>
    <w:rsid w:val="00CB5603"/>
    <w:rsid w:val="00CC3648"/>
    <w:rsid w:val="00CC4929"/>
    <w:rsid w:val="00CD2788"/>
    <w:rsid w:val="00CE1BE6"/>
    <w:rsid w:val="00CF5010"/>
    <w:rsid w:val="00CF62AD"/>
    <w:rsid w:val="00CF6DFF"/>
    <w:rsid w:val="00D001CD"/>
    <w:rsid w:val="00D07026"/>
    <w:rsid w:val="00D21132"/>
    <w:rsid w:val="00D32D02"/>
    <w:rsid w:val="00D437FD"/>
    <w:rsid w:val="00D45576"/>
    <w:rsid w:val="00D5108B"/>
    <w:rsid w:val="00D60D3F"/>
    <w:rsid w:val="00D638AD"/>
    <w:rsid w:val="00D761B9"/>
    <w:rsid w:val="00D80860"/>
    <w:rsid w:val="00D878CA"/>
    <w:rsid w:val="00D92BD0"/>
    <w:rsid w:val="00D9768A"/>
    <w:rsid w:val="00DA1010"/>
    <w:rsid w:val="00DA2904"/>
    <w:rsid w:val="00DA4BE7"/>
    <w:rsid w:val="00DA67A0"/>
    <w:rsid w:val="00DA7AA1"/>
    <w:rsid w:val="00DB6B59"/>
    <w:rsid w:val="00DC1ACE"/>
    <w:rsid w:val="00DC347D"/>
    <w:rsid w:val="00DC63BB"/>
    <w:rsid w:val="00DC6D9A"/>
    <w:rsid w:val="00DD0E6C"/>
    <w:rsid w:val="00DD1786"/>
    <w:rsid w:val="00DD322D"/>
    <w:rsid w:val="00DD7047"/>
    <w:rsid w:val="00DE6519"/>
    <w:rsid w:val="00DF009F"/>
    <w:rsid w:val="00DF3EE7"/>
    <w:rsid w:val="00E04752"/>
    <w:rsid w:val="00E07AC2"/>
    <w:rsid w:val="00E10032"/>
    <w:rsid w:val="00E136BC"/>
    <w:rsid w:val="00E14592"/>
    <w:rsid w:val="00E23170"/>
    <w:rsid w:val="00E2478E"/>
    <w:rsid w:val="00E30600"/>
    <w:rsid w:val="00E40B4A"/>
    <w:rsid w:val="00E453C6"/>
    <w:rsid w:val="00E51489"/>
    <w:rsid w:val="00E53787"/>
    <w:rsid w:val="00E57E1E"/>
    <w:rsid w:val="00E61325"/>
    <w:rsid w:val="00E733FC"/>
    <w:rsid w:val="00E75E7A"/>
    <w:rsid w:val="00E83826"/>
    <w:rsid w:val="00E865FB"/>
    <w:rsid w:val="00E9101E"/>
    <w:rsid w:val="00E917E5"/>
    <w:rsid w:val="00E922CD"/>
    <w:rsid w:val="00E923CB"/>
    <w:rsid w:val="00E96D5F"/>
    <w:rsid w:val="00EA083B"/>
    <w:rsid w:val="00EA205B"/>
    <w:rsid w:val="00EA2174"/>
    <w:rsid w:val="00EB4254"/>
    <w:rsid w:val="00EB5717"/>
    <w:rsid w:val="00EB5C16"/>
    <w:rsid w:val="00EB7828"/>
    <w:rsid w:val="00EC12A4"/>
    <w:rsid w:val="00EC1E50"/>
    <w:rsid w:val="00ED1130"/>
    <w:rsid w:val="00ED3CDC"/>
    <w:rsid w:val="00ED4A6E"/>
    <w:rsid w:val="00ED7C04"/>
    <w:rsid w:val="00EE3D26"/>
    <w:rsid w:val="00EE62FF"/>
    <w:rsid w:val="00EE6CBB"/>
    <w:rsid w:val="00EE7A34"/>
    <w:rsid w:val="00EF27A1"/>
    <w:rsid w:val="00EF50E9"/>
    <w:rsid w:val="00F0004D"/>
    <w:rsid w:val="00F1048B"/>
    <w:rsid w:val="00F10BF6"/>
    <w:rsid w:val="00F10EFE"/>
    <w:rsid w:val="00F14147"/>
    <w:rsid w:val="00F22C6B"/>
    <w:rsid w:val="00F2705F"/>
    <w:rsid w:val="00F319DE"/>
    <w:rsid w:val="00F35A10"/>
    <w:rsid w:val="00F45A02"/>
    <w:rsid w:val="00F51034"/>
    <w:rsid w:val="00F5496E"/>
    <w:rsid w:val="00F60388"/>
    <w:rsid w:val="00F67691"/>
    <w:rsid w:val="00F745C6"/>
    <w:rsid w:val="00F820B5"/>
    <w:rsid w:val="00F831B6"/>
    <w:rsid w:val="00F876A2"/>
    <w:rsid w:val="00F96E2F"/>
    <w:rsid w:val="00FA2DD4"/>
    <w:rsid w:val="00FB5E33"/>
    <w:rsid w:val="00FB6F0B"/>
    <w:rsid w:val="00FC4E2D"/>
    <w:rsid w:val="00FC5BBA"/>
    <w:rsid w:val="00FC7865"/>
    <w:rsid w:val="00FD26F8"/>
    <w:rsid w:val="00FE139E"/>
    <w:rsid w:val="00FF05A6"/>
    <w:rsid w:val="158F0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52"/>
    <w:qFormat/>
    <w:uiPriority w:val="0"/>
    <w:pPr>
      <w:widowControl/>
      <w:spacing w:before="100" w:beforeAutospacing="1" w:after="100" w:afterAutospacing="1"/>
      <w:jc w:val="left"/>
      <w:outlineLvl w:val="2"/>
    </w:pPr>
    <w:rPr>
      <w:rFonts w:ascii="宋体" w:hAnsi="宋体" w:cs="宋体"/>
      <w:b/>
      <w:bCs/>
      <w:sz w:val="27"/>
      <w:szCs w:val="27"/>
    </w:rPr>
  </w:style>
  <w:style w:type="paragraph" w:styleId="5">
    <w:name w:val="heading 4"/>
    <w:basedOn w:val="1"/>
    <w:next w:val="1"/>
    <w:link w:val="43"/>
    <w:qFormat/>
    <w:uiPriority w:val="0"/>
    <w:pPr>
      <w:keepNext/>
      <w:keepLines/>
      <w:spacing w:before="280" w:after="290" w:line="372"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qFormat/>
    <w:uiPriority w:val="0"/>
    <w:pPr>
      <w:spacing w:line="240" w:lineRule="atLeast"/>
      <w:jc w:val="left"/>
    </w:pPr>
    <w:rPr>
      <w:rFonts w:ascii="Times New Roman" w:hAnsi="Times New Roman"/>
      <w:szCs w:val="24"/>
    </w:rPr>
  </w:style>
  <w:style w:type="paragraph" w:styleId="7">
    <w:name w:val="Body Text"/>
    <w:basedOn w:val="1"/>
    <w:link w:val="44"/>
    <w:qFormat/>
    <w:uiPriority w:val="0"/>
    <w:pPr>
      <w:spacing w:after="120"/>
    </w:pPr>
  </w:style>
  <w:style w:type="paragraph" w:styleId="8">
    <w:name w:val="toc 3"/>
    <w:basedOn w:val="1"/>
    <w:next w:val="1"/>
    <w:qFormat/>
    <w:uiPriority w:val="0"/>
    <w:pPr>
      <w:widowControl/>
      <w:spacing w:after="100" w:line="276" w:lineRule="auto"/>
      <w:ind w:left="440"/>
      <w:jc w:val="left"/>
    </w:pPr>
    <w:rPr>
      <w:rFonts w:ascii="Times New Roman" w:hAnsi="Times New Roman"/>
      <w:kern w:val="0"/>
      <w:sz w:val="22"/>
    </w:rPr>
  </w:style>
  <w:style w:type="paragraph" w:styleId="9">
    <w:name w:val="Balloon Text"/>
    <w:basedOn w:val="1"/>
    <w:link w:val="25"/>
    <w:qFormat/>
    <w:uiPriority w:val="0"/>
    <w:rPr>
      <w:sz w:val="18"/>
      <w:szCs w:val="18"/>
    </w:rPr>
  </w:style>
  <w:style w:type="paragraph" w:styleId="10">
    <w:name w:val="footer"/>
    <w:basedOn w:val="1"/>
    <w:link w:val="51"/>
    <w:qFormat/>
    <w:uiPriority w:val="0"/>
    <w:pPr>
      <w:tabs>
        <w:tab w:val="center" w:pos="4153"/>
        <w:tab w:val="right" w:pos="8306"/>
      </w:tabs>
      <w:snapToGrid w:val="0"/>
      <w:jc w:val="left"/>
    </w:pPr>
    <w:rPr>
      <w:sz w:val="18"/>
      <w:szCs w:val="18"/>
    </w:rPr>
  </w:style>
  <w:style w:type="paragraph" w:styleId="11">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widowControl/>
      <w:spacing w:after="100" w:line="276" w:lineRule="auto"/>
      <w:jc w:val="left"/>
    </w:pPr>
    <w:rPr>
      <w:rFonts w:ascii="Times New Roman" w:hAnsi="Times New Roman"/>
      <w:kern w:val="0"/>
      <w:sz w:val="22"/>
    </w:rPr>
  </w:style>
  <w:style w:type="paragraph" w:styleId="13">
    <w:name w:val="footnote text"/>
    <w:basedOn w:val="1"/>
    <w:link w:val="24"/>
    <w:qFormat/>
    <w:uiPriority w:val="0"/>
    <w:pPr>
      <w:snapToGrid w:val="0"/>
      <w:jc w:val="left"/>
    </w:pPr>
    <w:rPr>
      <w:sz w:val="18"/>
      <w:szCs w:val="18"/>
    </w:rPr>
  </w:style>
  <w:style w:type="paragraph" w:styleId="14">
    <w:name w:val="toc 2"/>
    <w:basedOn w:val="1"/>
    <w:next w:val="1"/>
    <w:qFormat/>
    <w:uiPriority w:val="0"/>
    <w:pPr>
      <w:widowControl/>
      <w:spacing w:after="100" w:line="276" w:lineRule="auto"/>
      <w:ind w:left="220"/>
      <w:jc w:val="left"/>
    </w:pPr>
    <w:rPr>
      <w:rFonts w:ascii="Times New Roman" w:hAnsi="Times New Roman"/>
      <w:kern w:val="0"/>
      <w:sz w:val="22"/>
    </w:rPr>
  </w:style>
  <w:style w:type="paragraph" w:styleId="15">
    <w:name w:val="HTML Preformatted"/>
    <w:basedOn w:val="1"/>
    <w:link w:val="5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6">
    <w:name w:val="Title"/>
    <w:basedOn w:val="1"/>
    <w:next w:val="1"/>
    <w:link w:val="55"/>
    <w:qFormat/>
    <w:uiPriority w:val="0"/>
    <w:pPr>
      <w:spacing w:before="240" w:after="60"/>
      <w:jc w:val="center"/>
      <w:outlineLvl w:val="0"/>
    </w:pPr>
    <w:rPr>
      <w:rFonts w:ascii="Cambria" w:hAnsi="Cambria"/>
      <w:b/>
      <w:bCs/>
      <w:sz w:val="32"/>
      <w:szCs w:val="32"/>
    </w:rPr>
  </w:style>
  <w:style w:type="character" w:styleId="19">
    <w:name w:val="Strong"/>
    <w:basedOn w:val="18"/>
    <w:qFormat/>
    <w:uiPriority w:val="0"/>
    <w:rPr>
      <w:rFonts w:ascii="Times New Roman" w:hAnsi="Times New Roman" w:eastAsia="宋体" w:cs="Times New Roman"/>
      <w:b/>
      <w:bCs/>
    </w:rPr>
  </w:style>
  <w:style w:type="character" w:styleId="20">
    <w:name w:val="Emphasis"/>
    <w:basedOn w:val="18"/>
    <w:qFormat/>
    <w:uiPriority w:val="0"/>
    <w:rPr>
      <w:rFonts w:ascii="Times New Roman" w:hAnsi="Times New Roman" w:eastAsia="宋体" w:cs="Times New Roman"/>
      <w:i/>
      <w:iCs/>
    </w:rPr>
  </w:style>
  <w:style w:type="character" w:styleId="21">
    <w:name w:val="Hyperlink"/>
    <w:basedOn w:val="18"/>
    <w:qFormat/>
    <w:uiPriority w:val="0"/>
    <w:rPr>
      <w:rFonts w:ascii="Times New Roman" w:hAnsi="Times New Roman" w:eastAsia="宋体" w:cs="Times New Roman"/>
      <w:color w:val="0000FF"/>
      <w:u w:val="single"/>
    </w:rPr>
  </w:style>
  <w:style w:type="character" w:styleId="22">
    <w:name w:val="footnote reference"/>
    <w:basedOn w:val="18"/>
    <w:qFormat/>
    <w:uiPriority w:val="0"/>
    <w:rPr>
      <w:rFonts w:ascii="Times New Roman" w:hAnsi="Times New Roman" w:eastAsia="宋体" w:cs="Times New Roman"/>
      <w:vertAlign w:val="superscript"/>
    </w:rPr>
  </w:style>
  <w:style w:type="character" w:customStyle="1" w:styleId="23">
    <w:name w:val="批注框文本 Char1"/>
    <w:basedOn w:val="18"/>
    <w:qFormat/>
    <w:uiPriority w:val="0"/>
    <w:rPr>
      <w:rFonts w:ascii="Calibri" w:hAnsi="Calibri" w:eastAsia="宋体" w:cs="Times New Roman"/>
      <w:kern w:val="2"/>
      <w:sz w:val="18"/>
      <w:szCs w:val="18"/>
    </w:rPr>
  </w:style>
  <w:style w:type="character" w:customStyle="1" w:styleId="24">
    <w:name w:val="脚注文本 字符"/>
    <w:basedOn w:val="18"/>
    <w:link w:val="13"/>
    <w:qFormat/>
    <w:uiPriority w:val="0"/>
    <w:rPr>
      <w:rFonts w:ascii="Calibri" w:hAnsi="Calibri" w:eastAsia="宋体" w:cs="Times New Roman"/>
      <w:kern w:val="2"/>
      <w:sz w:val="18"/>
      <w:szCs w:val="18"/>
    </w:rPr>
  </w:style>
  <w:style w:type="character" w:customStyle="1" w:styleId="25">
    <w:name w:val="批注框文本 字符"/>
    <w:basedOn w:val="18"/>
    <w:link w:val="9"/>
    <w:qFormat/>
    <w:uiPriority w:val="0"/>
    <w:rPr>
      <w:rFonts w:ascii="Calibri" w:hAnsi="Calibri" w:eastAsia="宋体" w:cs="Times New Roman"/>
      <w:kern w:val="2"/>
      <w:sz w:val="18"/>
      <w:szCs w:val="18"/>
    </w:rPr>
  </w:style>
  <w:style w:type="character" w:customStyle="1" w:styleId="26">
    <w:name w:val="正文文本 2 Char1"/>
    <w:basedOn w:val="18"/>
    <w:qFormat/>
    <w:uiPriority w:val="0"/>
    <w:rPr>
      <w:rFonts w:ascii="Calibri" w:hAnsi="Calibri" w:eastAsia="宋体" w:cs="Times New Roman"/>
      <w:kern w:val="2"/>
      <w:sz w:val="21"/>
      <w:szCs w:val="22"/>
    </w:rPr>
  </w:style>
  <w:style w:type="character" w:customStyle="1" w:styleId="27">
    <w:name w:val="style21"/>
    <w:basedOn w:val="18"/>
    <w:qFormat/>
    <w:uiPriority w:val="0"/>
    <w:rPr>
      <w:rFonts w:ascii="Times New Roman" w:hAnsi="Times New Roman" w:eastAsia="宋体" w:cs="Times New Roman"/>
      <w:b/>
      <w:bCs/>
      <w:color w:val="1C52B2"/>
      <w:sz w:val="23"/>
      <w:szCs w:val="23"/>
    </w:rPr>
  </w:style>
  <w:style w:type="character" w:customStyle="1" w:styleId="28">
    <w:name w:val="批注文字 Char1"/>
    <w:basedOn w:val="18"/>
    <w:qFormat/>
    <w:uiPriority w:val="0"/>
    <w:rPr>
      <w:rFonts w:ascii="Calibri" w:hAnsi="Calibri" w:eastAsia="宋体" w:cs="Times New Roman"/>
      <w:kern w:val="2"/>
      <w:sz w:val="21"/>
      <w:szCs w:val="22"/>
    </w:rPr>
  </w:style>
  <w:style w:type="character" w:customStyle="1" w:styleId="29">
    <w:name w:val="批注主题 Char"/>
    <w:basedOn w:val="28"/>
    <w:link w:val="30"/>
    <w:qFormat/>
    <w:uiPriority w:val="0"/>
    <w:rPr>
      <w:rFonts w:ascii="Times New Roman" w:hAnsi="Times New Roman" w:eastAsia="宋体" w:cs="Times New Roman"/>
      <w:b/>
      <w:bCs/>
      <w:kern w:val="2"/>
      <w:sz w:val="21"/>
      <w:szCs w:val="22"/>
    </w:rPr>
  </w:style>
  <w:style w:type="paragraph" w:customStyle="1" w:styleId="30">
    <w:name w:val="批注主题1"/>
    <w:basedOn w:val="6"/>
    <w:next w:val="6"/>
    <w:link w:val="29"/>
    <w:qFormat/>
    <w:uiPriority w:val="0"/>
    <w:pPr>
      <w:spacing w:line="240" w:lineRule="auto"/>
    </w:pPr>
    <w:rPr>
      <w:b/>
      <w:bCs/>
    </w:rPr>
  </w:style>
  <w:style w:type="character" w:customStyle="1" w:styleId="31">
    <w:name w:val="标题 Char"/>
    <w:basedOn w:val="18"/>
    <w:qFormat/>
    <w:uiPriority w:val="0"/>
    <w:rPr>
      <w:rFonts w:ascii="Cambria" w:hAnsi="Cambria" w:eastAsia="宋体" w:cs="Times New Roman"/>
      <w:b/>
      <w:bCs/>
      <w:kern w:val="2"/>
      <w:sz w:val="32"/>
      <w:szCs w:val="32"/>
    </w:rPr>
  </w:style>
  <w:style w:type="character" w:customStyle="1" w:styleId="32">
    <w:name w:val="批注文字 字符"/>
    <w:basedOn w:val="18"/>
    <w:link w:val="6"/>
    <w:qFormat/>
    <w:uiPriority w:val="0"/>
    <w:rPr>
      <w:rFonts w:ascii="Times New Roman" w:hAnsi="Times New Roman" w:eastAsia="宋体" w:cs="Times New Roman"/>
      <w:szCs w:val="24"/>
    </w:rPr>
  </w:style>
  <w:style w:type="character" w:customStyle="1" w:styleId="33">
    <w:name w:val="批注引用1"/>
    <w:basedOn w:val="18"/>
    <w:qFormat/>
    <w:uiPriority w:val="0"/>
    <w:rPr>
      <w:rFonts w:ascii="Times New Roman" w:hAnsi="Times New Roman" w:eastAsia="宋体" w:cs="Times New Roman"/>
      <w:sz w:val="21"/>
      <w:szCs w:val="21"/>
    </w:rPr>
  </w:style>
  <w:style w:type="character" w:customStyle="1" w:styleId="34">
    <w:name w:val="apple-style-span"/>
    <w:basedOn w:val="18"/>
    <w:qFormat/>
    <w:uiPriority w:val="0"/>
    <w:rPr>
      <w:rFonts w:ascii="Times New Roman" w:hAnsi="Times New Roman" w:eastAsia="宋体" w:cs="Times New Roman"/>
    </w:rPr>
  </w:style>
  <w:style w:type="character" w:customStyle="1" w:styleId="35">
    <w:name w:val="正文文本缩进 Char"/>
    <w:basedOn w:val="18"/>
    <w:qFormat/>
    <w:uiPriority w:val="0"/>
    <w:rPr>
      <w:rFonts w:ascii="Times New Roman" w:hAnsi="Times New Roman" w:eastAsia="宋体" w:cs="Times New Roman"/>
      <w:szCs w:val="24"/>
    </w:rPr>
  </w:style>
  <w:style w:type="character" w:customStyle="1" w:styleId="36">
    <w:name w:val="页码1"/>
    <w:basedOn w:val="18"/>
    <w:qFormat/>
    <w:uiPriority w:val="0"/>
    <w:rPr>
      <w:rFonts w:ascii="Times New Roman" w:hAnsi="Times New Roman" w:eastAsia="宋体" w:cs="Times New Roman"/>
    </w:rPr>
  </w:style>
  <w:style w:type="character" w:customStyle="1" w:styleId="37">
    <w:name w:val="正文文本 Char"/>
    <w:basedOn w:val="18"/>
    <w:qFormat/>
    <w:uiPriority w:val="0"/>
    <w:rPr>
      <w:rFonts w:ascii="Calibri" w:hAnsi="Calibri" w:eastAsia="宋体" w:cs="Times New Roman"/>
      <w:kern w:val="2"/>
      <w:sz w:val="21"/>
    </w:rPr>
  </w:style>
  <w:style w:type="character" w:customStyle="1" w:styleId="38">
    <w:name w:val="样式2 Char"/>
    <w:basedOn w:val="18"/>
    <w:link w:val="39"/>
    <w:qFormat/>
    <w:uiPriority w:val="0"/>
    <w:rPr>
      <w:rFonts w:ascii="Times New Roman" w:hAnsi="Times New Roman" w:eastAsia="宋体" w:cs="Times New Roman"/>
      <w:kern w:val="2"/>
      <w:sz w:val="21"/>
      <w:szCs w:val="21"/>
    </w:rPr>
  </w:style>
  <w:style w:type="paragraph" w:customStyle="1" w:styleId="39">
    <w:name w:val="样式2"/>
    <w:basedOn w:val="1"/>
    <w:link w:val="38"/>
    <w:qFormat/>
    <w:uiPriority w:val="0"/>
    <w:pPr>
      <w:spacing w:afterLines="50"/>
    </w:pPr>
    <w:rPr>
      <w:rFonts w:ascii="Times New Roman" w:hAnsi="Times New Roman"/>
      <w:szCs w:val="21"/>
    </w:rPr>
  </w:style>
  <w:style w:type="character" w:customStyle="1" w:styleId="40">
    <w:name w:val="日期 Char"/>
    <w:basedOn w:val="18"/>
    <w:link w:val="41"/>
    <w:qFormat/>
    <w:uiPriority w:val="0"/>
    <w:rPr>
      <w:rFonts w:ascii="Calibri" w:hAnsi="Calibri" w:eastAsia="宋体" w:cs="Times New Roman"/>
      <w:kern w:val="2"/>
      <w:sz w:val="21"/>
      <w:szCs w:val="22"/>
    </w:rPr>
  </w:style>
  <w:style w:type="paragraph" w:customStyle="1" w:styleId="41">
    <w:name w:val="日期1"/>
    <w:basedOn w:val="1"/>
    <w:next w:val="1"/>
    <w:link w:val="40"/>
    <w:qFormat/>
    <w:uiPriority w:val="0"/>
    <w:pPr>
      <w:ind w:left="100" w:leftChars="2500"/>
    </w:pPr>
  </w:style>
  <w:style w:type="character" w:customStyle="1" w:styleId="42">
    <w:name w:val="标题 1 字符"/>
    <w:basedOn w:val="18"/>
    <w:link w:val="2"/>
    <w:qFormat/>
    <w:uiPriority w:val="0"/>
    <w:rPr>
      <w:rFonts w:ascii="Calibri" w:hAnsi="Calibri" w:eastAsia="宋体" w:cs="Times New Roman"/>
      <w:b/>
      <w:bCs/>
      <w:kern w:val="44"/>
      <w:sz w:val="44"/>
      <w:szCs w:val="44"/>
    </w:rPr>
  </w:style>
  <w:style w:type="character" w:customStyle="1" w:styleId="43">
    <w:name w:val="标题 4 字符"/>
    <w:basedOn w:val="18"/>
    <w:link w:val="5"/>
    <w:qFormat/>
    <w:uiPriority w:val="0"/>
    <w:rPr>
      <w:rFonts w:ascii="Arial" w:hAnsi="Arial" w:eastAsia="黑体" w:cs="Times New Roman"/>
      <w:b/>
      <w:bCs/>
      <w:kern w:val="2"/>
      <w:sz w:val="28"/>
      <w:szCs w:val="28"/>
    </w:rPr>
  </w:style>
  <w:style w:type="character" w:customStyle="1" w:styleId="44">
    <w:name w:val="正文文本 字符"/>
    <w:basedOn w:val="18"/>
    <w:link w:val="7"/>
    <w:qFormat/>
    <w:uiPriority w:val="0"/>
    <w:rPr>
      <w:rFonts w:ascii="Calibri" w:hAnsi="Calibri" w:eastAsia="宋体" w:cs="Times New Roman"/>
      <w:kern w:val="2"/>
      <w:sz w:val="21"/>
      <w:szCs w:val="22"/>
    </w:rPr>
  </w:style>
  <w:style w:type="character" w:customStyle="1" w:styleId="45">
    <w:name w:val="文档结构图 Char"/>
    <w:basedOn w:val="18"/>
    <w:link w:val="46"/>
    <w:qFormat/>
    <w:uiPriority w:val="0"/>
    <w:rPr>
      <w:rFonts w:ascii="Calibri" w:hAnsi="Calibri" w:eastAsia="宋体" w:cs="Times New Roman"/>
      <w:kern w:val="2"/>
      <w:sz w:val="21"/>
      <w:szCs w:val="22"/>
      <w:shd w:val="clear" w:color="auto" w:fill="000080"/>
    </w:rPr>
  </w:style>
  <w:style w:type="paragraph" w:customStyle="1" w:styleId="46">
    <w:name w:val="文档结构图1"/>
    <w:basedOn w:val="1"/>
    <w:link w:val="45"/>
    <w:qFormat/>
    <w:uiPriority w:val="0"/>
    <w:pPr>
      <w:shd w:val="clear" w:color="auto" w:fill="000080"/>
    </w:pPr>
    <w:rPr>
      <w:shd w:val="clear" w:color="auto" w:fill="000080"/>
    </w:rPr>
  </w:style>
  <w:style w:type="character" w:customStyle="1" w:styleId="47">
    <w:name w:val="纯文本 Char"/>
    <w:basedOn w:val="18"/>
    <w:qFormat/>
    <w:uiPriority w:val="0"/>
    <w:rPr>
      <w:rFonts w:ascii="宋体" w:hAnsi="Courier New" w:eastAsia="宋体" w:cs="Times New Roman"/>
      <w:kern w:val="2"/>
      <w:sz w:val="21"/>
    </w:rPr>
  </w:style>
  <w:style w:type="character" w:customStyle="1" w:styleId="48">
    <w:name w:val="标题1"/>
    <w:basedOn w:val="18"/>
    <w:uiPriority w:val="0"/>
    <w:rPr>
      <w:rFonts w:ascii="Times New Roman" w:hAnsi="Times New Roman" w:eastAsia="宋体" w:cs="Times New Roman"/>
    </w:rPr>
  </w:style>
  <w:style w:type="character" w:customStyle="1" w:styleId="49">
    <w:name w:val="正文文本缩进 Char1"/>
    <w:basedOn w:val="18"/>
    <w:link w:val="50"/>
    <w:qFormat/>
    <w:uiPriority w:val="0"/>
    <w:rPr>
      <w:rFonts w:ascii="Calibri" w:hAnsi="Calibri" w:eastAsia="宋体" w:cs="Times New Roman"/>
      <w:kern w:val="2"/>
      <w:sz w:val="21"/>
      <w:szCs w:val="22"/>
    </w:rPr>
  </w:style>
  <w:style w:type="paragraph" w:customStyle="1" w:styleId="50">
    <w:name w:val="正文文本缩进1"/>
    <w:basedOn w:val="1"/>
    <w:link w:val="49"/>
    <w:qFormat/>
    <w:uiPriority w:val="0"/>
    <w:pPr>
      <w:spacing w:after="120" w:line="240" w:lineRule="atLeast"/>
      <w:ind w:left="420" w:leftChars="200"/>
    </w:pPr>
    <w:rPr>
      <w:rFonts w:ascii="Times New Roman" w:hAnsi="Times New Roman"/>
      <w:szCs w:val="24"/>
    </w:rPr>
  </w:style>
  <w:style w:type="character" w:customStyle="1" w:styleId="51">
    <w:name w:val="页脚 字符"/>
    <w:basedOn w:val="18"/>
    <w:link w:val="10"/>
    <w:uiPriority w:val="0"/>
    <w:rPr>
      <w:rFonts w:ascii="Calibri" w:hAnsi="Calibri" w:eastAsia="宋体" w:cs="Times New Roman"/>
      <w:kern w:val="2"/>
      <w:sz w:val="18"/>
      <w:szCs w:val="18"/>
    </w:rPr>
  </w:style>
  <w:style w:type="character" w:customStyle="1" w:styleId="52">
    <w:name w:val="标题 3 字符"/>
    <w:basedOn w:val="18"/>
    <w:link w:val="4"/>
    <w:qFormat/>
    <w:uiPriority w:val="0"/>
    <w:rPr>
      <w:rFonts w:ascii="宋体" w:hAnsi="宋体" w:eastAsia="宋体" w:cs="宋体"/>
      <w:b/>
      <w:bCs/>
      <w:sz w:val="27"/>
      <w:szCs w:val="27"/>
    </w:rPr>
  </w:style>
  <w:style w:type="character" w:customStyle="1" w:styleId="53">
    <w:name w:val="标题 2 字符"/>
    <w:basedOn w:val="18"/>
    <w:link w:val="3"/>
    <w:uiPriority w:val="0"/>
    <w:rPr>
      <w:rFonts w:ascii="Arial" w:hAnsi="Arial" w:eastAsia="黑体" w:cs="Times New Roman"/>
      <w:b/>
      <w:bCs/>
      <w:kern w:val="2"/>
      <w:sz w:val="32"/>
      <w:szCs w:val="32"/>
    </w:rPr>
  </w:style>
  <w:style w:type="character" w:customStyle="1" w:styleId="54">
    <w:name w:val="HTML 预设格式 字符"/>
    <w:basedOn w:val="18"/>
    <w:link w:val="15"/>
    <w:uiPriority w:val="99"/>
    <w:rPr>
      <w:rFonts w:ascii="Arial" w:hAnsi="Arial" w:eastAsia="宋体" w:cs="Arial"/>
      <w:sz w:val="24"/>
      <w:szCs w:val="24"/>
    </w:rPr>
  </w:style>
  <w:style w:type="character" w:customStyle="1" w:styleId="55">
    <w:name w:val="标题 字符"/>
    <w:basedOn w:val="18"/>
    <w:link w:val="16"/>
    <w:uiPriority w:val="0"/>
    <w:rPr>
      <w:rFonts w:ascii="Cambria" w:hAnsi="Cambria" w:eastAsia="宋体" w:cs="Times New Roman"/>
      <w:b/>
      <w:bCs/>
      <w:kern w:val="2"/>
      <w:sz w:val="32"/>
      <w:szCs w:val="32"/>
    </w:rPr>
  </w:style>
  <w:style w:type="character" w:customStyle="1" w:styleId="56">
    <w:name w:val="纯文本 Char1"/>
    <w:basedOn w:val="18"/>
    <w:link w:val="57"/>
    <w:uiPriority w:val="0"/>
    <w:rPr>
      <w:rFonts w:ascii="宋体" w:hAnsi="Courier New" w:eastAsia="宋体" w:cs="Courier New"/>
      <w:kern w:val="2"/>
      <w:sz w:val="21"/>
      <w:szCs w:val="21"/>
    </w:rPr>
  </w:style>
  <w:style w:type="paragraph" w:customStyle="1" w:styleId="57">
    <w:name w:val="纯文本1"/>
    <w:basedOn w:val="1"/>
    <w:link w:val="56"/>
    <w:qFormat/>
    <w:uiPriority w:val="0"/>
    <w:pPr>
      <w:spacing w:line="240" w:lineRule="atLeast"/>
    </w:pPr>
    <w:rPr>
      <w:rFonts w:ascii="宋体" w:hAnsi="Courier New"/>
    </w:rPr>
  </w:style>
  <w:style w:type="character" w:customStyle="1" w:styleId="58">
    <w:name w:val="普通文字1 Char"/>
    <w:basedOn w:val="18"/>
    <w:uiPriority w:val="0"/>
    <w:rPr>
      <w:rFonts w:ascii="宋体" w:hAnsi="Courier New" w:eastAsia="宋体" w:cs="Times New Roman"/>
      <w:szCs w:val="20"/>
    </w:rPr>
  </w:style>
  <w:style w:type="character" w:customStyle="1" w:styleId="59">
    <w:name w:val="HTML 预设格式 Char1"/>
    <w:basedOn w:val="18"/>
    <w:link w:val="60"/>
    <w:uiPriority w:val="0"/>
    <w:rPr>
      <w:rFonts w:ascii="Courier New" w:hAnsi="Courier New" w:eastAsia="宋体" w:cs="Courier New"/>
      <w:kern w:val="2"/>
    </w:rPr>
  </w:style>
  <w:style w:type="paragraph" w:customStyle="1" w:styleId="60">
    <w:name w:val="HTML 预设格式1"/>
    <w:basedOn w:val="1"/>
    <w:link w:val="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61">
    <w:name w:val="正文文本 2 Char"/>
    <w:basedOn w:val="18"/>
    <w:link w:val="62"/>
    <w:qFormat/>
    <w:uiPriority w:val="0"/>
    <w:rPr>
      <w:rFonts w:ascii="Times New Roman" w:hAnsi="Times New Roman" w:eastAsia="宋体" w:cs="Times New Roman"/>
      <w:sz w:val="24"/>
      <w:szCs w:val="24"/>
      <w:lang w:val="en-US" w:eastAsia="zh-CN"/>
    </w:rPr>
  </w:style>
  <w:style w:type="paragraph" w:customStyle="1" w:styleId="62">
    <w:name w:val="正文文本 21"/>
    <w:basedOn w:val="1"/>
    <w:link w:val="61"/>
    <w:qFormat/>
    <w:uiPriority w:val="0"/>
    <w:pPr>
      <w:spacing w:after="120" w:line="480" w:lineRule="auto"/>
    </w:pPr>
    <w:rPr>
      <w:rFonts w:ascii="Times New Roman" w:hAnsi="Times New Roman"/>
      <w:sz w:val="24"/>
      <w:szCs w:val="24"/>
    </w:rPr>
  </w:style>
  <w:style w:type="character" w:customStyle="1" w:styleId="63">
    <w:name w:val="页眉 字符"/>
    <w:basedOn w:val="18"/>
    <w:link w:val="11"/>
    <w:qFormat/>
    <w:uiPriority w:val="0"/>
    <w:rPr>
      <w:rFonts w:ascii="Calibri" w:hAnsi="Calibri" w:eastAsia="宋体" w:cs="Times New Roman"/>
      <w:kern w:val="2"/>
      <w:sz w:val="18"/>
      <w:szCs w:val="18"/>
    </w:rPr>
  </w:style>
  <w:style w:type="paragraph" w:customStyle="1" w:styleId="64">
    <w:name w:val="Char Char Char Char"/>
    <w:basedOn w:val="1"/>
    <w:qFormat/>
    <w:uiPriority w:val="0"/>
    <w:pPr>
      <w:widowControl/>
      <w:snapToGrid w:val="0"/>
      <w:spacing w:after="160" w:line="300" w:lineRule="auto"/>
      <w:jc w:val="left"/>
    </w:pPr>
    <w:rPr>
      <w:rFonts w:ascii="Times New Roman" w:hAnsi="Times New Roman"/>
      <w:szCs w:val="24"/>
    </w:rPr>
  </w:style>
  <w:style w:type="paragraph" w:customStyle="1" w:styleId="65">
    <w:name w:val="Char1 Char Char Char Char Char Char"/>
    <w:basedOn w:val="1"/>
    <w:qFormat/>
    <w:uiPriority w:val="0"/>
    <w:pPr>
      <w:autoSpaceDE w:val="0"/>
      <w:autoSpaceDN w:val="0"/>
    </w:pPr>
    <w:rPr>
      <w:rFonts w:ascii="Tahoma" w:hAnsi="Tahoma"/>
      <w:sz w:val="24"/>
      <w:szCs w:val="20"/>
    </w:rPr>
  </w:style>
  <w:style w:type="paragraph" w:customStyle="1" w:styleId="66">
    <w:name w:val="Char Char Char Char1"/>
    <w:basedOn w:val="1"/>
    <w:qFormat/>
    <w:uiPriority w:val="0"/>
    <w:pPr>
      <w:autoSpaceDE w:val="0"/>
      <w:autoSpaceDN w:val="0"/>
    </w:pPr>
    <w:rPr>
      <w:rFonts w:ascii="Tahoma" w:hAnsi="Tahoma"/>
      <w:sz w:val="24"/>
      <w:szCs w:val="20"/>
    </w:rPr>
  </w:style>
  <w:style w:type="paragraph" w:customStyle="1" w:styleId="67">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Char1 Char Char Char Char Char Char1"/>
    <w:basedOn w:val="1"/>
    <w:qFormat/>
    <w:uiPriority w:val="0"/>
    <w:pPr>
      <w:autoSpaceDE w:val="0"/>
      <w:autoSpaceDN w:val="0"/>
    </w:pPr>
    <w:rPr>
      <w:rFonts w:ascii="Tahoma" w:hAnsi="Tahoma"/>
      <w:sz w:val="24"/>
      <w:szCs w:val="20"/>
    </w:rPr>
  </w:style>
  <w:style w:type="paragraph" w:customStyle="1" w:styleId="6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0">
    <w:name w:val="段"/>
    <w:qFormat/>
    <w:uiPriority w:val="0"/>
    <w:pPr>
      <w:autoSpaceDE w:val="0"/>
      <w:autoSpaceDN w:val="0"/>
      <w:spacing w:line="240" w:lineRule="atLeast"/>
      <w:ind w:firstLine="200" w:firstLineChars="200"/>
      <w:jc w:val="both"/>
    </w:pPr>
    <w:rPr>
      <w:rFonts w:ascii="宋体" w:hAnsi="Times New Roman" w:eastAsia="宋体" w:cs="宋体"/>
      <w:sz w:val="21"/>
      <w:szCs w:val="21"/>
      <w:lang w:val="en-US" w:eastAsia="zh-CN" w:bidi="ar-SA"/>
    </w:rPr>
  </w:style>
  <w:style w:type="paragraph" w:styleId="71">
    <w:name w:val="List Paragraph"/>
    <w:basedOn w:val="1"/>
    <w:qFormat/>
    <w:uiPriority w:val="34"/>
    <w:pPr>
      <w:ind w:firstLine="420" w:firstLineChars="200"/>
    </w:pPr>
  </w:style>
  <w:style w:type="character" w:customStyle="1" w:styleId="72">
    <w:name w:val="HTML 预设格式 Char2"/>
    <w:basedOn w:val="18"/>
    <w:semiHidden/>
    <w:qFormat/>
    <w:uiPriority w:val="99"/>
    <w:rPr>
      <w:rFonts w:ascii="Courier New" w:hAnsi="Courier New" w:cs="Courier New"/>
      <w:kern w:val="2"/>
    </w:rPr>
  </w:style>
  <w:style w:type="paragraph" w:customStyle="1" w:styleId="7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3"/>
    <customShpInfo spid="_x0000_s1028"/>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AC8C5-346C-408F-97C5-626256418EFD}">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31</Pages>
  <Words>4260</Words>
  <Characters>24285</Characters>
  <Lines>202</Lines>
  <Paragraphs>56</Paragraphs>
  <TotalTime>31</TotalTime>
  <ScaleCrop>false</ScaleCrop>
  <LinksUpToDate>false</LinksUpToDate>
  <CharactersWithSpaces>28489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2019-04-10T05:07:00Z</dcterms:created>
  <dc:creator>雨林木风</dc:creator>
  <cp:lastModifiedBy>油桃果</cp:lastModifiedBy>
  <cp:lastPrinted>2019-02-14T07:30:00Z</cp:lastPrinted>
  <dcterms:modified xsi:type="dcterms:W3CDTF">2022-02-18T02:41:48Z</dcterms:modified>
  <dc:title>环保服务业统计工作进展汇报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A4742C7B51DF4C4E95CB800AFD812E44</vt:lpwstr>
  </property>
</Properties>
</file>